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44"/>
          <w:szCs w:val="44"/>
        </w:rPr>
        <w:t xml:space="preserve">SPRINT 4 REPORT</w:t>
      </w:r>
    </w:p>
    <w:p>
      <w:pPr>
        <w:spacing w:after="60" w:before="0"/>
        <w:jc w:val="center"/>
      </w:pPr>
      <w:r>
        <w:rPr>
          <w:rFonts w:ascii="Arial" w:cs="Arial" w:eastAsia="Arial" w:hAnsi="Arial"/>
          <w:b/>
          <w:bCs/>
          <w:sz w:val="26"/>
          <w:szCs w:val="26"/>
        </w:rPr>
        <w:t xml:space="preserve">J-VizAudit – Online Java Compiler with Visualization</w:t>
      </w:r>
    </w:p>
    <w:p>
      <w:pPr>
        <w:spacing w:after="240" w:before="0"/>
        <w:jc w:val="center"/>
      </w:pPr>
      <w:r>
        <w:rPr>
          <w:rFonts w:ascii="Arial" w:cs="Arial" w:eastAsia="Arial" w:hAnsi="Arial"/>
          <w:sz w:val="22"/>
          <w:szCs w:val="22"/>
        </w:rPr>
        <w:t xml:space="preserve">Group 1  |  Sprint 4 – Testing  |  SE2 2026</w:t>
      </w:r>
    </w:p>
    <w:p>
      <w:pPr>
        <w:pBdr>
          <w:bottom w:val="single" w:color="000000" w:sz="6" w:space="1"/>
        </w:pBdr>
        <w:spacing w:after="160" w:before="160"/>
      </w:pPr>
    </w:p>
    <w:p>
      <w:pPr>
        <w:spacing w:after="0" w:before="1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20"/>
        <w:gridCol w:w="6480"/>
      </w:tblGrid>
      <w:tr>
        <w:tc>
          <w:tcPr>
            <w:tcW w:type="dxa" w:w="2520"/>
            <w:tcMar>
              <w:top w:type="dxa" w:w="80"/>
              <w:left w:type="dxa" w:w="120"/>
              <w:bottom w:type="dxa" w:w="80"/>
              <w:right w:type="dxa" w:w="120"/>
            </w:tcMar>
          </w:tcPr>
          <w:p>
            <w:r>
              <w:rPr>
                <w:rFonts w:ascii="Arial" w:cs="Arial" w:eastAsia="Arial" w:hAnsi="Arial"/>
                <w:b/>
                <w:bCs/>
                <w:sz w:val="20"/>
                <w:szCs w:val="20"/>
              </w:rPr>
              <w:t xml:space="preserve">Sprint No.</w:t>
            </w:r>
          </w:p>
        </w:tc>
        <w:tc>
          <w:tcPr>
            <w:tcW w:type="dxa" w:w="6480"/>
            <w:tcMar>
              <w:top w:type="dxa" w:w="80"/>
              <w:left w:type="dxa" w:w="120"/>
              <w:bottom w:type="dxa" w:w="80"/>
              <w:right w:type="dxa" w:w="120"/>
            </w:tcMar>
          </w:tcPr>
          <w:p>
            <w:r>
              <w:rPr>
                <w:rFonts w:ascii="Arial" w:cs="Arial" w:eastAsia="Arial" w:hAnsi="Arial"/>
                <w:sz w:val="20"/>
                <w:szCs w:val="20"/>
              </w:rPr>
              <w:t xml:space="preserve">Sprint 4</w:t>
            </w:r>
          </w:p>
        </w:tc>
      </w:tr>
      <w:tr>
        <w:tc>
          <w:tcPr>
            <w:tcW w:type="dxa" w:w="2520"/>
            <w:tcMar>
              <w:top w:type="dxa" w:w="80"/>
              <w:left w:type="dxa" w:w="120"/>
              <w:bottom w:type="dxa" w:w="80"/>
              <w:right w:type="dxa" w:w="120"/>
            </w:tcMar>
          </w:tcPr>
          <w:p>
            <w:r>
              <w:rPr>
                <w:rFonts w:ascii="Arial" w:cs="Arial" w:eastAsia="Arial" w:hAnsi="Arial"/>
                <w:b/>
                <w:bCs/>
                <w:sz w:val="20"/>
                <w:szCs w:val="20"/>
              </w:rPr>
              <w:t xml:space="preserve">Sprint Name</w:t>
            </w:r>
          </w:p>
        </w:tc>
        <w:tc>
          <w:tcPr>
            <w:tcW w:type="dxa" w:w="6480"/>
            <w:tcMar>
              <w:top w:type="dxa" w:w="80"/>
              <w:left w:type="dxa" w:w="120"/>
              <w:bottom w:type="dxa" w:w="80"/>
              <w:right w:type="dxa" w:w="120"/>
            </w:tcMar>
          </w:tcPr>
          <w:p>
            <w:r>
              <w:rPr>
                <w:rFonts w:ascii="Arial" w:cs="Arial" w:eastAsia="Arial" w:hAnsi="Arial"/>
                <w:sz w:val="20"/>
                <w:szCs w:val="20"/>
              </w:rPr>
              <w:t xml:space="preserve">Testing Phase</w:t>
            </w:r>
          </w:p>
        </w:tc>
      </w:tr>
      <w:tr>
        <w:tc>
          <w:tcPr>
            <w:tcW w:type="dxa" w:w="2520"/>
            <w:tcMar>
              <w:top w:type="dxa" w:w="80"/>
              <w:left w:type="dxa" w:w="120"/>
              <w:bottom w:type="dxa" w:w="80"/>
              <w:right w:type="dxa" w:w="120"/>
            </w:tcMar>
          </w:tcPr>
          <w:p>
            <w:r>
              <w:rPr>
                <w:rFonts w:ascii="Arial" w:cs="Arial" w:eastAsia="Arial" w:hAnsi="Arial"/>
                <w:b/>
                <w:bCs/>
                <w:sz w:val="20"/>
                <w:szCs w:val="20"/>
              </w:rPr>
              <w:t xml:space="preserve">Period</w:t>
            </w:r>
          </w:p>
        </w:tc>
        <w:tc>
          <w:tcPr>
            <w:tcW w:type="dxa" w:w="6480"/>
            <w:tcMar>
              <w:top w:type="dxa" w:w="80"/>
              <w:left w:type="dxa" w:w="120"/>
              <w:bottom w:type="dxa" w:w="80"/>
              <w:right w:type="dxa" w:w="120"/>
            </w:tcMar>
          </w:tcPr>
          <w:p>
            <w:r>
              <w:rPr>
                <w:rFonts w:ascii="Arial" w:cs="Arial" w:eastAsia="Arial" w:hAnsi="Arial"/>
                <w:sz w:val="20"/>
                <w:szCs w:val="20"/>
              </w:rPr>
              <w:t xml:space="preserve">05/04/2026 – 13/04/2026</w:t>
            </w:r>
          </w:p>
        </w:tc>
      </w:tr>
      <w:tr>
        <w:tc>
          <w:tcPr>
            <w:tcW w:type="dxa" w:w="2520"/>
            <w:tcMar>
              <w:top w:type="dxa" w:w="80"/>
              <w:left w:type="dxa" w:w="120"/>
              <w:bottom w:type="dxa" w:w="80"/>
              <w:right w:type="dxa" w:w="120"/>
            </w:tcMar>
          </w:tcPr>
          <w:p>
            <w:r>
              <w:rPr>
                <w:rFonts w:ascii="Arial" w:cs="Arial" w:eastAsia="Arial" w:hAnsi="Arial"/>
                <w:b/>
                <w:bCs/>
                <w:sz w:val="20"/>
                <w:szCs w:val="20"/>
              </w:rPr>
              <w:t xml:space="preserve">Phase</w:t>
            </w:r>
          </w:p>
        </w:tc>
        <w:tc>
          <w:tcPr>
            <w:tcW w:type="dxa" w:w="6480"/>
            <w:tcMar>
              <w:top w:type="dxa" w:w="80"/>
              <w:left w:type="dxa" w:w="120"/>
              <w:bottom w:type="dxa" w:w="80"/>
              <w:right w:type="dxa" w:w="120"/>
            </w:tcMar>
          </w:tcPr>
          <w:p>
            <w:r>
              <w:rPr>
                <w:rFonts w:ascii="Arial" w:cs="Arial" w:eastAsia="Arial" w:hAnsi="Arial"/>
                <w:sz w:val="20"/>
                <w:szCs w:val="20"/>
              </w:rPr>
              <w:t xml:space="preserve">Phase 3 – Testing</w:t>
            </w:r>
          </w:p>
        </w:tc>
      </w:tr>
      <w:tr>
        <w:tc>
          <w:tcPr>
            <w:tcW w:type="dxa" w:w="2520"/>
            <w:tcMar>
              <w:top w:type="dxa" w:w="80"/>
              <w:left w:type="dxa" w:w="120"/>
              <w:bottom w:type="dxa" w:w="80"/>
              <w:right w:type="dxa" w:w="120"/>
            </w:tcMar>
          </w:tcPr>
          <w:p>
            <w:r>
              <w:rPr>
                <w:rFonts w:ascii="Arial" w:cs="Arial" w:eastAsia="Arial" w:hAnsi="Arial"/>
                <w:b/>
                <w:bCs/>
                <w:sz w:val="20"/>
                <w:szCs w:val="20"/>
              </w:rPr>
              <w:t xml:space="preserve">File Name</w:t>
            </w:r>
          </w:p>
        </w:tc>
        <w:tc>
          <w:tcPr>
            <w:tcW w:type="dxa" w:w="6480"/>
            <w:tcMar>
              <w:top w:type="dxa" w:w="80"/>
              <w:left w:type="dxa" w:w="120"/>
              <w:bottom w:type="dxa" w:w="80"/>
              <w:right w:type="dxa" w:w="120"/>
            </w:tcMar>
          </w:tcPr>
          <w:p>
            <w:r>
              <w:rPr>
                <w:rFonts w:ascii="Arial" w:cs="Arial" w:eastAsia="Arial" w:hAnsi="Arial"/>
                <w:sz w:val="20"/>
                <w:szCs w:val="20"/>
              </w:rPr>
              <w:t xml:space="preserve">Group_1_Sprint_4.docx</w:t>
            </w:r>
          </w:p>
        </w:tc>
      </w:tr>
    </w:tbl>
    <w:p>
      <w:pPr>
        <w:spacing w:after="0" w:before="200"/>
      </w:pPr>
    </w:p>
    <w:p>
      <w:pPr>
        <w:pStyle w:val="Heading1"/>
        <w:spacing w:after="160" w:before="320"/>
      </w:pPr>
      <w:r>
        <w:rPr>
          <w:rFonts w:ascii="Arial" w:cs="Arial" w:eastAsia="Arial" w:hAnsi="Arial"/>
          <w:b/>
          <w:bCs/>
          <w:sz w:val="32"/>
          <w:szCs w:val="32"/>
        </w:rPr>
        <w:t xml:space="preserve">*) Work Done in This Sprint</w:t>
      </w:r>
    </w:p>
    <w:p>
      <w:pPr>
        <w:spacing w:after="80" w:before="80"/>
      </w:pPr>
      <w:r>
        <w:rPr>
          <w:rFonts w:ascii="Arial" w:cs="Arial" w:eastAsia="Arial" w:hAnsi="Arial"/>
          <w:sz w:val="22"/>
          <w:szCs w:val="22"/>
        </w:rPr>
        <w:t xml:space="preserve">This sprint delivers full test coverage across all functional and non-functional requirements. Unit tests, integration tests, cross-browser tests, and performance tests are executed, and all identified bugs are triaged and resolved.</w:t>
      </w:r>
    </w:p>
    <w:p>
      <w:pPr>
        <w:spacing w:after="0" w:before="80"/>
      </w:pPr>
    </w:p>
    <w:p>
      <w:pPr>
        <w:pStyle w:val="ListParagraph"/>
        <w:numPr>
          <w:ilvl w:val="0"/>
          <w:numId w:val="2"/>
        </w:numPr>
        <w:spacing w:after="60" w:before="140"/>
      </w:pPr>
      <w:r>
        <w:rPr>
          <w:rFonts w:ascii="Arial" w:cs="Arial" w:eastAsia="Arial" w:hAnsi="Arial"/>
          <w:b/>
          <w:bCs/>
          <w:sz w:val="22"/>
          <w:szCs w:val="22"/>
        </w:rPr>
        <w:t xml:space="preserve">Backend Unit &amp; Integration Testing</w:t>
      </w:r>
    </w:p>
    <w:p>
      <w:pPr>
        <w:pStyle w:val="ListParagraph"/>
        <w:numPr>
          <w:ilvl w:val="0"/>
          <w:numId w:val="3"/>
        </w:numPr>
        <w:spacing w:after="40" w:before="40"/>
      </w:pPr>
      <w:r>
        <w:rPr>
          <w:rFonts w:ascii="Arial" w:cs="Arial" w:eastAsia="Arial" w:hAnsi="Arial"/>
          <w:b/>
          <w:bCs/>
          <w:sz w:val="22"/>
          <w:szCs w:val="22"/>
        </w:rPr>
        <w:t xml:space="preserve">T0016 – </w:t>
      </w:r>
      <w:r>
        <w:rPr>
          <w:rFonts w:ascii="Arial" w:cs="Arial" w:eastAsia="Arial" w:hAnsi="Arial"/>
          <w:sz w:val="22"/>
          <w:szCs w:val="22"/>
        </w:rPr>
        <w:t xml:space="preserve">Executed backend unit tests for each visualization service (UML generation, flowchart generation, code formatter) covering normal inputs, edge cases (empty class body, interfaces only, deeply nested loops), and invalid inputs (syntax errors, empty string). All tests pass.</w:t>
      </w:r>
    </w:p>
    <w:p>
      <w:pPr>
        <w:pStyle w:val="ListParagraph"/>
        <w:numPr>
          <w:ilvl w:val="0"/>
          <w:numId w:val="3"/>
        </w:numPr>
        <w:spacing w:after="40" w:before="40"/>
      </w:pPr>
      <w:r>
        <w:rPr>
          <w:rFonts w:ascii="Arial" w:cs="Arial" w:eastAsia="Arial" w:hAnsi="Arial"/>
          <w:b/>
          <w:bCs/>
          <w:sz w:val="22"/>
          <w:szCs w:val="22"/>
        </w:rPr>
        <w:t xml:space="preserve">T0017 – </w:t>
      </w:r>
      <w:r>
        <w:rPr>
          <w:rFonts w:ascii="Arial" w:cs="Arial" w:eastAsia="Arial" w:hAnsi="Arial"/>
          <w:sz w:val="22"/>
          <w:szCs w:val="22"/>
        </w:rPr>
        <w:t xml:space="preserve">Executed WebSocket integration tests: validated the full code-to-diagram pipeline via STOMP, measured round-trip latency, and tested concurrent connections. Latency target of &lt;100 ms confirmed under normal load. Behaviour under 10 simultaneous connections verified without message loss.</w:t>
      </w:r>
    </w:p>
    <w:p>
      <w:pPr>
        <w:pStyle w:val="ListParagraph"/>
        <w:numPr>
          <w:ilvl w:val="0"/>
          <w:numId w:val="2"/>
        </w:numPr>
        <w:spacing w:after="60" w:before="140"/>
      </w:pPr>
      <w:r>
        <w:rPr>
          <w:rFonts w:ascii="Arial" w:cs="Arial" w:eastAsia="Arial" w:hAnsi="Arial"/>
          <w:b/>
          <w:bCs/>
          <w:sz w:val="22"/>
          <w:szCs w:val="22"/>
        </w:rPr>
        <w:t xml:space="preserve">Cross-Browser, Performance &amp; Bug Fixing</w:t>
      </w:r>
    </w:p>
    <w:p>
      <w:pPr>
        <w:pStyle w:val="ListParagraph"/>
        <w:numPr>
          <w:ilvl w:val="0"/>
          <w:numId w:val="3"/>
        </w:numPr>
        <w:spacing w:after="40" w:before="40"/>
      </w:pPr>
      <w:r>
        <w:rPr>
          <w:rFonts w:ascii="Arial" w:cs="Arial" w:eastAsia="Arial" w:hAnsi="Arial"/>
          <w:b/>
          <w:bCs/>
          <w:sz w:val="22"/>
          <w:szCs w:val="22"/>
        </w:rPr>
        <w:t xml:space="preserve">T0018 – </w:t>
      </w:r>
      <w:r>
        <w:rPr>
          <w:rFonts w:ascii="Arial" w:cs="Arial" w:eastAsia="Arial" w:hAnsi="Arial"/>
          <w:sz w:val="22"/>
          <w:szCs w:val="22"/>
        </w:rPr>
        <w:t xml:space="preserve">Completed manual cross-browser testing on Chrome, Firefox, Edge, and Safari. Two Safari-specific layout issues in the Mermaid.js diagram panel were identified and fixed. No functional defects found on Chrome, Firefox, or Edge.</w:t>
      </w:r>
    </w:p>
    <w:p>
      <w:pPr>
        <w:pStyle w:val="ListParagraph"/>
        <w:numPr>
          <w:ilvl w:val="0"/>
          <w:numId w:val="3"/>
        </w:numPr>
        <w:spacing w:after="40" w:before="40"/>
      </w:pPr>
      <w:r>
        <w:rPr>
          <w:rFonts w:ascii="Arial" w:cs="Arial" w:eastAsia="Arial" w:hAnsi="Arial"/>
          <w:b/>
          <w:bCs/>
          <w:sz w:val="22"/>
          <w:szCs w:val="22"/>
        </w:rPr>
        <w:t xml:space="preserve">T0019 – </w:t>
      </w:r>
      <w:r>
        <w:rPr>
          <w:rFonts w:ascii="Arial" w:cs="Arial" w:eastAsia="Arial" w:hAnsi="Arial"/>
          <w:sz w:val="22"/>
          <w:szCs w:val="22"/>
        </w:rPr>
        <w:t xml:space="preserve">Completed performance tests against all NFR-01 thresholds: compile &lt;3 s confirmed, UML generation &lt;2 s confirmed, flowchart generation &lt;1 s confirmed, WebSocket latency &lt;100 ms confirmed under normal load.</w:t>
      </w:r>
    </w:p>
    <w:p>
      <w:pPr>
        <w:pStyle w:val="ListParagraph"/>
        <w:numPr>
          <w:ilvl w:val="0"/>
          <w:numId w:val="3"/>
        </w:numPr>
        <w:spacing w:after="40" w:before="40"/>
      </w:pPr>
      <w:r>
        <w:rPr>
          <w:rFonts w:ascii="Arial" w:cs="Arial" w:eastAsia="Arial" w:hAnsi="Arial"/>
          <w:b/>
          <w:bCs/>
          <w:sz w:val="22"/>
          <w:szCs w:val="22"/>
        </w:rPr>
        <w:t xml:space="preserve">T0020 – </w:t>
      </w:r>
      <w:r>
        <w:rPr>
          <w:rFonts w:ascii="Arial" w:cs="Arial" w:eastAsia="Arial" w:hAnsi="Arial"/>
          <w:sz w:val="22"/>
          <w:szCs w:val="22"/>
        </w:rPr>
        <w:t xml:space="preserve">Completed bug triage: all identified bugs categorised by priority. All P1 (high-priority) bugs have been fixed and regression-tested. No P1 bugs remain open. Known P2 and P3 items are documented in the issues list.</w:t>
      </w:r>
    </w:p>
    <w:p>
      <w:pPr>
        <w:spacing w:after="0" w:before="200"/>
      </w:pPr>
    </w:p>
    <w:p>
      <w:pPr>
        <w:pStyle w:val="Heading1"/>
        <w:spacing w:after="160" w:before="320"/>
      </w:pPr>
      <w:r>
        <w:rPr>
          <w:rFonts w:ascii="Arial" w:cs="Arial" w:eastAsia="Arial" w:hAnsi="Arial"/>
          <w:b/>
          <w:bCs/>
          <w:sz w:val="32"/>
          <w:szCs w:val="32"/>
        </w:rPr>
        <w:t xml:space="preserve">*) Work Planning for Next Sprint</w:t>
      </w:r>
    </w:p>
    <w:p>
      <w:pPr>
        <w:spacing w:after="80" w:before="80"/>
      </w:pPr>
      <w:r>
        <w:rPr>
          <w:rFonts w:ascii="Arial" w:cs="Arial" w:eastAsia="Arial" w:hAnsi="Arial"/>
          <w:sz w:val="22"/>
          <w:szCs w:val="22"/>
        </w:rPr>
        <w:t xml:space="preserve">Sprint 5 is the final sprint, covering production deployment, documentation finalization, and the live presentation. All activities must be completed by 20/04/2026.</w:t>
      </w:r>
    </w:p>
    <w:p>
      <w:pPr>
        <w:spacing w:after="0" w:before="80"/>
      </w:pPr>
    </w:p>
    <w:p>
      <w:pPr>
        <w:pStyle w:val="ListParagraph"/>
        <w:numPr>
          <w:ilvl w:val="0"/>
          <w:numId w:val="2"/>
        </w:numPr>
        <w:spacing w:after="60" w:before="140"/>
      </w:pPr>
      <w:r>
        <w:rPr>
          <w:rFonts w:ascii="Arial" w:cs="Arial" w:eastAsia="Arial" w:hAnsi="Arial"/>
          <w:b/>
          <w:bCs/>
          <w:sz w:val="22"/>
          <w:szCs w:val="22"/>
        </w:rPr>
        <w:t xml:space="preserve">Deployment &amp; Documentation</w:t>
      </w:r>
    </w:p>
    <w:p>
      <w:pPr>
        <w:pStyle w:val="ListParagraph"/>
        <w:numPr>
          <w:ilvl w:val="0"/>
          <w:numId w:val="3"/>
        </w:numPr>
        <w:spacing w:after="40" w:before="40"/>
      </w:pPr>
      <w:r>
        <w:rPr>
          <w:rFonts w:ascii="Arial" w:cs="Arial" w:eastAsia="Arial" w:hAnsi="Arial"/>
          <w:b/>
          <w:bCs/>
          <w:sz w:val="22"/>
          <w:szCs w:val="22"/>
        </w:rPr>
        <w:t xml:space="preserve">T0021 – </w:t>
      </w:r>
      <w:r>
        <w:rPr>
          <w:rFonts w:ascii="Arial" w:cs="Arial" w:eastAsia="Arial" w:hAnsi="Arial"/>
          <w:sz w:val="22"/>
          <w:szCs w:val="22"/>
        </w:rPr>
        <w:t xml:space="preserve">Write the README, API endpoint reference documentation, and student-facing user guide describing all features, input constraints, and known limitations.</w:t>
      </w:r>
    </w:p>
    <w:p>
      <w:pPr>
        <w:pStyle w:val="ListParagraph"/>
        <w:numPr>
          <w:ilvl w:val="0"/>
          <w:numId w:val="3"/>
        </w:numPr>
        <w:spacing w:after="40" w:before="40"/>
      </w:pPr>
      <w:r>
        <w:rPr>
          <w:rFonts w:ascii="Arial" w:cs="Arial" w:eastAsia="Arial" w:hAnsi="Arial"/>
          <w:b/>
          <w:bCs/>
          <w:sz w:val="22"/>
          <w:szCs w:val="22"/>
        </w:rPr>
        <w:t xml:space="preserve">T0022 – </w:t>
      </w:r>
      <w:r>
        <w:rPr>
          <w:rFonts w:ascii="Arial" w:cs="Arial" w:eastAsia="Arial" w:hAnsi="Arial"/>
          <w:sz w:val="22"/>
          <w:szCs w:val="22"/>
        </w:rPr>
        <w:t xml:space="preserve">Configure the production server, build the JAR artifact, deploy the application, and run smoke tests to confirm the application starts and all core features operate correctly on the live server.</w:t>
      </w:r>
    </w:p>
    <w:p>
      <w:pPr>
        <w:pStyle w:val="ListParagraph"/>
        <w:numPr>
          <w:ilvl w:val="0"/>
          <w:numId w:val="2"/>
        </w:numPr>
        <w:spacing w:after="60" w:before="140"/>
      </w:pPr>
      <w:r>
        <w:rPr>
          <w:rFonts w:ascii="Arial" w:cs="Arial" w:eastAsia="Arial" w:hAnsi="Arial"/>
          <w:b/>
          <w:bCs/>
          <w:sz w:val="22"/>
          <w:szCs w:val="22"/>
        </w:rPr>
        <w:t xml:space="preserve">Presentation &amp; Submission</w:t>
      </w:r>
    </w:p>
    <w:p>
      <w:pPr>
        <w:pStyle w:val="ListParagraph"/>
        <w:numPr>
          <w:ilvl w:val="0"/>
          <w:numId w:val="3"/>
        </w:numPr>
        <w:spacing w:after="40" w:before="40"/>
      </w:pPr>
      <w:r>
        <w:rPr>
          <w:rFonts w:ascii="Arial" w:cs="Arial" w:eastAsia="Arial" w:hAnsi="Arial"/>
          <w:b/>
          <w:bCs/>
          <w:sz w:val="22"/>
          <w:szCs w:val="22"/>
        </w:rPr>
        <w:t xml:space="preserve">T0023 – </w:t>
      </w:r>
      <w:r>
        <w:rPr>
          <w:rFonts w:ascii="Arial" w:cs="Arial" w:eastAsia="Arial" w:hAnsi="Arial"/>
          <w:sz w:val="22"/>
          <w:szCs w:val="22"/>
        </w:rPr>
        <w:t xml:space="preserve">Prepare presentation slides covering system overview, architecture, feature demonstrations, technical challenges overcome, and known limitations. Rehearse the live demo at least twice.</w:t>
      </w:r>
    </w:p>
    <w:p>
      <w:pPr>
        <w:pStyle w:val="ListParagraph"/>
        <w:numPr>
          <w:ilvl w:val="0"/>
          <w:numId w:val="3"/>
        </w:numPr>
        <w:spacing w:after="40" w:before="40"/>
      </w:pPr>
      <w:r>
        <w:rPr>
          <w:rFonts w:ascii="Arial" w:cs="Arial" w:eastAsia="Arial" w:hAnsi="Arial"/>
          <w:b/>
          <w:bCs/>
          <w:sz w:val="22"/>
          <w:szCs w:val="22"/>
        </w:rPr>
        <w:t xml:space="preserve">T0024 – </w:t>
      </w:r>
      <w:r>
        <w:rPr>
          <w:rFonts w:ascii="Arial" w:cs="Arial" w:eastAsia="Arial" w:hAnsi="Arial"/>
          <w:sz w:val="22"/>
          <w:szCs w:val="22"/>
        </w:rPr>
        <w:t xml:space="preserve">Deliver the live J-VizAudit demonstration, handle Q&amp;A from the evaluation panel, and submit all project documentation and source code.</w:t>
      </w:r>
    </w:p>
    <w:p>
      <w:pPr>
        <w:spacing w:after="0" w:before="200"/>
      </w:pPr>
    </w:p>
    <w:p>
      <w:pPr>
        <w:pStyle w:val="Heading1"/>
        <w:spacing w:after="160" w:before="320"/>
      </w:pPr>
      <w:r>
        <w:rPr>
          <w:rFonts w:ascii="Arial" w:cs="Arial" w:eastAsia="Arial" w:hAnsi="Arial"/>
          <w:b/>
          <w:bCs/>
          <w:sz w:val="32"/>
          <w:szCs w:val="32"/>
        </w:rPr>
        <w:t xml:space="preserve">*) Issues &amp; Questions</w:t>
      </w:r>
    </w:p>
    <w:p>
      <w:pPr>
        <w:spacing w:after="0" w:before="60"/>
      </w:pPr>
    </w:p>
    <w:p>
      <w:pPr>
        <w:pStyle w:val="Heading2"/>
        <w:spacing w:after="100" w:before="240"/>
      </w:pPr>
      <w:r>
        <w:rPr>
          <w:rFonts w:ascii="Arial" w:cs="Arial" w:eastAsia="Arial" w:hAnsi="Arial"/>
          <w:b/>
          <w:bCs/>
          <w:sz w:val="26"/>
          <w:szCs w:val="26"/>
        </w:rPr>
        <w:t xml:space="preserve">Issues</w:t>
      </w:r>
    </w:p>
    <w:p>
      <w:pPr>
        <w:pStyle w:val="ListParagraph"/>
        <w:numPr>
          <w:ilvl w:val="0"/>
          <w:numId w:val="2"/>
        </w:numPr>
        <w:spacing w:after="60" w:before="80"/>
      </w:pPr>
      <w:r>
        <w:rPr>
          <w:rFonts w:ascii="Arial" w:cs="Arial" w:eastAsia="Arial" w:hAnsi="Arial"/>
          <w:sz w:val="22"/>
          <w:szCs w:val="22"/>
        </w:rPr>
        <w:t xml:space="preserve">Safari rendering issues in the Mermaid.js diagram panel were resolved during T0018, but Safari WebSocket reconnection behaviour after sleep/wake cycles has not been fully tested. This is flagged as a low-priority known issue.</w:t>
      </w:r>
    </w:p>
    <w:p>
      <w:pPr>
        <w:pStyle w:val="ListParagraph"/>
        <w:numPr>
          <w:ilvl w:val="0"/>
          <w:numId w:val="2"/>
        </w:numPr>
        <w:spacing w:after="60" w:before="80"/>
      </w:pPr>
      <w:r>
        <w:rPr>
          <w:rFonts w:ascii="Arial" w:cs="Arial" w:eastAsia="Arial" w:hAnsi="Arial"/>
          <w:sz w:val="22"/>
          <w:szCs w:val="22"/>
        </w:rPr>
        <w:t xml:space="preserve">Performance tests (T0019) were conducted with a single simulated user. Load testing under 10+ concurrent users was conducted during T0017 (WebSocket integration test) but not under full compile-and-execute load. This gap is accepted given the classroom deployment context.</w:t>
      </w:r>
    </w:p>
    <w:p>
      <w:pPr>
        <w:spacing w:after="0" w:before="80"/>
      </w:pPr>
    </w:p>
    <w:p>
      <w:pPr>
        <w:pStyle w:val="Heading2"/>
        <w:spacing w:after="100" w:before="240"/>
      </w:pPr>
      <w:r>
        <w:rPr>
          <w:rFonts w:ascii="Arial" w:cs="Arial" w:eastAsia="Arial" w:hAnsi="Arial"/>
          <w:b/>
          <w:bCs/>
          <w:sz w:val="26"/>
          <w:szCs w:val="26"/>
        </w:rPr>
        <w:t xml:space="preserve">Questions</w:t>
      </w:r>
    </w:p>
    <w:p>
      <w:pPr>
        <w:pStyle w:val="ListParagraph"/>
        <w:numPr>
          <w:ilvl w:val="0"/>
          <w:numId w:val="2"/>
        </w:numPr>
        <w:spacing w:after="60" w:before="80"/>
      </w:pPr>
      <w:r>
        <w:rPr>
          <w:rFonts w:ascii="Arial" w:cs="Arial" w:eastAsia="Arial" w:hAnsi="Arial"/>
          <w:sz w:val="22"/>
          <w:szCs w:val="22"/>
        </w:rPr>
        <w:t xml:space="preserve">Should the production deployment (T0022) target a cloud platform (e.g., Render, Railway) or a local university server? The choice affects the smoke-test procedure and the URL provided in the submission documentation.</w:t>
      </w:r>
    </w:p>
    <w:p>
      <w:pPr>
        <w:pStyle w:val="ListParagraph"/>
        <w:numPr>
          <w:ilvl w:val="0"/>
          <w:numId w:val="2"/>
        </w:numPr>
        <w:spacing w:after="60" w:before="80"/>
      </w:pPr>
      <w:r>
        <w:rPr>
          <w:rFonts w:ascii="Arial" w:cs="Arial" w:eastAsia="Arial" w:hAnsi="Arial"/>
          <w:sz w:val="22"/>
          <w:szCs w:val="22"/>
        </w:rPr>
        <w:t xml:space="preserve">Should all project documentation (README, API reference, user manual) be submitted as a single ZIP archive or as separate files through the course submission portal?</w:t>
      </w:r>
    </w:p>
    <w:p>
      <w:pPr>
        <w:spacing w:after="0" w:before="200"/>
      </w:pPr>
    </w:p>
    <w:p>
      <w:pPr>
        <w:pStyle w:val="Heading1"/>
        <w:spacing w:after="160" w:before="320"/>
      </w:pPr>
      <w:r>
        <w:rPr>
          <w:rFonts w:ascii="Arial" w:cs="Arial" w:eastAsia="Arial" w:hAnsi="Arial"/>
          <w:b/>
          <w:bCs/>
          <w:sz w:val="32"/>
          <w:szCs w:val="32"/>
        </w:rPr>
        <w:t xml:space="preserve">*) Change Requests</w:t>
      </w:r>
    </w:p>
    <w:p>
      <w:pPr>
        <w:pStyle w:val="ListParagraph"/>
        <w:numPr>
          <w:ilvl w:val="0"/>
          <w:numId w:val="2"/>
        </w:numPr>
        <w:spacing w:after="60" w:before="80"/>
      </w:pPr>
      <w:r>
        <w:rPr>
          <w:rFonts w:ascii="Arial" w:cs="Arial" w:eastAsia="Arial" w:hAnsi="Arial"/>
          <w:sz w:val="22"/>
          <w:szCs w:val="22"/>
        </w:rPr>
        <w:t xml:space="preserve">[CR-03] Deployment Timeline Buffer: move the target completion of T0022 (Server Deployment) earlier than the originally planned date to provide additional time for troubleshooting before the final presentation. A working local backup will also be maintained as a contingency.</w:t>
      </w:r>
    </w:p>
    <w:p>
      <w:pPr>
        <w:pStyle w:val="ListParagraph"/>
        <w:numPr>
          <w:ilvl w:val="0"/>
          <w:numId w:val="2"/>
        </w:numPr>
        <w:spacing w:after="60" w:before="80"/>
      </w:pPr>
      <w:r>
        <w:rPr>
          <w:rFonts w:ascii="Arial" w:cs="Arial" w:eastAsia="Arial" w:hAnsi="Arial"/>
          <w:sz w:val="22"/>
          <w:szCs w:val="22"/>
        </w:rPr>
        <w:t xml:space="preserve">No additional feature change requests. Scope is frozen as of Sprint 4. Any new feature requests will be recorded as backlog items for a future release.</w:t>
      </w:r>
    </w:p>
    <w:p>
      <w:pPr>
        <w:spacing w:after="0" w:before="200"/>
      </w:pPr>
    </w:p>
    <w:p>
      <w:pPr>
        <w:pBdr>
          <w:bottom w:val="single" w:color="000000" w:sz="6" w:space="1"/>
        </w:pBdr>
        <w:spacing w:after="160" w:before="160"/>
      </w:pPr>
    </w:p>
    <w:p>
      <w:pPr>
        <w:spacing w:after="0" w:before="100"/>
        <w:jc w:val="center"/>
      </w:pPr>
      <w:r>
        <w:rPr>
          <w:rFonts w:ascii="Arial" w:cs="Arial" w:eastAsia="Arial" w:hAnsi="Arial"/>
          <w:i/>
          <w:iCs/>
          <w:sz w:val="18"/>
          <w:szCs w:val="18"/>
        </w:rPr>
        <w:t xml:space="preserve">End of Sprint 4 Report – J-VizAudit – Group 1, SE2,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80"/>
      <w:jc w:val="center"/>
    </w:pPr>
    <w:r>
      <w:rPr>
        <w:rFonts w:ascii="Arial" w:cs="Arial" w:eastAsia="Arial" w:hAnsi="Arial"/>
        <w:sz w:val="16"/>
        <w:szCs w:val="16"/>
      </w:rPr>
      <w:t xml:space="preserve">Group 1 – J-VizAudit  |  Sprint 4 – Testing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100"/>
      <w:jc w:val="center"/>
    </w:pPr>
    <w:r>
      <w:rPr>
        <w:rFonts w:ascii="Arial" w:cs="Arial" w:eastAsia="Arial" w:hAnsi="Arial"/>
        <w:i/>
        <w:iCs/>
        <w:sz w:val="18"/>
        <w:szCs w:val="18"/>
      </w:rPr>
      <w:t xml:space="preserve">Sprint Report – J-VizAudit (Group 1)  |  Sprint 4 –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2026-04-13T05:49:43.565Z</dcterms:created>
  <dcterms:modified xsi:type="dcterms:W3CDTF">2026-04-13T05:49:43.565Z</dcterms:modified>
</cp:coreProperties>
</file>

<file path=docProps/custom.xml><?xml version="1.0" encoding="utf-8"?>
<Properties xmlns="http://schemas.openxmlformats.org/officeDocument/2006/custom-properties" xmlns:vt="http://schemas.openxmlformats.org/officeDocument/2006/docPropsVTypes"/>
</file>