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44"/>
          <w:szCs w:val="44"/>
        </w:rPr>
        <w:t xml:space="preserve">SPRINT 3 REPORT</w:t>
      </w:r>
    </w:p>
    <w:p>
      <w:pPr>
        <w:spacing w:after="60" w:before="0"/>
        <w:jc w:val="center"/>
      </w:pPr>
      <w:r>
        <w:rPr>
          <w:rFonts w:ascii="Arial" w:cs="Arial" w:eastAsia="Arial" w:hAnsi="Arial"/>
          <w:b/>
          <w:bCs/>
          <w:sz w:val="26"/>
          <w:szCs w:val="26"/>
        </w:rPr>
        <w:t xml:space="preserve">J-VizAudit – Online Java Compiler with Visualization</w:t>
      </w:r>
    </w:p>
    <w:p>
      <w:pPr>
        <w:spacing w:after="240" w:before="0"/>
        <w:jc w:val="center"/>
      </w:pPr>
      <w:r>
        <w:rPr>
          <w:rFonts w:ascii="Arial" w:cs="Arial" w:eastAsia="Arial" w:hAnsi="Arial"/>
          <w:sz w:val="22"/>
          <w:szCs w:val="22"/>
        </w:rPr>
        <w:t xml:space="preserve">Group 1  |  Sprint 3 – Frontend &amp; Integration  |  SE2 2026</w:t>
      </w:r>
    </w:p>
    <w:p>
      <w:pPr>
        <w:pBdr>
          <w:bottom w:val="single" w:color="000000" w:sz="6" w:space="1"/>
        </w:pBdr>
        <w:spacing w:after="160" w:before="160"/>
      </w:pPr>
    </w:p>
    <w:p>
      <w:pPr>
        <w:spacing w:after="0" w:before="1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20"/>
        <w:gridCol w:w="6480"/>
      </w:tblGrid>
      <w:tr>
        <w:tc>
          <w:tcPr>
            <w:tcW w:type="dxa" w:w="2520"/>
            <w:tcMar>
              <w:top w:type="dxa" w:w="80"/>
              <w:left w:type="dxa" w:w="120"/>
              <w:bottom w:type="dxa" w:w="80"/>
              <w:right w:type="dxa" w:w="120"/>
            </w:tcMar>
          </w:tcPr>
          <w:p>
            <w:r>
              <w:rPr>
                <w:rFonts w:ascii="Arial" w:cs="Arial" w:eastAsia="Arial" w:hAnsi="Arial"/>
                <w:b/>
                <w:bCs/>
                <w:sz w:val="20"/>
                <w:szCs w:val="20"/>
              </w:rPr>
              <w:t xml:space="preserve">Sprint No.</w:t>
            </w:r>
          </w:p>
        </w:tc>
        <w:tc>
          <w:tcPr>
            <w:tcW w:type="dxa" w:w="6480"/>
            <w:tcMar>
              <w:top w:type="dxa" w:w="80"/>
              <w:left w:type="dxa" w:w="120"/>
              <w:bottom w:type="dxa" w:w="80"/>
              <w:right w:type="dxa" w:w="120"/>
            </w:tcMar>
          </w:tcPr>
          <w:p>
            <w:r>
              <w:rPr>
                <w:rFonts w:ascii="Arial" w:cs="Arial" w:eastAsia="Arial" w:hAnsi="Arial"/>
                <w:sz w:val="20"/>
                <w:szCs w:val="20"/>
              </w:rPr>
              <w:t xml:space="preserve">Sprint 3</w:t>
            </w:r>
          </w:p>
        </w:tc>
      </w:tr>
      <w:tr>
        <w:tc>
          <w:tcPr>
            <w:tcW w:type="dxa" w:w="2520"/>
            <w:tcMar>
              <w:top w:type="dxa" w:w="80"/>
              <w:left w:type="dxa" w:w="120"/>
              <w:bottom w:type="dxa" w:w="80"/>
              <w:right w:type="dxa" w:w="120"/>
            </w:tcMar>
          </w:tcPr>
          <w:p>
            <w:r>
              <w:rPr>
                <w:rFonts w:ascii="Arial" w:cs="Arial" w:eastAsia="Arial" w:hAnsi="Arial"/>
                <w:b/>
                <w:bCs/>
                <w:sz w:val="20"/>
                <w:szCs w:val="20"/>
              </w:rPr>
              <w:t xml:space="preserve">Sprint Name</w:t>
            </w:r>
          </w:p>
        </w:tc>
        <w:tc>
          <w:tcPr>
            <w:tcW w:type="dxa" w:w="6480"/>
            <w:tcMar>
              <w:top w:type="dxa" w:w="80"/>
              <w:left w:type="dxa" w:w="120"/>
              <w:bottom w:type="dxa" w:w="80"/>
              <w:right w:type="dxa" w:w="120"/>
            </w:tcMar>
          </w:tcPr>
          <w:p>
            <w:r>
              <w:rPr>
                <w:rFonts w:ascii="Arial" w:cs="Arial" w:eastAsia="Arial" w:hAnsi="Arial"/>
                <w:sz w:val="20"/>
                <w:szCs w:val="20"/>
              </w:rPr>
              <w:t xml:space="preserve">Frontend Development &amp; Full Integration</w:t>
            </w:r>
          </w:p>
        </w:tc>
      </w:tr>
      <w:tr>
        <w:tc>
          <w:tcPr>
            <w:tcW w:type="dxa" w:w="2520"/>
            <w:tcMar>
              <w:top w:type="dxa" w:w="80"/>
              <w:left w:type="dxa" w:w="120"/>
              <w:bottom w:type="dxa" w:w="80"/>
              <w:right w:type="dxa" w:w="120"/>
            </w:tcMar>
          </w:tcPr>
          <w:p>
            <w:r>
              <w:rPr>
                <w:rFonts w:ascii="Arial" w:cs="Arial" w:eastAsia="Arial" w:hAnsi="Arial"/>
                <w:b/>
                <w:bCs/>
                <w:sz w:val="20"/>
                <w:szCs w:val="20"/>
              </w:rPr>
              <w:t xml:space="preserve">Period</w:t>
            </w:r>
          </w:p>
        </w:tc>
        <w:tc>
          <w:tcPr>
            <w:tcW w:type="dxa" w:w="6480"/>
            <w:tcMar>
              <w:top w:type="dxa" w:w="80"/>
              <w:left w:type="dxa" w:w="120"/>
              <w:bottom w:type="dxa" w:w="80"/>
              <w:right w:type="dxa" w:w="120"/>
            </w:tcMar>
          </w:tcPr>
          <w:p>
            <w:r>
              <w:rPr>
                <w:rFonts w:ascii="Arial" w:cs="Arial" w:eastAsia="Arial" w:hAnsi="Arial"/>
                <w:sz w:val="20"/>
                <w:szCs w:val="20"/>
              </w:rPr>
              <w:t xml:space="preserve">26/03/2026 – 04/04/2026</w:t>
            </w:r>
          </w:p>
        </w:tc>
      </w:tr>
      <w:tr>
        <w:tc>
          <w:tcPr>
            <w:tcW w:type="dxa" w:w="2520"/>
            <w:tcMar>
              <w:top w:type="dxa" w:w="80"/>
              <w:left w:type="dxa" w:w="120"/>
              <w:bottom w:type="dxa" w:w="80"/>
              <w:right w:type="dxa" w:w="120"/>
            </w:tcMar>
          </w:tcPr>
          <w:p>
            <w:r>
              <w:rPr>
                <w:rFonts w:ascii="Arial" w:cs="Arial" w:eastAsia="Arial" w:hAnsi="Arial"/>
                <w:b/>
                <w:bCs/>
                <w:sz w:val="20"/>
                <w:szCs w:val="20"/>
              </w:rPr>
              <w:t xml:space="preserve">Phase</w:t>
            </w:r>
          </w:p>
        </w:tc>
        <w:tc>
          <w:tcPr>
            <w:tcW w:type="dxa" w:w="6480"/>
            <w:tcMar>
              <w:top w:type="dxa" w:w="80"/>
              <w:left w:type="dxa" w:w="120"/>
              <w:bottom w:type="dxa" w:w="80"/>
              <w:right w:type="dxa" w:w="120"/>
            </w:tcMar>
          </w:tcPr>
          <w:p>
            <w:r>
              <w:rPr>
                <w:rFonts w:ascii="Arial" w:cs="Arial" w:eastAsia="Arial" w:hAnsi="Arial"/>
                <w:sz w:val="20"/>
                <w:szCs w:val="20"/>
              </w:rPr>
              <w:t xml:space="preserve">Phase 2B – Frontend Development</w:t>
            </w:r>
          </w:p>
        </w:tc>
      </w:tr>
      <w:tr>
        <w:tc>
          <w:tcPr>
            <w:tcW w:type="dxa" w:w="2520"/>
            <w:tcMar>
              <w:top w:type="dxa" w:w="80"/>
              <w:left w:type="dxa" w:w="120"/>
              <w:bottom w:type="dxa" w:w="80"/>
              <w:right w:type="dxa" w:w="120"/>
            </w:tcMar>
          </w:tcPr>
          <w:p>
            <w:r>
              <w:rPr>
                <w:rFonts w:ascii="Arial" w:cs="Arial" w:eastAsia="Arial" w:hAnsi="Arial"/>
                <w:b/>
                <w:bCs/>
                <w:sz w:val="20"/>
                <w:szCs w:val="20"/>
              </w:rPr>
              <w:t xml:space="preserve">File Name</w:t>
            </w:r>
          </w:p>
        </w:tc>
        <w:tc>
          <w:tcPr>
            <w:tcW w:type="dxa" w:w="6480"/>
            <w:tcMar>
              <w:top w:type="dxa" w:w="80"/>
              <w:left w:type="dxa" w:w="120"/>
              <w:bottom w:type="dxa" w:w="80"/>
              <w:right w:type="dxa" w:w="120"/>
            </w:tcMar>
          </w:tcPr>
          <w:p>
            <w:r>
              <w:rPr>
                <w:rFonts w:ascii="Arial" w:cs="Arial" w:eastAsia="Arial" w:hAnsi="Arial"/>
                <w:sz w:val="20"/>
                <w:szCs w:val="20"/>
              </w:rPr>
              <w:t xml:space="preserve">Group_1_Sprint_3.docx</w:t>
            </w:r>
          </w:p>
        </w:tc>
      </w:tr>
    </w:tbl>
    <w:p>
      <w:pPr>
        <w:spacing w:after="0" w:before="200"/>
      </w:pPr>
    </w:p>
    <w:p>
      <w:pPr>
        <w:pStyle w:val="Heading1"/>
        <w:spacing w:after="160" w:before="320"/>
      </w:pPr>
      <w:r>
        <w:rPr>
          <w:rFonts w:ascii="Arial" w:cs="Arial" w:eastAsia="Arial" w:hAnsi="Arial"/>
          <w:b/>
          <w:bCs/>
          <w:sz w:val="32"/>
          <w:szCs w:val="32"/>
        </w:rPr>
        <w:t xml:space="preserve">*) Work Done in This Sprint</w:t>
      </w:r>
    </w:p>
    <w:p>
      <w:pPr>
        <w:spacing w:after="80" w:before="80"/>
      </w:pPr>
      <w:r>
        <w:rPr>
          <w:rFonts w:ascii="Arial" w:cs="Arial" w:eastAsia="Arial" w:hAnsi="Arial"/>
          <w:sz w:val="22"/>
          <w:szCs w:val="22"/>
        </w:rPr>
        <w:t xml:space="preserve">This sprint completes the remaining backend APIs and delivers the full frontend. All components — Monaco Editor, Mermaid.js panels, WebSocket client, and the formatter/execute buttons — are integrated and connected end-to-end.</w:t>
      </w:r>
    </w:p>
    <w:p>
      <w:pPr>
        <w:spacing w:after="0" w:before="80"/>
      </w:pPr>
    </w:p>
    <w:p>
      <w:pPr>
        <w:pStyle w:val="ListParagraph"/>
        <w:numPr>
          <w:ilvl w:val="0"/>
          <w:numId w:val="2"/>
        </w:numPr>
        <w:spacing w:after="60" w:before="140"/>
      </w:pPr>
      <w:r>
        <w:rPr>
          <w:rFonts w:ascii="Arial" w:cs="Arial" w:eastAsia="Arial" w:hAnsi="Arial"/>
          <w:b/>
          <w:bCs/>
          <w:sz w:val="22"/>
          <w:szCs w:val="22"/>
        </w:rPr>
        <w:t xml:space="preserve">Backend – Execution &amp; Persistence</w:t>
      </w:r>
    </w:p>
    <w:p>
      <w:pPr>
        <w:pStyle w:val="ListParagraph"/>
        <w:numPr>
          <w:ilvl w:val="0"/>
          <w:numId w:val="3"/>
        </w:numPr>
        <w:spacing w:after="40" w:before="40"/>
      </w:pPr>
      <w:r>
        <w:rPr>
          <w:rFonts w:ascii="Arial" w:cs="Arial" w:eastAsia="Arial" w:hAnsi="Arial"/>
          <w:b/>
          <w:bCs/>
          <w:sz w:val="22"/>
          <w:szCs w:val="22"/>
        </w:rPr>
        <w:t xml:space="preserve">T0009 – </w:t>
      </w:r>
      <w:r>
        <w:rPr>
          <w:rFonts w:ascii="Arial" w:cs="Arial" w:eastAsia="Arial" w:hAnsi="Arial"/>
          <w:sz w:val="22"/>
          <w:szCs w:val="22"/>
        </w:rPr>
        <w:t xml:space="preserve">Implemented the Java Compile &amp; Execute API: user-submitted code runs in an isolated JVM subprocess with a 3-second wall-clock timeout enforced. Both stdout and stderr are captured and returned. Each execution event is recorded in the ExecutionLog table. File system access is blocked for the subprocess.</w:t>
      </w:r>
    </w:p>
    <w:p>
      <w:pPr>
        <w:pStyle w:val="ListParagraph"/>
        <w:numPr>
          <w:ilvl w:val="0"/>
          <w:numId w:val="3"/>
        </w:numPr>
        <w:spacing w:after="40" w:before="40"/>
      </w:pPr>
      <w:r>
        <w:rPr>
          <w:rFonts w:ascii="Arial" w:cs="Arial" w:eastAsia="Arial" w:hAnsi="Arial"/>
          <w:b/>
          <w:bCs/>
          <w:sz w:val="22"/>
          <w:szCs w:val="22"/>
        </w:rPr>
        <w:t xml:space="preserve">T0010 – </w:t>
      </w:r>
      <w:r>
        <w:rPr>
          <w:rFonts w:ascii="Arial" w:cs="Arial" w:eastAsia="Arial" w:hAnsi="Arial"/>
          <w:sz w:val="22"/>
          <w:szCs w:val="22"/>
        </w:rPr>
        <w:t xml:space="preserve">Built the Code Save &amp; Load REST endpoints: POST /sessions to save a new CodeSession, GET /sessions/{id} to load, GET /sessions to list all sessions for the authenticated user. Mapped to the CodeSession entity per T0003 schema.</w:t>
      </w:r>
    </w:p>
    <w:p>
      <w:pPr>
        <w:pStyle w:val="ListParagraph"/>
        <w:numPr>
          <w:ilvl w:val="0"/>
          <w:numId w:val="2"/>
        </w:numPr>
        <w:spacing w:after="60" w:before="140"/>
      </w:pPr>
      <w:r>
        <w:rPr>
          <w:rFonts w:ascii="Arial" w:cs="Arial" w:eastAsia="Arial" w:hAnsi="Arial"/>
          <w:b/>
          <w:bCs/>
          <w:sz w:val="22"/>
          <w:szCs w:val="22"/>
        </w:rPr>
        <w:t xml:space="preserve">Frontend – Editor, Diagrams &amp; Layout</w:t>
      </w:r>
    </w:p>
    <w:p>
      <w:pPr>
        <w:pStyle w:val="ListParagraph"/>
        <w:numPr>
          <w:ilvl w:val="0"/>
          <w:numId w:val="3"/>
        </w:numPr>
        <w:spacing w:after="40" w:before="40"/>
      </w:pPr>
      <w:r>
        <w:rPr>
          <w:rFonts w:ascii="Arial" w:cs="Arial" w:eastAsia="Arial" w:hAnsi="Arial"/>
          <w:b/>
          <w:bCs/>
          <w:sz w:val="22"/>
          <w:szCs w:val="22"/>
        </w:rPr>
        <w:t xml:space="preserve">T0011 – </w:t>
      </w:r>
      <w:r>
        <w:rPr>
          <w:rFonts w:ascii="Arial" w:cs="Arial" w:eastAsia="Arial" w:hAnsi="Arial"/>
          <w:sz w:val="22"/>
          <w:szCs w:val="22"/>
        </w:rPr>
        <w:t xml:space="preserve">Embedded Monaco Editor with Java syntax highlighting. The editor's onChange handler debounces input and sends code to the server via the STOMP WebSocket client.</w:t>
      </w:r>
    </w:p>
    <w:p>
      <w:pPr>
        <w:pStyle w:val="ListParagraph"/>
        <w:numPr>
          <w:ilvl w:val="0"/>
          <w:numId w:val="3"/>
        </w:numPr>
        <w:spacing w:after="40" w:before="40"/>
      </w:pPr>
      <w:r>
        <w:rPr>
          <w:rFonts w:ascii="Arial" w:cs="Arial" w:eastAsia="Arial" w:hAnsi="Arial"/>
          <w:b/>
          <w:bCs/>
          <w:sz w:val="22"/>
          <w:szCs w:val="22"/>
        </w:rPr>
        <w:t xml:space="preserve">T0012 – </w:t>
      </w:r>
      <w:r>
        <w:rPr>
          <w:rFonts w:ascii="Arial" w:cs="Arial" w:eastAsia="Arial" w:hAnsi="Arial"/>
          <w:sz w:val="22"/>
          <w:szCs w:val="22"/>
        </w:rPr>
        <w:t xml:space="preserve">Integrated Mermaid.js with two independent display areas (UML panel and Flowchart panel). Incoming WebSocket messages trigger automatic diagram re-rendering. A client-side Mermaid error handler displays a descriptive message if rendering fails.</w:t>
      </w:r>
    </w:p>
    <w:p>
      <w:pPr>
        <w:pStyle w:val="ListParagraph"/>
        <w:numPr>
          <w:ilvl w:val="0"/>
          <w:numId w:val="3"/>
        </w:numPr>
        <w:spacing w:after="40" w:before="40"/>
      </w:pPr>
      <w:r>
        <w:rPr>
          <w:rFonts w:ascii="Arial" w:cs="Arial" w:eastAsia="Arial" w:hAnsi="Arial"/>
          <w:b/>
          <w:bCs/>
          <w:sz w:val="22"/>
          <w:szCs w:val="22"/>
        </w:rPr>
        <w:t xml:space="preserve">T0013 – </w:t>
      </w:r>
      <w:r>
        <w:rPr>
          <w:rFonts w:ascii="Arial" w:cs="Arial" w:eastAsia="Arial" w:hAnsi="Arial"/>
          <w:sz w:val="22"/>
          <w:szCs w:val="22"/>
        </w:rPr>
        <w:t xml:space="preserve">Created the main Thymeleaf layout template: split-screen design (editor left, visualization panels right), Output Panel below the editor for stdout/stderr, navigation bar with Sessions and Help links.</w:t>
      </w:r>
    </w:p>
    <w:p>
      <w:pPr>
        <w:pStyle w:val="ListParagraph"/>
        <w:numPr>
          <w:ilvl w:val="0"/>
          <w:numId w:val="2"/>
        </w:numPr>
        <w:spacing w:after="60" w:before="140"/>
      </w:pPr>
      <w:r>
        <w:rPr>
          <w:rFonts w:ascii="Arial" w:cs="Arial" w:eastAsia="Arial" w:hAnsi="Arial"/>
          <w:b/>
          <w:bCs/>
          <w:sz w:val="22"/>
          <w:szCs w:val="22"/>
        </w:rPr>
        <w:t xml:space="preserve">Frontend – WebSocket Client &amp; Action Buttons</w:t>
      </w:r>
    </w:p>
    <w:p>
      <w:pPr>
        <w:pStyle w:val="ListParagraph"/>
        <w:numPr>
          <w:ilvl w:val="0"/>
          <w:numId w:val="3"/>
        </w:numPr>
        <w:spacing w:after="40" w:before="40"/>
      </w:pPr>
      <w:r>
        <w:rPr>
          <w:rFonts w:ascii="Arial" w:cs="Arial" w:eastAsia="Arial" w:hAnsi="Arial"/>
          <w:b/>
          <w:bCs/>
          <w:sz w:val="22"/>
          <w:szCs w:val="22"/>
        </w:rPr>
        <w:t xml:space="preserve">T0014 – </w:t>
      </w:r>
      <w:r>
        <w:rPr>
          <w:rFonts w:ascii="Arial" w:cs="Arial" w:eastAsia="Arial" w:hAnsi="Arial"/>
          <w:sz w:val="22"/>
          <w:szCs w:val="22"/>
        </w:rPr>
        <w:t xml:space="preserve">Configured the STOMP/SockJS client: subscribes to /topic/diagram on page load, publishes code change events, and implements automatic reconnection with a connection-lost notification banner.</w:t>
      </w:r>
    </w:p>
    <w:p>
      <w:pPr>
        <w:pStyle w:val="ListParagraph"/>
        <w:numPr>
          <w:ilvl w:val="0"/>
          <w:numId w:val="3"/>
        </w:numPr>
        <w:spacing w:after="40" w:before="40"/>
      </w:pPr>
      <w:r>
        <w:rPr>
          <w:rFonts w:ascii="Arial" w:cs="Arial" w:eastAsia="Arial" w:hAnsi="Arial"/>
          <w:b/>
          <w:bCs/>
          <w:sz w:val="22"/>
          <w:szCs w:val="22"/>
        </w:rPr>
        <w:t xml:space="preserve">T0015 – </w:t>
      </w:r>
      <w:r>
        <w:rPr>
          <w:rFonts w:ascii="Arial" w:cs="Arial" w:eastAsia="Arial" w:hAnsi="Arial"/>
          <w:sz w:val="22"/>
          <w:szCs w:val="22"/>
        </w:rPr>
        <w:t xml:space="preserve">Added Format button (triggers T0008 formatter API via WebSocket) and Run button (triggers T0009 execute API). Results Panel displays stdout in normal style and stderr in visually distinct style. Compilation error messages are highlighted in the editor gutter.</w:t>
      </w:r>
    </w:p>
    <w:p>
      <w:pPr>
        <w:spacing w:after="0" w:before="200"/>
      </w:pPr>
    </w:p>
    <w:p>
      <w:pPr>
        <w:pStyle w:val="Heading1"/>
        <w:spacing w:after="160" w:before="320"/>
      </w:pPr>
      <w:r>
        <w:rPr>
          <w:rFonts w:ascii="Arial" w:cs="Arial" w:eastAsia="Arial" w:hAnsi="Arial"/>
          <w:b/>
          <w:bCs/>
          <w:sz w:val="32"/>
          <w:szCs w:val="32"/>
        </w:rPr>
        <w:t xml:space="preserve">*) Work Planning for Next Sprint</w:t>
      </w:r>
    </w:p>
    <w:p>
      <w:pPr>
        <w:spacing w:after="80" w:before="80"/>
      </w:pPr>
      <w:r>
        <w:rPr>
          <w:rFonts w:ascii="Arial" w:cs="Arial" w:eastAsia="Arial" w:hAnsi="Arial"/>
          <w:sz w:val="22"/>
          <w:szCs w:val="22"/>
        </w:rPr>
        <w:t xml:space="preserve">Sprint 4 covers comprehensive testing across all functional and non-functional requirements. All team members contribute to different testing types to ensure full coverage.</w:t>
      </w:r>
    </w:p>
    <w:p>
      <w:pPr>
        <w:spacing w:after="0" w:before="80"/>
      </w:pPr>
    </w:p>
    <w:p>
      <w:pPr>
        <w:pStyle w:val="ListParagraph"/>
        <w:numPr>
          <w:ilvl w:val="0"/>
          <w:numId w:val="2"/>
        </w:numPr>
        <w:spacing w:after="60" w:before="140"/>
      </w:pPr>
      <w:r>
        <w:rPr>
          <w:rFonts w:ascii="Arial" w:cs="Arial" w:eastAsia="Arial" w:hAnsi="Arial"/>
          <w:b/>
          <w:bCs/>
          <w:sz w:val="22"/>
          <w:szCs w:val="22"/>
        </w:rPr>
        <w:t xml:space="preserve">Backend &amp; Integration Testing</w:t>
      </w:r>
    </w:p>
    <w:p>
      <w:pPr>
        <w:pStyle w:val="ListParagraph"/>
        <w:numPr>
          <w:ilvl w:val="0"/>
          <w:numId w:val="3"/>
        </w:numPr>
        <w:spacing w:after="40" w:before="40"/>
      </w:pPr>
      <w:r>
        <w:rPr>
          <w:rFonts w:ascii="Arial" w:cs="Arial" w:eastAsia="Arial" w:hAnsi="Arial"/>
          <w:b/>
          <w:bCs/>
          <w:sz w:val="22"/>
          <w:szCs w:val="22"/>
        </w:rPr>
        <w:t xml:space="preserve">T0016 – </w:t>
      </w:r>
      <w:r>
        <w:rPr>
          <w:rFonts w:ascii="Arial" w:cs="Arial" w:eastAsia="Arial" w:hAnsi="Arial"/>
          <w:sz w:val="22"/>
          <w:szCs w:val="22"/>
        </w:rPr>
        <w:t xml:space="preserve">Backend unit tests for each service (UML generation, flowchart generation, code formatter) using diverse Java samples including edge cases (empty class, deeply nested loops, switch statements, lambda expressions).</w:t>
      </w:r>
    </w:p>
    <w:p>
      <w:pPr>
        <w:pStyle w:val="ListParagraph"/>
        <w:numPr>
          <w:ilvl w:val="0"/>
          <w:numId w:val="3"/>
        </w:numPr>
        <w:spacing w:after="40" w:before="40"/>
      </w:pPr>
      <w:r>
        <w:rPr>
          <w:rFonts w:ascii="Arial" w:cs="Arial" w:eastAsia="Arial" w:hAnsi="Arial"/>
          <w:b/>
          <w:bCs/>
          <w:sz w:val="22"/>
          <w:szCs w:val="22"/>
        </w:rPr>
        <w:t xml:space="preserve">T0017 – </w:t>
      </w:r>
      <w:r>
        <w:rPr>
          <w:rFonts w:ascii="Arial" w:cs="Arial" w:eastAsia="Arial" w:hAnsi="Arial"/>
          <w:sz w:val="22"/>
          <w:szCs w:val="22"/>
        </w:rPr>
        <w:t xml:space="preserve">WebSocket integration test: validate the full code-to-diagram round trip via STOMP, measure end-to-end latency against the &lt;100 ms NFR-01 target, and test behaviour under multiple concurrent WebSocket connections.</w:t>
      </w:r>
    </w:p>
    <w:p>
      <w:pPr>
        <w:pStyle w:val="ListParagraph"/>
        <w:numPr>
          <w:ilvl w:val="0"/>
          <w:numId w:val="2"/>
        </w:numPr>
        <w:spacing w:after="60" w:before="140"/>
      </w:pPr>
      <w:r>
        <w:rPr>
          <w:rFonts w:ascii="Arial" w:cs="Arial" w:eastAsia="Arial" w:hAnsi="Arial"/>
          <w:b/>
          <w:bCs/>
          <w:sz w:val="22"/>
          <w:szCs w:val="22"/>
        </w:rPr>
        <w:t xml:space="preserve">Cross-Browser &amp; Performance Testing</w:t>
      </w:r>
    </w:p>
    <w:p>
      <w:pPr>
        <w:pStyle w:val="ListParagraph"/>
        <w:numPr>
          <w:ilvl w:val="0"/>
          <w:numId w:val="3"/>
        </w:numPr>
        <w:spacing w:after="40" w:before="40"/>
      </w:pPr>
      <w:r>
        <w:rPr>
          <w:rFonts w:ascii="Arial" w:cs="Arial" w:eastAsia="Arial" w:hAnsi="Arial"/>
          <w:b/>
          <w:bCs/>
          <w:sz w:val="22"/>
          <w:szCs w:val="22"/>
        </w:rPr>
        <w:t xml:space="preserve">T0018 – </w:t>
      </w:r>
      <w:r>
        <w:rPr>
          <w:rFonts w:ascii="Arial" w:cs="Arial" w:eastAsia="Arial" w:hAnsi="Arial"/>
          <w:sz w:val="22"/>
          <w:szCs w:val="22"/>
        </w:rPr>
        <w:t xml:space="preserve">Manual cross-browser testing on Chrome, Firefox, Edge, and Safari. Log and fix all UI rendering bugs found.</w:t>
      </w:r>
    </w:p>
    <w:p>
      <w:pPr>
        <w:pStyle w:val="ListParagraph"/>
        <w:numPr>
          <w:ilvl w:val="0"/>
          <w:numId w:val="3"/>
        </w:numPr>
        <w:spacing w:after="40" w:before="40"/>
      </w:pPr>
      <w:r>
        <w:rPr>
          <w:rFonts w:ascii="Arial" w:cs="Arial" w:eastAsia="Arial" w:hAnsi="Arial"/>
          <w:b/>
          <w:bCs/>
          <w:sz w:val="22"/>
          <w:szCs w:val="22"/>
        </w:rPr>
        <w:t xml:space="preserve">T0019 – </w:t>
      </w:r>
      <w:r>
        <w:rPr>
          <w:rFonts w:ascii="Arial" w:cs="Arial" w:eastAsia="Arial" w:hAnsi="Arial"/>
          <w:sz w:val="22"/>
          <w:szCs w:val="22"/>
        </w:rPr>
        <w:t xml:space="preserve">Performance testing: verify NFR-01 thresholds — compile &lt;3 s, UML generation &lt;2 s, flowchart generation &lt;1 s, WebSocket latency &lt;100 ms.</w:t>
      </w:r>
    </w:p>
    <w:p>
      <w:pPr>
        <w:pStyle w:val="ListParagraph"/>
        <w:numPr>
          <w:ilvl w:val="0"/>
          <w:numId w:val="3"/>
        </w:numPr>
        <w:spacing w:after="40" w:before="40"/>
      </w:pPr>
      <w:r>
        <w:rPr>
          <w:rFonts w:ascii="Arial" w:cs="Arial" w:eastAsia="Arial" w:hAnsi="Arial"/>
          <w:b/>
          <w:bCs/>
          <w:sz w:val="22"/>
          <w:szCs w:val="22"/>
        </w:rPr>
        <w:t xml:space="preserve">T0020 – </w:t>
      </w:r>
      <w:r>
        <w:rPr>
          <w:rFonts w:ascii="Arial" w:cs="Arial" w:eastAsia="Arial" w:hAnsi="Arial"/>
          <w:sz w:val="22"/>
          <w:szCs w:val="22"/>
        </w:rPr>
        <w:t xml:space="preserve">Bug triage and regression test: categorise all open bugs, apply fixes, retest after each patch, and confirm zero high-priority (P1) bugs remain before Sprint 5.</w:t>
      </w:r>
    </w:p>
    <w:p>
      <w:pPr>
        <w:spacing w:after="0" w:before="200"/>
      </w:pPr>
    </w:p>
    <w:p>
      <w:pPr>
        <w:pStyle w:val="Heading1"/>
        <w:spacing w:after="160" w:before="320"/>
      </w:pPr>
      <w:r>
        <w:rPr>
          <w:rFonts w:ascii="Arial" w:cs="Arial" w:eastAsia="Arial" w:hAnsi="Arial"/>
          <w:b/>
          <w:bCs/>
          <w:sz w:val="32"/>
          <w:szCs w:val="32"/>
        </w:rPr>
        <w:t xml:space="preserve">*) Issues &amp; Questions</w:t>
      </w:r>
    </w:p>
    <w:p>
      <w:pPr>
        <w:spacing w:after="0" w:before="60"/>
      </w:pPr>
    </w:p>
    <w:p>
      <w:pPr>
        <w:pStyle w:val="Heading2"/>
        <w:spacing w:after="100" w:before="240"/>
      </w:pPr>
      <w:r>
        <w:rPr>
          <w:rFonts w:ascii="Arial" w:cs="Arial" w:eastAsia="Arial" w:hAnsi="Arial"/>
          <w:b/>
          <w:bCs/>
          <w:sz w:val="26"/>
          <w:szCs w:val="26"/>
        </w:rPr>
        <w:t xml:space="preserve">Issues</w:t>
      </w:r>
    </w:p>
    <w:p>
      <w:pPr>
        <w:pStyle w:val="ListParagraph"/>
        <w:numPr>
          <w:ilvl w:val="0"/>
          <w:numId w:val="2"/>
        </w:numPr>
        <w:spacing w:after="60" w:before="80"/>
      </w:pPr>
      <w:r>
        <w:rPr>
          <w:rFonts w:ascii="Arial" w:cs="Arial" w:eastAsia="Arial" w:hAnsi="Arial"/>
          <w:sz w:val="22"/>
          <w:szCs w:val="22"/>
        </w:rPr>
        <w:t xml:space="preserve">Monaco Editor and Mermaid.js exhibit inconsistent rendering behaviour on Safari. The issue is visible in the diagram panel layout but does not affect core functionality. Cross-browser testing (T0018) has been escalated to address this.</w:t>
      </w:r>
    </w:p>
    <w:p>
      <w:pPr>
        <w:pStyle w:val="ListParagraph"/>
        <w:numPr>
          <w:ilvl w:val="0"/>
          <w:numId w:val="2"/>
        </w:numPr>
        <w:spacing w:after="60" w:before="80"/>
      </w:pPr>
      <w:r>
        <w:rPr>
          <w:rFonts w:ascii="Arial" w:cs="Arial" w:eastAsia="Arial" w:hAnsi="Arial"/>
          <w:sz w:val="22"/>
          <w:szCs w:val="22"/>
        </w:rPr>
        <w:t xml:space="preserve">SockJS fallback behaviour (HTTP long-polling) increases diagram delivery latency significantly on networks where native WebSocket is blocked. This is expected by design but should be documented in the user guide as a known limitation.</w:t>
      </w:r>
    </w:p>
    <w:p>
      <w:pPr>
        <w:spacing w:after="0" w:before="80"/>
      </w:pPr>
    </w:p>
    <w:p>
      <w:pPr>
        <w:pStyle w:val="Heading2"/>
        <w:spacing w:after="100" w:before="240"/>
      </w:pPr>
      <w:r>
        <w:rPr>
          <w:rFonts w:ascii="Arial" w:cs="Arial" w:eastAsia="Arial" w:hAnsi="Arial"/>
          <w:b/>
          <w:bCs/>
          <w:sz w:val="26"/>
          <w:szCs w:val="26"/>
        </w:rPr>
        <w:t xml:space="preserve">Questions</w:t>
      </w:r>
    </w:p>
    <w:p>
      <w:pPr>
        <w:pStyle w:val="ListParagraph"/>
        <w:numPr>
          <w:ilvl w:val="0"/>
          <w:numId w:val="2"/>
        </w:numPr>
        <w:spacing w:after="60" w:before="80"/>
      </w:pPr>
      <w:r>
        <w:rPr>
          <w:rFonts w:ascii="Arial" w:cs="Arial" w:eastAsia="Arial" w:hAnsi="Arial"/>
          <w:sz w:val="22"/>
          <w:szCs w:val="22"/>
        </w:rPr>
        <w:t xml:space="preserve">Should CodeMirror be adopted as a fallback editor if Safari compatibility for Monaco Editor cannot be resolved before the Sprint 5 deadline?</w:t>
      </w:r>
    </w:p>
    <w:p>
      <w:pPr>
        <w:pStyle w:val="ListParagraph"/>
        <w:numPr>
          <w:ilvl w:val="0"/>
          <w:numId w:val="2"/>
        </w:numPr>
        <w:spacing w:after="60" w:before="80"/>
      </w:pPr>
      <w:r>
        <w:rPr>
          <w:rFonts w:ascii="Arial" w:cs="Arial" w:eastAsia="Arial" w:hAnsi="Arial"/>
          <w:sz w:val="22"/>
          <w:szCs w:val="22"/>
        </w:rPr>
        <w:t xml:space="preserve">Should the Results Panel display full stack traces for runtime exceptions, or should only the first line of stderr be shown to keep the UI clean?</w:t>
      </w:r>
    </w:p>
    <w:p>
      <w:pPr>
        <w:spacing w:after="0" w:before="200"/>
      </w:pPr>
    </w:p>
    <w:p>
      <w:pPr>
        <w:pStyle w:val="Heading1"/>
        <w:spacing w:after="160" w:before="320"/>
      </w:pPr>
      <w:r>
        <w:rPr>
          <w:rFonts w:ascii="Arial" w:cs="Arial" w:eastAsia="Arial" w:hAnsi="Arial"/>
          <w:b/>
          <w:bCs/>
          <w:sz w:val="32"/>
          <w:szCs w:val="32"/>
        </w:rPr>
        <w:t xml:space="preserve">*) Change Requests</w:t>
      </w:r>
    </w:p>
    <w:p>
      <w:pPr>
        <w:pStyle w:val="ListParagraph"/>
        <w:numPr>
          <w:ilvl w:val="0"/>
          <w:numId w:val="2"/>
        </w:numPr>
        <w:spacing w:after="60" w:before="80"/>
      </w:pPr>
      <w:r>
        <w:rPr>
          <w:rFonts w:ascii="Arial" w:cs="Arial" w:eastAsia="Arial" w:hAnsi="Arial"/>
          <w:sz w:val="22"/>
          <w:szCs w:val="22"/>
        </w:rPr>
        <w:t xml:space="preserve">[CR-02] Flowchart Statement Limit – SRS Update: formally update the SRS to specify a hard limit of 50 statements per function for flowchart generation. Functions exceeding this limit display a notification instead of a partial diagram. This change adds a guard clause in T0007 and a UI notification element in T0015.</w:t>
      </w:r>
    </w:p>
    <w:p>
      <w:pPr>
        <w:spacing w:after="0" w:before="200"/>
      </w:pPr>
    </w:p>
    <w:p>
      <w:pPr>
        <w:pBdr>
          <w:bottom w:val="single" w:color="000000" w:sz="6" w:space="1"/>
        </w:pBdr>
        <w:spacing w:after="160" w:before="160"/>
      </w:pPr>
    </w:p>
    <w:p>
      <w:pPr>
        <w:spacing w:after="0" w:before="100"/>
        <w:jc w:val="center"/>
      </w:pPr>
      <w:r>
        <w:rPr>
          <w:rFonts w:ascii="Arial" w:cs="Arial" w:eastAsia="Arial" w:hAnsi="Arial"/>
          <w:i/>
          <w:iCs/>
          <w:sz w:val="18"/>
          <w:szCs w:val="18"/>
        </w:rPr>
        <w:t xml:space="preserve">End of Sprint 3 Report – J-VizAudit – Group 1, SE2,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before="80"/>
      <w:jc w:val="center"/>
    </w:pPr>
    <w:r>
      <w:rPr>
        <w:rFonts w:ascii="Arial" w:cs="Arial" w:eastAsia="Arial" w:hAnsi="Arial"/>
        <w:sz w:val="16"/>
        <w:szCs w:val="16"/>
      </w:rPr>
      <w:t xml:space="preserve">Group 1 – J-VizAudit  |  Sprint 3 – Frontend &amp; Integration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100"/>
      <w:jc w:val="center"/>
    </w:pPr>
    <w:r>
      <w:rPr>
        <w:rFonts w:ascii="Arial" w:cs="Arial" w:eastAsia="Arial" w:hAnsi="Arial"/>
        <w:i/>
        <w:iCs/>
        <w:sz w:val="18"/>
        <w:szCs w:val="18"/>
      </w:rPr>
      <w:t xml:space="preserve">Sprint Report – J-VizAudit (Group 1)  |  Sprint 3 – Frontend &amp;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2026-04-13T05:49:43.471Z</dcterms:created>
  <dcterms:modified xsi:type="dcterms:W3CDTF">2026-04-13T05:49:43.471Z</dcterms:modified>
</cp:coreProperties>
</file>

<file path=docProps/custom.xml><?xml version="1.0" encoding="utf-8"?>
<Properties xmlns="http://schemas.openxmlformats.org/officeDocument/2006/custom-properties" xmlns:vt="http://schemas.openxmlformats.org/officeDocument/2006/docPropsVTypes"/>
</file>