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1" w:name="X8f0ec097c88a279d6d8aaf8969f621b4247c5ae"/>
    <w:p>
      <w:pPr>
        <w:pStyle w:val="Title"/>
        <w:widowControl/>
      </w:pPr>
      <w:r>
        <w:t xml:space="preserve">Auditing Input Dependence in Literature Parameterised Network Simulations</w:t>
      </w:r>
    </w:p>
    <w:p>
      <w:pPr>
        <w:pStyle w:val="FirstParagraph"/>
        <w:widowControl/>
      </w:pPr>
      <w:r>
        <w:rPr>
          <w:bCs/>
          <w:b/>
        </w:rPr>
        <w:t xml:space="preserve">Michél Nguyen</w:t>
      </w:r>
    </w:p>
    <w:p>
      <w:pPr>
        <w:pStyle w:val="BodyText"/>
        <w:widowControl/>
      </w:pPr>
      <w:r>
        <w:t xml:space="preserve">University of the People</w:t>
      </w:r>
    </w:p>
    <w:p>
      <w:pPr>
        <w:pStyle w:val="BodyText"/>
        <w:widowControl/>
      </w:pPr>
      <w:r>
        <w:t xml:space="preserve">ORCID: 0000-0001-6834-4422</w:t>
      </w:r>
    </w:p>
    <w:p>
      <w:pPr>
        <w:pStyle w:val="BodyText"/>
        <w:widowControl/>
      </w:pPr>
      <w:r>
        <w:t xml:space="preserve">Corresponding author: michel_ng@icloud.com</w:t>
      </w:r>
    </w:p>
    <w:p>
      <w:pPr>
        <w:pStyle w:val="BodyText"/>
        <w:widowControl/>
      </w:pPr>
      <w:r>
        <w:t xml:space="preserve">Software: https://github.com/pinkysworld/FlyLab. Software version 0.6.0, compound library SHA-256</w:t>
      </w:r>
      <w:r>
        <w:t xml:space="preserve"> </w:t>
      </w:r>
      <w:r>
        <w:rPr>
          <w:rStyle w:val="VerbatimChar"/>
        </w:rPr>
        <w:t xml:space="preserve">594b8d32c5e6</w:t>
      </w:r>
      <w:r>
        <w:t xml:space="preserve">, map</w:t>
      </w:r>
      <w:r>
        <w:t xml:space="preserve"> </w:t>
      </w:r>
      <w:r>
        <w:rPr>
          <w:rStyle w:val="VerbatimChar"/>
        </w:rPr>
        <w:t xml:space="preserve">male-cns:v1.0</w:t>
      </w:r>
      <w:r>
        <w:t xml:space="preserve">. Numerical source provenance is recorded in</w:t>
      </w:r>
      <w:r>
        <w:t xml:space="preserve"> </w:t>
      </w:r>
      <w:r>
        <w:rPr>
          <w:rStyle w:val="VerbatimChar"/>
        </w:rPr>
        <w:t xml:space="preserve">papers/results.json</w:t>
      </w:r>
      <w:r>
        <w:t xml:space="preserve">; a tagged archival release remains pending.</w:t>
      </w:r>
    </w:p>
    <w:p>
      <w:pPr>
        <w:pStyle w:val="BlockText"/>
        <w:widowControl/>
      </w:pPr>
      <w:r>
        <w:t xml:space="preserve">No number in this paper was measured in a living animal.</w:t>
      </w:r>
    </w:p>
    <w:bookmarkStart w:id="20" w:name="abstract"/>
    <w:p>
      <w:pPr>
        <w:pStyle w:val="Heading2"/>
        <w:widowControl/>
      </w:pPr>
      <w:r>
        <w:t xml:space="preserve">Abstract</w:t>
      </w:r>
    </w:p>
    <w:p>
      <w:pPr>
        <w:pStyle w:val="FirstParagraph"/>
        <w:widowControl/>
      </w:pPr>
      <w:r>
        <w:t xml:space="preserve">Applied to cuts of the MaleCNS v1.0</w:t>
      </w:r>
      <w:r>
        <w:t xml:space="preserve"> </w:t>
      </w:r>
      <w:r>
        <w:rPr>
          <w:iCs/>
          <w:i/>
        </w:rPr>
        <w:t xml:space="preserve">Drosophila</w:t>
      </w:r>
      <w:r>
        <w:t xml:space="preserve"> </w:t>
      </w:r>
      <w:r>
        <w:t xml:space="preserve">connectome, the same dependence analysis gives opposite answers: an imidacloprid prediction is composition-dominated on the sparse</w:t>
      </w:r>
      <w:r>
        <w:t xml:space="preserve"> </w:t>
      </w:r>
      <w:r>
        <w:rPr>
          <w:rStyle w:val="VerbatimChar"/>
        </w:rPr>
        <w:t xml:space="preserve">named</w:t>
      </w:r>
      <w:r>
        <w:t xml:space="preserve"> </w:t>
      </w:r>
      <w:r>
        <w:t xml:space="preserve">cut but topology-dependent on denser extracts, including a smaller one. Node count therefore does not order the observed labels, and the study does not isolate recurrence as their cause. The result is also runtime-conditional: composition-only and full-model rankings agree under row normalisation but not under a degree-corrected denominator. Two instruments had previously flattered the conclusions. A transmitter null changed the weighted excitation/inhibition balance it was meant to probe, while alternative gain rules did not reach the engine used by their topology tests. FlyLab addresses these failures with provenance-gated evidence transformations, graph degradations, matched ablation references, specification-family tests and variance attribution. A finite-library audit refuses inadmissible evidence (56 of 102 rows), and synthetic cases provide limited positive-control evidence for the dependence ladder. The corrected audit finds that nicotinic suppression reverses under monotone gain rules. These are results about model behaviour, not animal responses. Gain rules remain asserted, the large-scale table is imported from a saved study, and no independent circuit-level validation exists.</w:t>
      </w:r>
    </w:p>
    <w:p>
      <w:pPr>
        <w:pStyle w:val="BodyText"/>
        <w:widowControl/>
      </w:pPr>
      <w:r>
        <w:rPr>
          <w:bCs/>
          <w:b/>
        </w:rPr>
        <w:t xml:space="preserve">Index terms:</w:t>
      </w:r>
      <w:r>
        <w:t xml:space="preserve"> </w:t>
      </w:r>
      <w:r>
        <w:t xml:space="preserve">computational method, scientific software, provenance, evidence typing, network simulation, null models, tolerance diagnostics, multiple comparisons, specification robustness, sensitivity analysis, reproducible research, connectomics.</w:t>
      </w:r>
    </w:p>
    <w:bookmarkEnd w:id="20"/>
    <w:bookmarkStart w:id="22" w:name="introduction"/>
    <w:p>
      <w:pPr>
        <w:pStyle w:val="Heading2"/>
        <w:widowControl/>
      </w:pPr>
      <w:r>
        <w:t xml:space="preserve">1. Introduction</w:t>
      </w:r>
    </w:p>
    <w:p>
      <w:pPr>
        <w:pStyle w:val="FirstParagraph"/>
        <w:widowControl/>
      </w:pPr>
      <w:r>
        <w:t xml:space="preserve">A large class of scientific software has the same shape: a measured network, a table of parameters compiled from published literature, a rule that turns those parameters into perturbations of the network, and a numerical runtime that produces a prediction. Power grids, metabolic models, epidemic contact networks and connectome simulations are all built this way. Such a pipeline readily produces a number; what it does not produce is an answer to the question a reviewer asks first:</w:t>
      </w:r>
      <w:r>
        <w:t xml:space="preserve"> </w:t>
      </w:r>
      <w:r>
        <w:rPr>
          <w:iCs/>
          <w:i/>
        </w:rPr>
        <w:t xml:space="preserve">which of its inputs does this number actually depend on?</w:t>
      </w:r>
      <w:r>
        <w:t xml:space="preserve"> </w:t>
      </w:r>
      <w:r>
        <w:t xml:space="preserve">Without that answer the prediction cannot be audited, because a result carried entirely by an asserted coefficient is indistinguishable, at the output, from one carried by the measured structure.</w:t>
      </w:r>
    </w:p>
    <w:p>
      <w:pPr>
        <w:pStyle w:val="BodyText"/>
        <w:widowControl/>
      </w:pPr>
      <w:r>
        <w:t xml:space="preserve">Three properties make the question hard to answer in practice. The parameters are heterogeneous: sources measure different quantities, in different preparations, and are often simply absent, so a pipeline that coerces them into one numeric field silently manufactures evidence. The network enters through a runtime whose own conventions (normalisation, sign and iteration) are modelling choices that can carry part of the answer. And the usual test of whether structure matters is a permutation against a shuffled network, whose</w:t>
      </w:r>
      <w:r>
        <w:t xml:space="preserve"> </w:t>
      </w:r>
      <w:r>
        <w:rPr>
          <w:iCs/>
          <w:i/>
        </w:rPr>
        <w:t xml:space="preserve">non-rejection</w:t>
      </w:r>
      <w:r>
        <w:t xml:space="preserve"> </w:t>
      </w:r>
      <w:r>
        <w:t xml:space="preserve">is routinely written up as though the shuffle had reproduced the effect.</w:t>
      </w:r>
    </w:p>
    <w:p>
      <w:pPr>
        <w:pStyle w:val="BodyText"/>
        <w:widowControl/>
      </w:pPr>
      <w:r>
        <w:t xml:space="preserve">This paper contributes a method addressing all three (§2), an implementation that runs it per prediction, and an evaluation of the instruments themselves (§3). Cuts of a public synapse-resolution</w:t>
      </w:r>
      <w:r>
        <w:t xml:space="preserve"> </w:t>
      </w:r>
      <w:r>
        <w:rPr>
          <w:iCs/>
          <w:i/>
        </w:rPr>
        <w:t xml:space="preserve">Drosophila</w:t>
      </w:r>
      <w:r>
        <w:t xml:space="preserve"> </w:t>
      </w:r>
      <w:r>
        <w:t xml:space="preserve">connectome supply the hard case: a measured network, a literature parameter table with large gaps, and asserted transformation rules. The central result is methodological:</w:t>
      </w:r>
      <w:r>
        <w:t xml:space="preserve"> </w:t>
      </w:r>
      <w:r>
        <w:rPr>
          <w:bCs/>
          <w:b/>
        </w:rPr>
        <w:t xml:space="preserve">a dependence verdict obtained on one extract of a network can invert on another extract of the same network.</w:t>
      </w:r>
    </w:p>
    <w:p>
      <w:pPr>
        <w:pStyle w:val="BodyText"/>
        <w:widowControl/>
      </w:pPr>
      <w:r>
        <w:t xml:space="preserve">We organise the work around three research questions.</w:t>
      </w:r>
    </w:p>
    <w:p>
      <w:pPr>
        <w:widowControl/>
        <w:numPr>
          <w:ilvl w:val="0"/>
          <w:numId w:val="1001"/>
        </w:numPr>
        <w:pStyle w:val="Compact"/>
      </w:pPr>
      <w:r>
        <w:rPr>
          <w:bCs/>
          <w:b/>
        </w:rPr>
        <w:t xml:space="preserve">RQ1.</w:t>
      </w:r>
      <w:r>
        <w:t xml:space="preserve"> </w:t>
      </w:r>
      <w:r>
        <w:t xml:space="preserve">Can heterogeneous published parameters be turned into computational perturbations</w:t>
      </w:r>
      <w:r>
        <w:t xml:space="preserve"> </w:t>
      </w:r>
      <w:r>
        <w:rPr>
          <w:iCs/>
          <w:i/>
        </w:rPr>
        <w:t xml:space="preserve">without</w:t>
      </w:r>
      <w:r>
        <w:t xml:space="preserve"> </w:t>
      </w:r>
      <w:r>
        <w:t xml:space="preserve">erasing their provenance or their parameter semantics, and can that discipline be stated as a checkable invariant rather than a convention?</w:t>
      </w:r>
    </w:p>
    <w:p>
      <w:pPr>
        <w:widowControl/>
        <w:numPr>
          <w:ilvl w:val="0"/>
          <w:numId w:val="1001"/>
        </w:numPr>
        <w:pStyle w:val="Compact"/>
      </w:pPr>
      <w:r>
        <w:rPr>
          <w:bCs/>
          <w:b/>
        </w:rPr>
        <w:t xml:space="preserve">RQ2.</w:t>
      </w:r>
      <w:r>
        <w:t xml:space="preserve"> </w:t>
      </w:r>
      <w:r>
        <w:t xml:space="preserve">For a given prediction, which inputs does it depend on, and is that answer a property of the prediction or of the extract of the network on which it was measured?</w:t>
      </w:r>
    </w:p>
    <w:p>
      <w:pPr>
        <w:widowControl/>
        <w:numPr>
          <w:ilvl w:val="0"/>
          <w:numId w:val="1001"/>
        </w:numPr>
        <w:pStyle w:val="Compact"/>
      </w:pPr>
      <w:r>
        <w:rPr>
          <w:bCs/>
          <w:b/>
        </w:rPr>
        <w:t xml:space="preserve">RQ3.</w:t>
      </w:r>
      <w:r>
        <w:t xml:space="preserve"> </w:t>
      </w:r>
      <w:r>
        <w:t xml:space="preserve">Which conclusions survive alternative admissible specifications, and which assumptions dominate the output’s variance?</w:t>
      </w:r>
    </w:p>
    <w:p>
      <w:pPr>
        <w:pStyle w:val="FirstParagraph"/>
        <w:widowControl/>
      </w:pPr>
      <w:r>
        <w:t xml:space="preserve">The results support evidence gating and finite regression checks for RQ1. For RQ2, labels vary with the extract, prediction and runtime normalisation. For RQ3, some conclusions reverse under admissible specifications. An earlier version answered RQ2 with</w:t>
      </w:r>
      <w:r>
        <w:t xml:space="preserve"> </w:t>
      </w:r>
      <w:r>
        <w:t xml:space="preserve">“</w:t>
      </w:r>
      <w:r>
        <w:t xml:space="preserve">most predictions do not need the network</w:t>
      </w:r>
      <w:r>
        <w:t xml:space="preserve">”</w:t>
      </w:r>
      <w:r>
        <w:t xml:space="preserve">, measured on a single extract; this revision withdraws that conclusion. Recomputability and backend parity are reported separately as engineering support, not as a fourth research question.</w:t>
      </w:r>
    </w:p>
    <w:bookmarkStart w:id="21" w:name="related-work-and-what-is-new-here"/>
    <w:p>
      <w:pPr>
        <w:pStyle w:val="Heading3"/>
        <w:widowControl/>
      </w:pPr>
      <w:r>
        <w:t xml:space="preserve">1.1 Related work and what is new here</w:t>
      </w:r>
    </w:p>
    <w:p>
      <w:pPr>
        <w:pStyle w:val="FirstParagraph"/>
        <w:widowControl/>
      </w:pPr>
      <w:r>
        <w:rPr>
          <w:bCs/>
          <w:b/>
        </w:rPr>
        <w:t xml:space="preserve">Network runtimes without parameterised perturbation.</w:t>
      </w:r>
      <w:r>
        <w:t xml:space="preserve"> </w:t>
      </w:r>
      <w:r>
        <w:t xml:space="preserve">The implemented teaching simulators RatCVS and Virtual Rat Web [1], [2] model dose–response with no network; PharmVR [3] is a non-peer-reviewed concept paper and is not evidence of an implemented capability. At the other extreme, FlyWire [4] and MaleCNS v1.0 [5] publish netlists with per-node annotations [9], [11]; Shiu</w:t>
      </w:r>
      <w:r>
        <w:t xml:space="preserve"> </w:t>
      </w:r>
      <w:r>
        <w:rPr>
          <w:iCs/>
          <w:i/>
        </w:rPr>
        <w:t xml:space="preserve">et al.</w:t>
      </w:r>
      <w:r>
        <w:t xml:space="preserve"> </w:t>
      </w:r>
      <w:r>
        <w:t xml:space="preserve">[6] show a literature-parameterised model over such a netlist reproduces a sensorimotor control, while an informal newsletter essay catalogs downstream ports with varying rigour [10]. FlyBrainLab [67] builds executable circuits directly from connectome data. The cited implementation does not describe the per-row pharmacological evidence gating evaluated here.</w:t>
      </w:r>
    </w:p>
    <w:p>
      <w:pPr>
        <w:pStyle w:val="BodyText"/>
        <w:widowControl/>
      </w:pPr>
      <w:r>
        <w:rPr>
          <w:bCs/>
          <w:b/>
        </w:rPr>
        <w:t xml:space="preserve">Parameter-map-informed network models.</w:t>
      </w:r>
      <w:r>
        <w:t xml:space="preserve"> </w:t>
      </w:r>
      <w:r>
        <w:t xml:space="preserve">The closest published relatives simulate intervention on human structural connectomes by scaling regional responses with PET density maps [68], [69]. In Mindlin</w:t>
      </w:r>
      <w:r>
        <w:t xml:space="preserve"> </w:t>
      </w:r>
      <w:r>
        <w:rPr>
          <w:iCs/>
          <w:i/>
        </w:rPr>
        <w:t xml:space="preserve">et al.</w:t>
      </w:r>
      <w:r>
        <w:t xml:space="preserve"> </w:t>
      </w:r>
      <w:r>
        <w:t xml:space="preserve">[68], the simulated improvement tracked the</w:t>
      </w:r>
      <w:r>
        <w:t xml:space="preserve"> </w:t>
      </w:r>
      <w:r>
        <w:rPr>
          <w:iCs/>
          <w:i/>
        </w:rPr>
        <w:t xml:space="preserve">mean</w:t>
      </w:r>
      <w:r>
        <w:t xml:space="preserve"> </w:t>
      </w:r>
      <w:r>
        <w:t xml:space="preserve">density of the activated receptors rather than where they sit. Methodologically, §2.4 is a multiverse analysis [73], [74] applied to a simulation, and §2.6 uses Saltelli cross-sampling [70] with Jansen estimators [71] validated on Ishigami [72] and ranked by value of information [75].</w:t>
      </w:r>
    </w:p>
    <w:p>
      <w:pPr>
        <w:pStyle w:val="BodyText"/>
        <w:widowControl/>
      </w:pPr>
      <w:r>
        <w:rPr>
          <w:bCs/>
          <w:b/>
        </w:rPr>
        <w:t xml:space="preserve">The domain evidence base.</w:t>
      </w:r>
      <w:r>
        <w:t xml:space="preserve"> </w:t>
      </w:r>
      <w:r>
        <w:t xml:space="preserve">The parameter library, and the supporting datasets for resistance alleles, expression, mixtures, exposure and behavioural endpoints, are compiled from the insect-versus-vertebrate pharmacology literature [7], [8], [12]–[66] and documented in §S4 and §S6. What matters methodologically is that the library is typical of such tables: incomplete, heterogeneous in what each source measured, and internally inconsistent with its own citations in ten places that</w:t>
      </w:r>
      <w:r>
        <w:t xml:space="preserve"> </w:t>
      </w:r>
      <w:r>
        <w:rPr>
          <w:rStyle w:val="VerbatimChar"/>
        </w:rPr>
        <w:t xml:space="preserve">data/literature/README.md</w:t>
      </w:r>
      <w:r>
        <w:t xml:space="preserve"> </w:t>
      </w:r>
      <w:r>
        <w:t xml:space="preserve">records without editing the library to match. Those gaps make evidence gating affect numerical outputs.</w:t>
      </w:r>
    </w:p>
    <w:p>
      <w:pPr>
        <w:pStyle w:val="BodyText"/>
        <w:widowControl/>
      </w:pPr>
      <w:r>
        <w:rPr>
          <w:bCs/>
          <w:b/>
        </w:rPr>
        <w:t xml:space="preserve">Position.</w:t>
      </w:r>
      <w:r>
        <w:t xml:space="preserve"> </w:t>
      </w:r>
      <w:r>
        <w:t xml:space="preserve">Table I states what is new narrowly. The transferable part is not the domain coupling but the instrumentation around it: routine per-prediction diagnostics combining provenance, graph degradations and specification checks. Synthetic recovery tests are an initial instrument evaluation. A median-distance tolerance is distinct from statistical equivalence, and multiplicity guarantees depend on the assumptions of the adjustment.</w:t>
      </w:r>
    </w:p>
    <w:p>
      <w:pPr>
        <w:pStyle w:val="BodyText"/>
        <w:keepNext/>
        <w:widowControl/>
      </w:pPr>
      <w:r>
        <w:rPr>
          <w:bCs/>
          <w:b/>
        </w:rPr>
        <w:t xml:space="preserve">Table I. Capabilities described in the cited implementations.</w:t>
      </w:r>
      <w:r>
        <w:t xml:space="preserve"> </w:t>
      </w:r>
      <w:r>
        <w:t xml:space="preserve">A negative entry means not described in that cited application; it is not a claim about every version or extension.</w:t>
      </w:r>
    </w:p>
    <w:tbl>
      <w:tblPr>
        <w:tblStyle w:val="Table"/>
        <w:tblW w:type="pct" w:w="5000"/>
        <w:tblLayout w:type="fixed"/>
        <w:tblLook w:firstRow="1" w:lastRow="0" w:firstColumn="0" w:lastColumn="0" w:noHBand="0" w:noVBand="0" w:val="0020"/>
        <w:jc w:val="start"/>
      </w:tblPr>
      <w:tblGrid>
        <w:gridCol w:w="2835"/>
        <w:gridCol w:w="1361"/>
        <w:gridCol w:w="1361"/>
        <w:gridCol w:w="1361"/>
        <w:gridCol w:w="1361"/>
        <w:gridCol w:w="1361"/>
      </w:tblGrid>
      <w:tr>
        <w:trPr>
          <w:tblHeader w:val="true"/>
          <w:tblHeader/>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pStyle w:val="Compact"/>
              <w:keepNext w:val="0"/>
              <w:spacing w:after="60" w:before="60"/>
              <w:jc w:val="left"/>
            </w:pPr>
            <w:r>
              <w:rPr>
                <w:b/>
                <w:sz w:val="18"/>
              </w:rPr>
              <w:t xml:space="preserve">Capability</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pStyle w:val="Compact"/>
              <w:keepNext w:val="0"/>
              <w:spacing w:after="60" w:before="60"/>
              <w:jc w:val="left"/>
            </w:pPr>
            <w:r>
              <w:rPr>
                <w:b/>
                <w:sz w:val="18"/>
              </w:rPr>
              <w:t xml:space="preserve">Implemented teaching sims [1], [2]</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pStyle w:val="Compact"/>
              <w:keepNext w:val="0"/>
              <w:spacing w:after="60" w:before="60"/>
              <w:jc w:val="left"/>
            </w:pPr>
            <w:r>
              <w:rPr>
                <w:b/>
                <w:sz w:val="18"/>
              </w:rPr>
              <w:t xml:space="preserve">Connectome LIF runtimes [6], [10]</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pStyle w:val="Compact"/>
              <w:keepNext w:val="0"/>
              <w:spacing w:after="60" w:before="60"/>
              <w:jc w:val="left"/>
            </w:pPr>
            <w:r>
              <w:rPr>
                <w:b/>
                <w:sz w:val="18"/>
              </w:rPr>
              <w:t xml:space="preserve">FlyBrainLab [67]</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pStyle w:val="Compact"/>
              <w:keepNext w:val="0"/>
              <w:spacing w:after="60" w:before="60"/>
              <w:jc w:val="left"/>
            </w:pPr>
            <w:r>
              <w:rPr>
                <w:b/>
                <w:sz w:val="18"/>
              </w:rPr>
              <w:t xml:space="preserve">Receptor-map whole-brain models [68], [69]</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pStyle w:val="Compact"/>
              <w:keepNext w:val="0"/>
              <w:spacing w:after="60" w:before="60"/>
              <w:jc w:val="left"/>
            </w:pPr>
            <w:r>
              <w:rPr>
                <w:b/>
                <w:sz w:val="18"/>
              </w:rPr>
              <w:t xml:space="preserve">FlyLab</w:t>
            </w:r>
          </w:p>
        </w:tc>
      </w:tr>
      <w:t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Named cells at synapse resolution</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yes</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yes</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 (regions)</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yes</w:t>
            </w:r>
          </w:p>
        </w:tc>
      </w:tr>
      <w:t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Compound</w:t>
            </w:r>
            <w:r>
              <w:rPr>
                <w:sz w:val="18"/>
              </w:rPr>
              <w:t xml:space="preserve"> </w:t>
            </w:r>
            <w:r>
              <w:rPr>
                <w:bCs/>
                <w:b/>
                <w:sz w:val="18"/>
              </w:rPr>
              <w:t xml:space="preserve">and free concentration</w:t>
            </w:r>
            <w:r>
              <w:rPr>
                <w:sz w:val="18"/>
              </w:rPr>
              <w:t xml:space="preserve"> </w:t>
            </w:r>
            <w:r>
              <w:rPr>
                <w:sz w:val="18"/>
              </w:rPr>
              <w:t xml:space="preserve">as the input</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yes (organ level)</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partly (receptor-map scaling)</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yes</w:t>
            </w:r>
          </w:p>
        </w:tc>
      </w:tr>
      <w:t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Typed evidence with per-row provenance and distance</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yes</w:t>
            </w:r>
          </w:p>
        </w:tc>
      </w:tr>
      <w:t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Insect engagement compared with a vertebrate receptor panel</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yes; no vertebrate circuit</w:t>
            </w:r>
          </w:p>
        </w:tc>
      </w:tr>
      <w:t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Dependence of each prediction on its inputs, tested</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rarely</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partly [68]</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yes, routinely</w:t>
            </w:r>
          </w:p>
        </w:tc>
      </w:tr>
      <w:t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Synthetic recovery cases evaluated</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n/a</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not assessed</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not assessed</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not assessed</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yes (§3.1, SF16)</w:t>
            </w:r>
          </w:p>
        </w:tc>
      </w:tr>
      <w:t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Specification robustness of the stated conclusions</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yes</w:t>
            </w:r>
          </w:p>
        </w:tc>
      </w:tr>
      <w:t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Whole analysis re-runs in a browser</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some</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no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18"/>
              </w:rPr>
              <w:t xml:space="preserve">endpoint parity verified</w:t>
            </w:r>
          </w:p>
        </w:tc>
      </w:tr>
    </w:tbl>
    <w:p>
      <w:pPr>
        <w:pStyle w:val="BodyText"/>
        <w:widowControl/>
      </w:pPr>
      <w:r>
        <w:t xml:space="preserve">We claim no new reconstruction, no fitted</w:t>
      </w:r>
      <w:r>
        <w:t xml:space="preserve"> </w:t>
      </w:r>
      <w:r>
        <w:rPr>
          <w:iCs/>
          <w:i/>
        </w:rPr>
        <w:t xml:space="preserve">in vivo</w:t>
      </w:r>
      <w:r>
        <w:t xml:space="preserve"> </w:t>
      </w:r>
      <w:r>
        <w:t xml:space="preserve">potency, no replacement for regulatory toxicology and no live-animal result. The</w:t>
      </w:r>
      <w:r>
        <w:t xml:space="preserve"> </w:t>
      </w:r>
      <w:r>
        <w:rPr>
          <w:rStyle w:val="VerbatimChar"/>
        </w:rPr>
        <w:t xml:space="preserve">live_lab</w:t>
      </w:r>
      <w:r>
        <w:t xml:space="preserve"> </w:t>
      </w:r>
      <w:r>
        <w:t xml:space="preserve">field of every notebook this pipeline produced is</w:t>
      </w:r>
      <w:r>
        <w:t xml:space="preserve"> </w:t>
      </w:r>
      <w:r>
        <w:rPr>
          <w:rStyle w:val="VerbatimChar"/>
        </w:rPr>
        <w:t xml:space="preserve">null</w:t>
      </w:r>
      <w:r>
        <w:t xml:space="preserve">.</w:t>
      </w:r>
    </w:p>
    <w:bookmarkEnd w:id="21"/>
    <w:bookmarkEnd w:id="22"/>
    <w:bookmarkStart w:id="29" w:name="methods"/>
    <w:p>
      <w:pPr>
        <w:pStyle w:val="Heading2"/>
        <w:widowControl/>
      </w:pPr>
      <w:r>
        <w:t xml:space="preserve">2. Methods</w:t>
      </w:r>
    </w:p>
    <w:bookmarkStart w:id="23" w:name="typed-evidence-propagation-rq1"/>
    <w:p>
      <w:pPr>
        <w:pStyle w:val="Heading3"/>
        <w:widowControl/>
      </w:pPr>
      <w:r>
        <w:t xml:space="preserve">2.1 Typed evidence propagation (RQ1)</w:t>
      </w:r>
    </w:p>
    <w:p>
      <w:pPr>
        <w:pStyle w:val="FirstParagraph"/>
        <w:widowControl/>
      </w:pPr>
      <w:r>
        <w:t xml:space="preserve">The common failure this replaces is a pipeline that applies one transform to whatever number a source reported and gives the result one name. That erases two distinctions at once: a normalised functional response is not a fraction of occupied binding sites, and a row with no sourced number must not yield a small response at all.</w:t>
      </w:r>
    </w:p>
    <w:p>
      <w:pPr>
        <w:pStyle w:val="BodyText"/>
        <w:widowControl/>
      </w:pPr>
      <w:r>
        <w:t xml:space="preserve">Each row records the</w:t>
      </w:r>
      <w:r>
        <w:t xml:space="preserve"> </w:t>
      </w:r>
      <w:r>
        <w:rPr>
          <w:bCs/>
          <w:b/>
        </w:rPr>
        <w:t xml:space="preserve">parameter type</w:t>
      </w:r>
      <w:r>
        <w:t xml:space="preserve"> </w:t>
      </w:r>
      <w:r>
        <w:t xml:space="preserve">its source measured and an ordered</w:t>
      </w:r>
      <w:r>
        <w:t xml:space="preserve"> </w:t>
      </w:r>
      <w:r>
        <w:rPr>
          <w:bCs/>
          <w:b/>
        </w:rPr>
        <w:t xml:space="preserve">evidence distance</w:t>
      </w:r>
      <w:r>
        <w:t xml:space="preserve"> </w:t>
      </w:r>
      <w:r>
        <w:t xml:space="preserve">from the modelled target: E0 (on-target); E1 (cross-species); E2 (related receptor); E3 (class extrapolation); E4 (unsupported). The admissible transformation is a total function of that pair (ST20). Example legal triples are</w:t>
      </w:r>
      <w:r>
        <w:t xml:space="preserve"> </w:t>
      </w:r>
      <w:r>
        <w:rPr>
          <w:rStyle w:val="VerbatimChar"/>
        </w:rPr>
        <w:t xml:space="preserve">(Kd, E0, binding_occupancy)</w:t>
      </w:r>
      <w:r>
        <w:t xml:space="preserve">,</w:t>
      </w:r>
      <w:r>
        <w:t xml:space="preserve"> </w:t>
      </w:r>
      <w:r>
        <w:rPr>
          <w:rStyle w:val="VerbatimChar"/>
        </w:rPr>
        <w:t xml:space="preserve">(Kd, E1, binding_engagement_proxy)</w:t>
      </w:r>
      <w:r>
        <w:t xml:space="preserve"> </w:t>
      </w:r>
      <w:r>
        <w:t xml:space="preserve">and</w:t>
      </w:r>
      <w:r>
        <w:t xml:space="preserve"> </w:t>
      </w:r>
      <w:r>
        <w:rPr>
          <w:rStyle w:val="VerbatimChar"/>
        </w:rPr>
        <w:t xml:space="preserve">(EC50, E0, functional_engagement)</w:t>
      </w:r>
      <w:r>
        <w:t xml:space="preserve">; transferred functional potencies use</w:t>
      </w:r>
      <w:r>
        <w:t xml:space="preserve"> </w:t>
      </w:r>
      <w:r>
        <w:rPr>
          <w:rStyle w:val="VerbatimChar"/>
        </w:rPr>
        <w:t xml:space="preserve">functional_engagement_proxy</w:t>
      </w:r>
      <w:r>
        <w:t xml:space="preserve">, while any E4 row is</w:t>
      </w:r>
      <w:r>
        <w:t xml:space="preserve"> </w:t>
      </w:r>
      <w:r>
        <w:rPr>
          <w:rStyle w:val="VerbatimChar"/>
        </w:rPr>
        <w:t xml:space="preserve">not_modelled</w:t>
      </w:r>
      <w:r>
        <w:t xml:space="preserve">. An attempted</w:t>
      </w:r>
      <w:r>
        <w:t xml:space="preserve"> </w:t>
      </w:r>
      <w:r>
        <w:rPr>
          <w:rStyle w:val="VerbatimChar"/>
        </w:rPr>
        <w:t xml:space="preserve">(EC50, E0, binding_occupancy)</w:t>
      </w:r>
      <w:r>
        <w:t xml:space="preserve"> </w:t>
      </w:r>
      <w:r>
        <w:t xml:space="preserve">transformation raises</w:t>
      </w:r>
      <w:r>
        <w:t xml:space="preserve"> </w:t>
      </w:r>
      <w:r>
        <w:rPr>
          <w:rStyle w:val="VerbatimChar"/>
        </w:rPr>
        <w:t xml:space="preserve">EvidenceTypeError</w:t>
      </w:r>
      <w:r>
        <w:t xml:space="preserve">. Every numeric branch retains the same Hill algebra,</w:t>
      </w:r>
      <w:r>
        <w:t xml:space="preserve"> </w:t>
      </w:r>
      <w:r>
        <w:rPr>
          <w:rStyle w:val="VerbatimChar"/>
        </w:rPr>
        <w:t xml:space="preserve">C^n/(x^n + C^n)</w:t>
      </w:r>
      <w:r>
        <w:t xml:space="preserve">: the exact</w:t>
      </w:r>
      <w:r>
        <w:t xml:space="preserve"> </w:t>
      </w:r>
      <w:r>
        <w:rPr>
          <w:iCs/>
          <w:i/>
        </w:rPr>
        <w:t xml:space="preserve">Drosophila</w:t>
      </w:r>
      <w:r>
        <w:t xml:space="preserve"> </w:t>
      </w:r>
      <w:r>
        <w:t xml:space="preserve">Kd row licenses a binding-occupancy label but introduces no new kinetic binding model.</w:t>
      </w:r>
    </w:p>
    <w:p>
      <w:pPr>
        <w:pStyle w:val="BodyText"/>
        <w:widowControl/>
      </w:pPr>
      <w:r>
        <w:t xml:space="preserve">The enforceable invariant is narrow:</w:t>
      </w:r>
      <w:r>
        <w:t xml:space="preserve"> </w:t>
      </w:r>
      <w:r>
        <w:rPr>
          <w:iCs/>
          <w:i/>
        </w:rPr>
        <w:t xml:space="preserve">no numeric engagement reaching a readout may originate from a row whose (parameter type, distance) pair does not admit one</w:t>
      </w:r>
      <w:r>
        <w:t xml:space="preserve">. A finite regression audit exercises every shipped row through the enumerated comparison, curve, uncertainty, assay and dashboard paths, checks that dropping inadmissible rows changes no gain vector, and verifies deliberate invalid requests. This is coverage of the shipped library and enumerated paths, not proof about an unenumerated future entry point.</w:t>
      </w:r>
    </w:p>
    <w:bookmarkEnd w:id="23"/>
    <w:bookmarkStart w:id="24" w:name="Xd7968f346769f6e16a161afa62b7a11e844ca49"/>
    <w:p>
      <w:pPr>
        <w:pStyle w:val="Heading3"/>
        <w:widowControl/>
      </w:pPr>
      <w:r>
        <w:t xml:space="preserve">2.2 The extracts, and what the runtime does to them</w:t>
      </w:r>
    </w:p>
    <w:p>
      <w:pPr>
        <w:pStyle w:val="FirstParagraph"/>
        <w:widowControl/>
      </w:pPr>
      <w:r>
        <w:t xml:space="preserve">Two committed extracts of MaleCNS v1.0 are used, streamed out of the ~1.1 GB public weight matrix on a CI runner and each under about 1 MB of JSON:</w:t>
      </w:r>
      <w:r>
        <w:t xml:space="preserve"> </w:t>
      </w:r>
      <w:r>
        <w:rPr>
          <w:rStyle w:val="VerbatimChar"/>
          <w:bCs/>
          <w:b/>
        </w:rPr>
        <w:t xml:space="preserve">named</w:t>
      </w:r>
      <w:r>
        <w:t xml:space="preserve">, a 1-hop neighbourhood of two named cell types (four seed cells) (1126 nodes, 1360 edges), and</w:t>
      </w:r>
      <w:r>
        <w:t xml:space="preserve"> </w:t>
      </w:r>
      <w:r>
        <w:rPr>
          <w:rStyle w:val="VerbatimChar"/>
          <w:bCs/>
          <w:b/>
        </w:rPr>
        <w:t xml:space="preserve">taste_motor</w:t>
      </w:r>
      <w:r>
        <w:t xml:space="preserve">, the same seeds plus sensory types and an induced closure (1841 nodes, 19 066 edges). §3.2 adds a ladder of nested extracts of 1k, 5k, 10k, 25k, 50k cells grown by one fixed rule.</w:t>
      </w:r>
    </w:p>
    <w:p>
      <w:pPr>
        <w:pStyle w:val="BodyText"/>
        <w:widowControl/>
      </w:pPr>
      <w:r>
        <w:rPr>
          <w:bCs/>
          <w:b/>
        </w:rPr>
        <w:t xml:space="preserve">The extracts are structurally very different, and the difference turns out to be load-bearing (ST19).</w:t>
      </w:r>
      <w:r>
        <w:t xml:space="preserve"> </w:t>
      </w:r>
      <w:r>
        <w:rPr>
          <w:rStyle w:val="VerbatimChar"/>
        </w:rPr>
        <w:t xml:space="preserve">named</w:t>
      </w:r>
      <w:r>
        <w:t xml:space="preserve"> </w:t>
      </w:r>
      <w:r>
        <w:t xml:space="preserve">has mean degree 1.208: 85% of its edges terminate on the 4 seed cells, only 184 of 1126 nodes receive any input, and only 25% of edges leave a node that itself receives input. It is dominated by incoming edges to seeds, with limited recurrent connectivity.</w:t>
      </w:r>
      <w:r>
        <w:t xml:space="preserve"> </w:t>
      </w:r>
      <w:r>
        <w:rPr>
          <w:rStyle w:val="VerbatimChar"/>
        </w:rPr>
        <w:t xml:space="preserve">taste_motor</w:t>
      </w:r>
      <w:r>
        <w:t xml:space="preserve"> </w:t>
      </w:r>
      <w:r>
        <w:t xml:space="preserve">has mean degree 10.4, 10% of edges onto seeds and 97% of edges leaving a node with input. Composition differs too, and octopamine is absent from both (0 cells), so a perturbation acting only through it cannot move either readout for substrate rather than domain reasons; the full census is in ST19 and §S9(v).</w:t>
      </w:r>
    </w:p>
    <w:p>
      <w:pPr>
        <w:pStyle w:val="BodyText"/>
        <w:widowControl/>
      </w:pPr>
      <w:r>
        <w:t xml:space="preserve">Two runtimes consume a gain patch: a deterministic clipped leaky rate iteration (~50 ms per evaluation of</w:t>
      </w:r>
      <w:r>
        <w:t xml:space="preserve"> </w:t>
      </w:r>
      <w:r>
        <w:rPr>
          <w:rStyle w:val="VerbatimChar"/>
        </w:rPr>
        <w:t xml:space="preserve">named</w:t>
      </w:r>
      <w:r>
        <w:t xml:space="preserve">) and a current-based LIF network [6] whose synaptic scale and background drive are tuned constants, not fits (§S3).</w:t>
      </w:r>
    </w:p>
    <w:p>
      <w:pPr>
        <w:pStyle w:val="BodyText"/>
        <w:widowControl/>
      </w:pPr>
      <w:r>
        <w:rPr>
          <w:bCs/>
          <w:b/>
        </w:rPr>
        <w:t xml:space="preserve">The rate runtime row-normalises its weight matrix, and previous versions did not report this.</w:t>
      </w:r>
      <w:r>
        <w:t xml:space="preserve"> </w:t>
      </w:r>
      <w:r>
        <w:t xml:space="preserve">Each row of the signed matrix is divided by</w:t>
      </w:r>
      <w:r>
        <w:t xml:space="preserve"> </w:t>
      </w:r>
      <w:r>
        <w:rPr>
          <w:rStyle w:val="VerbatimChar"/>
        </w:rPr>
        <w:t xml:space="preserve">max(Σ|W|, 1)</w:t>
      </w:r>
      <w:r>
        <w:t xml:space="preserve"> </w:t>
      </w:r>
      <w:r>
        <w:t xml:space="preserve">before gains act as presynaptic column scales. Recurrent input is therefore a composition-weighted average of presynaptic gains, making the convention part of the answer to RQ2. Section 3.3 sweeps it against</w:t>
      </w:r>
      <w:r>
        <w:t xml:space="preserve"> </w:t>
      </w:r>
      <w:r>
        <w:rPr>
          <w:rStyle w:val="VerbatimChar"/>
        </w:rPr>
        <w:t xml:space="preserve">none</w:t>
      </w:r>
      <w:r>
        <w:t xml:space="preserve"> </w:t>
      </w:r>
      <w:r>
        <w:t xml:space="preserve">and a degree-corrected denominator. ST21 publishes the sign table: 5 of seven magnitudes (glutamate -0.4, histamine -0.5, dopamine +0.2, serotonin +0.2, octopamine +0.2) are asserted, absent from the specification family and not bounded by the label-permuting null.</w:t>
      </w:r>
    </w:p>
    <w:bookmarkEnd w:id="24"/>
    <w:bookmarkStart w:id="25" w:name="input-dependence-testing-rq2"/>
    <w:p>
      <w:pPr>
        <w:pStyle w:val="Heading3"/>
        <w:widowControl/>
      </w:pPr>
      <w:r>
        <w:t xml:space="preserve">2.3 Input-dependence testing (RQ2)</w:t>
      </w:r>
    </w:p>
    <w:p>
      <w:pPr>
        <w:pStyle w:val="FirstParagraph"/>
        <w:widowControl/>
      </w:pPr>
      <w:r>
        <w:t xml:space="preserve">The instrument we consider most transferable asks, for one</w:t>
      </w:r>
      <w:r>
        <w:t xml:space="preserve"> </w:t>
      </w:r>
      <w:r>
        <w:rPr>
          <w:rStyle w:val="VerbatimChar"/>
        </w:rPr>
        <w:t xml:space="preserve">compound × concentration × circuit × readout</w:t>
      </w:r>
      <w:r>
        <w:t xml:space="preserve">, how much of the real connectome a prediction needs. The same drug contrast (treated minus vehicle, both arms on the</w:t>
      </w:r>
      <w:r>
        <w:t xml:space="preserve"> </w:t>
      </w:r>
      <w:r>
        <w:rPr>
          <w:iCs/>
          <w:i/>
        </w:rPr>
        <w:t xml:space="preserve">same</w:t>
      </w:r>
      <w:r>
        <w:t xml:space="preserve"> </w:t>
      </w:r>
      <w:r>
        <w:t xml:space="preserve">graph) is measured on progressively degraded copies of the cut, which form an</w:t>
      </w:r>
      <w:r>
        <w:t xml:space="preserve"> </w:t>
      </w:r>
      <w:r>
        <w:rPr>
          <w:bCs/>
          <w:b/>
        </w:rPr>
        <w:t xml:space="preserve">information ladder</w:t>
      </w:r>
      <w:r>
        <w:t xml:space="preserve">:</w:t>
      </w:r>
    </w:p>
    <w:p>
      <w:pPr>
        <w:pStyle w:val="BodyText"/>
        <w:keepNext/>
        <w:widowControl/>
      </w:pPr>
      <w:r>
        <w:rPr>
          <w:bCs/>
          <w:b/>
        </w:rPr>
        <w:t xml:space="preserve">Table II. Graph degradations and retained information.</w:t>
      </w:r>
    </w:p>
    <w:tbl>
      <w:tblPr>
        <w:tblStyle w:val="Table"/>
        <w:tblW w:type="pct" w:w="5000"/>
        <w:tblLayout w:type="fixed"/>
        <w:tblLook w:firstRow="1" w:lastRow="0" w:firstColumn="0" w:lastColumn="0" w:noHBand="0" w:noVBand="0" w:val="0020"/>
        <w:jc w:val="start"/>
      </w:tblPr>
      <w:tblGrid>
        <w:gridCol w:w="4422"/>
        <w:gridCol w:w="5216"/>
      </w:tblGrid>
      <w:tr>
        <w:trPr>
          <w:tblHeader w:val="true"/>
          <w:tblHeader/>
        </w:trPr>
        <w:tc>
          <w:tcPr>
            <w:tcW w:type="dxa" w:w="442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pStyle w:val="Compact"/>
              <w:keepNext w:val="0"/>
              <w:spacing w:after="60" w:before="60"/>
              <w:jc w:val="left"/>
            </w:pPr>
            <w:r>
              <w:rPr>
                <w:b/>
                <w:sz w:val="20"/>
              </w:rPr>
              <w:t xml:space="preserve">Graph model</w:t>
            </w:r>
          </w:p>
        </w:tc>
        <w:tc>
          <w:tcPr>
            <w:tcW w:type="dxa" w:w="52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pStyle w:val="Compact"/>
              <w:keepNext w:val="0"/>
              <w:spacing w:after="60" w:before="60"/>
              <w:jc w:val="left"/>
            </w:pPr>
            <w:r>
              <w:rPr>
                <w:b/>
                <w:sz w:val="20"/>
              </w:rPr>
              <w:t xml:space="preserve">What it still knows</w:t>
            </w:r>
          </w:p>
        </w:tc>
      </w:tr>
      <w:tr>
        <w:tc>
          <w:tcPr>
            <w:tcW w:type="dxa" w:w="442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rStyle w:val="VerbatimChar"/>
                <w:sz w:val="20"/>
              </w:rPr>
              <w:t xml:space="preserve">erdos_renyi</w:t>
            </w:r>
          </w:p>
        </w:tc>
        <w:tc>
          <w:tcPr>
            <w:tcW w:type="dxa" w:w="52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20"/>
              </w:rPr>
              <w:t xml:space="preserve">node and edge counts, the weight histogram, the transmitter census</w:t>
            </w:r>
          </w:p>
        </w:tc>
      </w:tr>
      <w:tr>
        <w:tc>
          <w:tcPr>
            <w:tcW w:type="dxa" w:w="442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rStyle w:val="VerbatimChar"/>
                <w:sz w:val="20"/>
              </w:rPr>
              <w:t xml:space="preserve">rewire_degree_preserving</w:t>
            </w:r>
          </w:p>
        </w:tc>
        <w:tc>
          <w:tcPr>
            <w:tcW w:type="dxa" w:w="52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20"/>
              </w:rPr>
              <w:t xml:space="preserve">+ every node’s in-degree, out-degree and transmitter</w:t>
            </w:r>
          </w:p>
        </w:tc>
      </w:tr>
      <w:tr>
        <w:tc>
          <w:tcPr>
            <w:tcW w:type="dxa" w:w="442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rStyle w:val="VerbatimChar"/>
                <w:sz w:val="20"/>
              </w:rPr>
              <w:t xml:space="preserve">weight_permute</w:t>
            </w:r>
          </w:p>
        </w:tc>
        <w:tc>
          <w:tcPr>
            <w:tcW w:type="dxa" w:w="52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20"/>
              </w:rPr>
              <w:t xml:space="preserve">+ the real edge list (weights reshuffled)</w:t>
            </w:r>
          </w:p>
        </w:tc>
      </w:tr>
      <w:tr>
        <w:tc>
          <w:tcPr>
            <w:tcW w:type="dxa" w:w="442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rStyle w:val="VerbatimChar"/>
                <w:sz w:val="20"/>
              </w:rPr>
              <w:t xml:space="preserve">sign_permute_weight_matched</w:t>
            </w:r>
          </w:p>
        </w:tc>
        <w:tc>
          <w:tcPr>
            <w:tcW w:type="dxa" w:w="52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20"/>
              </w:rPr>
              <w:t xml:space="preserve">+ the real weights on the real edges, and each transmitter’s share of total outgoing weight</w:t>
            </w:r>
          </w:p>
        </w:tc>
      </w:tr>
      <w:tr>
        <w:tc>
          <w:tcPr>
            <w:tcW w:type="dxa" w:w="442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20"/>
              </w:rPr>
              <w:t xml:space="preserve">the MaleCNS cut</w:t>
            </w:r>
          </w:p>
        </w:tc>
        <w:tc>
          <w:tcPr>
            <w:tcW w:type="dxa" w:w="52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keepNext w:val="0"/>
              <w:spacing w:after="60" w:before="60"/>
              <w:jc w:val="left"/>
            </w:pPr>
            <w:r>
              <w:rPr>
                <w:sz w:val="20"/>
              </w:rPr>
              <w:t xml:space="preserve">everything</w:t>
            </w:r>
          </w:p>
        </w:tc>
      </w:tr>
    </w:tbl>
    <w:p>
      <w:pPr>
        <w:pStyle w:val="BodyText"/>
        <w:widowControl/>
      </w:pPr>
      <w:r>
        <w:t xml:space="preserve">The rank-3 rung uses a constrained shuffle holding every tracked transmitter’s outgoing-weight share within 0.002 of the real graph. A plain label permutation is instead a</w:t>
      </w:r>
      <w:r>
        <w:t xml:space="preserve"> </w:t>
      </w:r>
      <w:r>
        <w:rPr>
          <w:bCs/>
          <w:b/>
        </w:rPr>
        <w:t xml:space="preserve">joint target-set-and-sign null</w:t>
      </w:r>
      <w:r>
        <w:t xml:space="preserve">: it preserves label counts but moves weighted balance because out-strength is heterogeneous. On</w:t>
      </w:r>
      <w:r>
        <w:t xml:space="preserve"> </w:t>
      </w:r>
      <w:r>
        <w:rPr>
          <w:rStyle w:val="VerbatimChar"/>
        </w:rPr>
        <w:t xml:space="preserve">named</w:t>
      </w:r>
      <w:r>
        <w:t xml:space="preserve">, the cholinergic outgoing-weight share is 0.619 on the real graph versus 0.544 ± 0.027 across 1000 permutations, placing the real graph at the 100th percentile of that null (ST23).</w:t>
      </w:r>
    </w:p>
    <w:p>
      <w:pPr>
        <w:pStyle w:val="BodyText"/>
        <w:widowControl/>
      </w:pPr>
      <w:r>
        <w:t xml:space="preserve">Each mode is first assessed with the empirical two-sided permutation probability</w:t>
      </w:r>
      <w:r>
        <w:t xml:space="preserve"> </w:t>
      </w:r>
      <w:r>
        <w:rPr>
          <w:rStyle w:val="VerbatimChar"/>
        </w:rPr>
        <w:t xml:space="preserve">(k+1)/(n+1)</w:t>
      </w:r>
      <w:r>
        <w:t xml:space="preserve">. After non-rejection, the implementation compares the real effect with the null median using a tolerance of 5% of the vehicle readout (0.332 rate-model units on</w:t>
      </w:r>
      <w:r>
        <w:t xml:space="preserve"> </w:t>
      </w:r>
      <w:r>
        <w:rPr>
          <w:rStyle w:val="VerbatimChar"/>
        </w:rPr>
        <w:t xml:space="preserve">named</w:t>
      </w:r>
      <w:r>
        <w:t xml:space="preserve">). The legacy label</w:t>
      </w:r>
      <w:r>
        <w:t xml:space="preserve"> </w:t>
      </w:r>
      <w:r>
        <w:rPr>
          <w:rStyle w:val="VerbatimChar"/>
        </w:rPr>
        <w:t xml:space="preserve">equivalent_within_tolerance</w:t>
      </w:r>
      <w:r>
        <w:t xml:space="preserve"> </w:t>
      </w:r>
      <w:r>
        <w:t xml:space="preserve">records only that point-gap check, not statistical equivalence; other non-rejections are</w:t>
      </w:r>
      <w:r>
        <w:t xml:space="preserve"> </w:t>
      </w:r>
      <w:r>
        <w:rPr>
          <w:rStyle w:val="VerbatimChar"/>
        </w:rPr>
        <w:t xml:space="preserve">indeterminate</w:t>
      </w:r>
      <w:r>
        <w:t xml:space="preserve">. Classes and the legacy</w:t>
      </w:r>
      <w:r>
        <w:t xml:space="preserve"> </w:t>
      </w:r>
      <w:r>
        <w:rPr>
          <w:bCs/>
          <w:b/>
        </w:rPr>
        <w:t xml:space="preserve">necessary information level</w:t>
      </w:r>
      <w:r>
        <w:t xml:space="preserve"> </w:t>
      </w:r>
      <w:r>
        <w:t xml:space="preserve">are descriptive summaries, not proofs of necessary or sufficient information. The nulls are not nested.</w:t>
      </w:r>
    </w:p>
    <w:p>
      <w:pPr>
        <w:pStyle w:val="BodyText"/>
        <w:widowControl/>
      </w:pPr>
      <w:r>
        <w:t xml:space="preserve">The implementation also fixes a relative effect floor, separates detailed profiles from library-wide screens, and applies Benjamini-Hochberg across the screens’ component structural tests (§S2). A cell is topology-dependent if either adjusted structural test rejects. This is not a demonstrated cell-level FDR guarantee, and the conventions were refined during analysis rather than externally registered.</w:t>
      </w:r>
    </w:p>
    <w:bookmarkEnd w:id="25"/>
    <w:bookmarkStart w:id="26" w:name="X18730605ec8de5c2c50ca0e5b0170e08c95ebd9"/>
    <w:p>
      <w:pPr>
        <w:pStyle w:val="Heading3"/>
        <w:widowControl/>
      </w:pPr>
      <w:r>
        <w:t xml:space="preserve">2.4 The ablation ladder and the specification family (RQ3)</w:t>
      </w:r>
    </w:p>
    <w:p>
      <w:pPr>
        <w:pStyle w:val="FirstParagraph"/>
        <w:widowControl/>
      </w:pPr>
      <w:r>
        <w:t xml:space="preserve">Four models predict the same cell with one layer denied:</w:t>
      </w:r>
      <w:r>
        <w:t xml:space="preserve"> </w:t>
      </w:r>
      <w:r>
        <w:rPr>
          <w:bCs/>
          <w:b/>
        </w:rPr>
        <w:t xml:space="preserve">A</w:t>
      </w:r>
      <w:r>
        <w:t xml:space="preserve"> </w:t>
      </w:r>
      <w:r>
        <w:t xml:space="preserve">receptor engagement alone;</w:t>
      </w:r>
      <w:r>
        <w:t xml:space="preserve"> </w:t>
      </w:r>
      <w:r>
        <w:rPr>
          <w:bCs/>
          <w:b/>
        </w:rPr>
        <w:t xml:space="preserve">B</w:t>
      </w:r>
      <w:r>
        <w:t xml:space="preserve"> </w:t>
      </w:r>
      <w:r>
        <w:t xml:space="preserve">mechanism gains on transmitter composition only;</w:t>
      </w:r>
      <w:r>
        <w:t xml:space="preserve"> </w:t>
      </w:r>
      <w:r>
        <w:rPr>
          <w:bCs/>
          <w:b/>
        </w:rPr>
        <w:t xml:space="preserve">C</w:t>
      </w:r>
      <w:r>
        <w:t xml:space="preserve"> </w:t>
      </w:r>
      <w:r>
        <w:t xml:space="preserve">the real cut and runtime with one generic multiplier;</w:t>
      </w:r>
      <w:r>
        <w:t xml:space="preserve"> </w:t>
      </w:r>
      <w:r>
        <w:rPr>
          <w:bCs/>
          <w:b/>
        </w:rPr>
        <w:t xml:space="preserve">D</w:t>
      </w:r>
      <w:r>
        <w:t xml:space="preserve"> </w:t>
      </w:r>
      <w:r>
        <w:t xml:space="preserve">the full model. Because their units differ, signed Spearman ρ compares each library ordering with D.</w:t>
      </w:r>
    </w:p>
    <w:p>
      <w:pPr>
        <w:pStyle w:val="BodyText"/>
        <w:widowControl/>
      </w:pPr>
      <w:r>
        <w:t xml:space="preserve">Level C previously could only depress activity and could not order compounds that raise the readout. Its magnitude is unchanged, but its sign now comes from one mechanism-table bit per compound; the old rule remains as a floor (§S1). Because B and D share the same gain vector, §3.3 reports a matched reference distribution.</w:t>
      </w:r>
    </w:p>
    <w:p>
      <w:pPr>
        <w:pStyle w:val="BodyText"/>
        <w:widowControl/>
      </w:pPr>
      <w:r>
        <w:t xml:space="preserve">The parameter-to-gain mapping is an asserted functional form. We therefore re-derive each principal conclusion under 25 specifications (five shapes at five coefficient scales, §S1.1); undecidable cells count against a conclusion, and fractions describe this family rather than posterior probabilities. Topology predicates use 100 permutations per specification and adjusted component probabilities across 100 tests, without a conclusion-level FDR guarantee. Threshold verdicts are recomputed over the 25%, 40%, 50% × 10%, 20%, 30% grid on 10 compounds.</w:t>
      </w:r>
    </w:p>
    <w:bookmarkEnd w:id="26"/>
    <w:bookmarkStart w:id="27" w:name="evaluation-taxonomy"/>
    <w:p>
      <w:pPr>
        <w:pStyle w:val="Heading3"/>
        <w:widowControl/>
      </w:pPr>
      <w:r>
        <w:t xml:space="preserve">2.5 Evaluation taxonomy</w:t>
      </w:r>
    </w:p>
    <w:p>
      <w:pPr>
        <w:pStyle w:val="FirstParagraph"/>
        <w:widowControl/>
      </w:pPr>
      <w:r>
        <w:t xml:space="preserve">We distinguish</w:t>
      </w:r>
      <w:r>
        <w:t xml:space="preserve"> </w:t>
      </w:r>
      <w:r>
        <w:rPr>
          <w:bCs/>
          <w:b/>
        </w:rPr>
        <w:t xml:space="preserve">implementation consistency</w:t>
      </w:r>
      <w:r>
        <w:t xml:space="preserve">,</w:t>
      </w:r>
      <w:r>
        <w:t xml:space="preserve"> </w:t>
      </w:r>
      <w:r>
        <w:rPr>
          <w:bCs/>
          <w:b/>
        </w:rPr>
        <w:t xml:space="preserve">literature concordance</w:t>
      </w:r>
      <w:r>
        <w:t xml:space="preserve"> </w:t>
      </w:r>
      <w:r>
        <w:t xml:space="preserve">and</w:t>
      </w:r>
      <w:r>
        <w:t xml:space="preserve"> </w:t>
      </w:r>
      <w:r>
        <w:rPr>
          <w:bCs/>
          <w:b/>
        </w:rPr>
        <w:t xml:space="preserve">independent out-of-sample validation</w:t>
      </w:r>
      <w:r>
        <w:t xml:space="preserve">. Concordance is scored per published ordering, with shared library sources detected from DOIs and PMIDs; a two-item ordering is never allowed to dominate a bare mean. There is no independent circuit-level validation. The synthetic experiment assesses selected instrument behaviours, not the domain model or general calibration.</w:t>
      </w:r>
    </w:p>
    <w:bookmarkEnd w:id="27"/>
    <w:bookmarkStart w:id="28" w:name="X1aa1899c7e75f03c564d406f59d413d47429bc5"/>
    <w:p>
      <w:pPr>
        <w:pStyle w:val="Heading3"/>
        <w:widowControl/>
      </w:pPr>
      <w:r>
        <w:t xml:space="preserve">2.6 Global uncertainty and the value of information</w:t>
      </w:r>
    </w:p>
    <w:p>
      <w:pPr>
        <w:pStyle w:val="FirstParagraph"/>
        <w:widowControl/>
      </w:pPr>
      <w:r>
        <w:t xml:space="preserve">A one-at-a-time tornado cannot separate a factor’s own effect from its interactions, so uncertainty is attributed with a variance-based (Sobol’) analysis over selected assumptions the implementation exposes; potency, Hill coefficient, the engagement-to-gain transformation and its coefficient, the external drive, the cut’s synapse-weight threshold, the transmitter-sign convention, the expression-weighting layer; plus a deliberately null factor, the spiking RNG seed, which the deterministic rate engine ignores. The design is Saltelli cross-sampling with Jansen estimators [70], [71], validated against the analytic Ishigami benchmark [72] in the same run.</w:t>
      </w:r>
    </w:p>
    <w:p>
      <w:pPr>
        <w:pStyle w:val="BodyText"/>
        <w:widowControl/>
      </w:pPr>
      <w:r>
        <w:t xml:space="preserve">Estimates are left unclipped, so a factor whose true index is zero can be estimated below zero. A first-order index cannot be negative, so the</w:t>
      </w:r>
      <w:r>
        <w:t xml:space="preserve"> </w:t>
      </w:r>
      <w:r>
        <w:rPr>
          <w:bCs/>
          <w:b/>
        </w:rPr>
        <w:t xml:space="preserve">largest magnitude among the negative estimates is a measured lower bound on the estimator’s error</w:t>
      </w:r>
      <w:r>
        <w:t xml:space="preserve">, and we report it as an error diagnostic, not a calibrated noise floor or universal bound. The budget becomes a ranking by</w:t>
      </w:r>
      <w:r>
        <w:t xml:space="preserve"> </w:t>
      </w:r>
      <w:r>
        <w:rPr>
          <w:rStyle w:val="VerbatimChar"/>
        </w:rPr>
        <w:t xml:space="preserve">VOI_j = max(0, S_j) · Var(Y)</w:t>
      </w:r>
      <w:r>
        <w:t xml:space="preserve"> </w:t>
      </w:r>
      <w:r>
        <w:t xml:space="preserve">[75]; variance of a model output under assumed input ranges, not an expected gain in accuracy about a living fly.</w:t>
      </w:r>
    </w:p>
    <w:bookmarkEnd w:id="28"/>
    <w:bookmarkEnd w:id="29"/>
    <w:bookmarkStart w:id="49" w:name="results"/>
    <w:p>
      <w:pPr>
        <w:pStyle w:val="Heading2"/>
        <w:widowControl/>
      </w:pPr>
      <w:r>
        <w:t xml:space="preserve">3. Results</w:t>
      </w:r>
    </w:p>
    <w:p>
      <w:pPr>
        <w:pStyle w:val="FirstParagraph"/>
        <w:widowControl/>
      </w:pPr>
      <w:r>
        <w:t xml:space="preserve">This section evaluates the instruments, not the domain. Core committed-cut values are generated by</w:t>
      </w:r>
      <w:r>
        <w:t xml:space="preserve"> </w:t>
      </w:r>
      <w:r>
        <w:rPr>
          <w:rStyle w:val="VerbatimChar"/>
        </w:rPr>
        <w:t xml:space="preserve">scripts/reproduce_paper.py</w:t>
      </w:r>
      <w:r>
        <w:t xml:space="preserve"> </w:t>
      </w:r>
      <w:r>
        <w:t xml:space="preserve">and stored keyed in</w:t>
      </w:r>
      <w:r>
        <w:t xml:space="preserve"> </w:t>
      </w:r>
      <w:r>
        <w:rPr>
          <w:rStyle w:val="VerbatimChar"/>
        </w:rPr>
        <w:t xml:space="preserve">papers/results.json</w:t>
      </w:r>
      <w:r>
        <w:t xml:space="preserve">; ST27 is imported from the cached scale study described in §3.7. The parameter library and demonstration readouts are described in §3.6 and §S6.</w:t>
      </w:r>
    </w:p>
    <w:bookmarkStart w:id="30" w:name="X37dda9e775ee0bacacf1a62d35b47f3b4b2a132"/>
    <w:p>
      <w:pPr>
        <w:pStyle w:val="Heading3"/>
        <w:widowControl/>
      </w:pPr>
      <w:r>
        <w:t xml:space="preserve">3.1 Synthetic recovery, detection frequency and convergence (Fig. SF16, Tables ST11, ST22)</w:t>
      </w:r>
    </w:p>
    <w:p>
      <w:pPr>
        <w:pStyle w:val="FirstParagraph"/>
        <w:widowControl/>
      </w:pPr>
      <w:r>
        <w:t xml:space="preserve">The ladder recovered 2 of 3 planted effects at</w:t>
      </w:r>
      <w:r>
        <w:t xml:space="preserve"> </w:t>
      </w:r>
      <w:r>
        <w:rPr>
          <w:iCs/>
          <w:i/>
        </w:rPr>
        <w:t xml:space="preserve">n</w:t>
      </w:r>
      <w:r>
        <w:t xml:space="preserve"> </w:t>
      </w:r>
      <w:r>
        <w:t xml:space="preserve">= 200, with no detection in its unplanted control. Detection rates by planted strength are strength 0.25: 0.00-0.17; strength 0.5: 0.67-0.83; strength 1: 1.00-1.00, with all sampled runs detected at 1 and low detection at 0.25; by permutation count they are n=50: 0.61, n=200: 0.61, n=1000: 0.67. The test can therefore return a positive when wiring is constructed to matter, but weak effects are often missed.</w:t>
      </w:r>
    </w:p>
    <w:p>
      <w:pPr>
        <w:pStyle w:val="BodyText"/>
        <w:widowControl/>
      </w:pPr>
      <w:r>
        <w:t xml:space="preserve">This is limited positive-control evidence. The network has 250 nodes and 1500 background edges and is not matched to either real extract. Strength 0 omits both cycle edges and associated transmitter relabelling. The grid uses only 6 networks per cell at counts 50, 200, 1000, with 0 detections in 18 control runs; networks and shuffle prefixes are reused. These frequencies neither estimate general power or type-I error precisely nor establish power for the taste-motor veto-ratio endpoint.</w:t>
      </w:r>
    </w:p>
    <w:p>
      <w:pPr>
        <w:pStyle w:val="BodyText"/>
        <w:widowControl/>
      </w:pPr>
      <w:r>
        <w:t xml:space="preserve">The prefix sweep (ST11) distinguishes label agreement from probability precision. Observed labels remain unchanged from</w:t>
      </w:r>
      <w:r>
        <w:t xml:space="preserve"> </w:t>
      </w:r>
      <w:r>
        <w:rPr>
          <w:iCs/>
          <w:i/>
        </w:rPr>
        <w:t xml:space="preserve">n</w:t>
      </w:r>
      <w:r>
        <w:t xml:space="preserve"> </w:t>
      </w:r>
      <w:r>
        <w:t xml:space="preserve">= 50–400, while probabilities first remain within ±0.02 of their final estimates after 25–400 draws. These are descriptive comparisons with the final estimate, not confidence bounds on the true permutation probability. Prefixes reuse the same draws and are not independent replications.</w:t>
      </w:r>
    </w:p>
    <w:bookmarkEnd w:id="30"/>
    <w:bookmarkStart w:id="34" w:name="X7c33ac256e7a6afd0269b6a71a3776af3e95b78"/>
    <w:p>
      <w:pPr>
        <w:pStyle w:val="Heading3"/>
        <w:widowControl/>
      </w:pPr>
      <w:r>
        <w:t xml:space="preserve">3.2 Dependence labels change with the extract (Figs. 1, SF12; Tables ST6, ST12, ST12b, ST23, ST27)</w:t>
      </w:r>
    </w:p>
    <w:p>
      <w:pPr>
        <w:pStyle w:val="FirstParagraph"/>
        <w:widowControl/>
      </w:pPr>
      <w:r>
        <w:rPr>
          <w:bCs/>
          <w:b/>
        </w:rPr>
        <w:t xml:space="preserve">The landscape inverts between the two extracts.</w:t>
      </w:r>
      <w:r>
        <w:t xml:space="preserve"> </w:t>
      </w:r>
      <w:r>
        <w:t xml:space="preserve">Over 21 compounds × 4 concentrations = 84 cells at 1000 permutations, with Benjamini-Hochberg across the 168 component structural tests and the relative effect floor applied,</w:t>
      </w:r>
      <w:r>
        <w:t xml:space="preserve"> </w:t>
      </w:r>
      <w:r>
        <w:rPr>
          <w:rStyle w:val="VerbatimChar"/>
        </w:rPr>
        <w:t xml:space="preserve">named</w:t>
      </w:r>
      <w:r>
        <w:t xml:space="preserve"> </w:t>
      </w:r>
      <w:r>
        <w:t xml:space="preserve">gives</w:t>
      </w:r>
      <w:r>
        <w:t xml:space="preserve"> </w:t>
      </w:r>
      <w:r>
        <w:rPr>
          <w:bCs/>
          <w:b/>
        </w:rPr>
        <w:t xml:space="preserve">11 topology-dependent, 42 composition-dominated, 31 no-effect, 0 mixed</w:t>
      </w:r>
      <w:r>
        <w:t xml:space="preserve"> </w:t>
      </w:r>
      <w:r>
        <w:t xml:space="preserve">(uncorrected 14 / 39 / 31; on the absolute floor alone 16 / 55 / 13, the 18 cells the relative floor removes named in ST12). Repeated unchanged on the denser</w:t>
      </w:r>
      <w:r>
        <w:t xml:space="preserve"> </w:t>
      </w:r>
      <w:r>
        <w:rPr>
          <w:rStyle w:val="VerbatimChar"/>
        </w:rPr>
        <w:t xml:space="preserve">taste_motor</w:t>
      </w:r>
      <w:r>
        <w:t xml:space="preserve"> </w:t>
      </w:r>
      <w:r>
        <w:t xml:space="preserve">extract at 300 permutations, the same 84 cells give</w:t>
      </w:r>
      <w:r>
        <w:t xml:space="preserve"> </w:t>
      </w:r>
      <w:r>
        <w:rPr>
          <w:bCs/>
          <w:b/>
        </w:rPr>
        <w:t xml:space="preserve">54 / 0 / 30</w:t>
      </w:r>
      <w:r>
        <w:t xml:space="preserve">: every cell above the floor is topology-dependent, imidacloprid included (</w:t>
      </w:r>
      <w:r>
        <w:rPr>
          <w:iCs/>
          <w:i/>
        </w:rPr>
        <w:t xml:space="preserve">p</w:t>
      </w:r>
      <w:r>
        <w:t xml:space="preserve"> </w:t>
      </w:r>
      <w:r>
        <w:t xml:space="preserve">= 0.003, adjusted 0.006, class topology-dependent). These are cell classes formed from adjusted component tests, not a cell-level FDR-controlled count; shared shuffle draws also leave the usual Benjamini-Hochberg dependence condition unverified.</w:t>
      </w:r>
    </w:p>
    <w:p>
      <w:pPr>
        <w:pStyle w:val="BodyText"/>
        <w:widowControl/>
      </w:pPr>
      <w:r>
        <w:rPr>
          <w:bCs/>
          <w:b/>
        </w:rPr>
        <w:t xml:space="preserve">The detailed reference profiles</w:t>
      </w:r>
      <w:r>
        <w:t xml:space="preserve"> </w:t>
      </w:r>
      <w:r>
        <w:t xml:space="preserve">show that the instrument also separates predictions within one extract (ST6, §S2.1). At 1000 permutations per mode (resolution 0.0010), imidacloprid on</w:t>
      </w:r>
      <w:r>
        <w:t xml:space="preserve"> </w:t>
      </w:r>
      <w:r>
        <w:rPr>
          <w:rStyle w:val="VerbatimChar"/>
        </w:rPr>
        <w:t xml:space="preserve">named</w:t>
      </w:r>
      <w:r>
        <w:t xml:space="preserve"> </w:t>
      </w:r>
      <w:r>
        <w:t xml:space="preserve">is</w:t>
      </w:r>
      <w:r>
        <w:t xml:space="preserve"> </w:t>
      </w:r>
      <w:r>
        <w:rPr>
          <w:bCs/>
          <w:b/>
        </w:rPr>
        <w:t xml:space="preserve">composition-dominated</w:t>
      </w:r>
      <w:r>
        <w:t xml:space="preserve"> </w:t>
      </w:r>
      <w:r>
        <w:t xml:space="preserve">with an effect of -6.173 rate-model units. It passes the descriptive gap criterion for rewire_degree_preserving, sign_permute_weight_matched, weight_permute, is indeterminate for sign_permute, and is distinguishable only from Erdős–Rényi (</w:t>
      </w:r>
      <w:r>
        <w:rPr>
          <w:iCs/>
          <w:i/>
        </w:rPr>
        <w:t xml:space="preserve">p</w:t>
      </w:r>
      <w:r>
        <w:t xml:space="preserve"> </w:t>
      </w:r>
      <w:r>
        <w:t xml:space="preserve">= 9.99e-04 versus 0.472 for degree-preserving rewiring). Fipronil is</w:t>
      </w:r>
      <w:r>
        <w:t xml:space="preserve"> </w:t>
      </w:r>
      <w:r>
        <w:rPr>
          <w:bCs/>
          <w:b/>
        </w:rPr>
        <w:t xml:space="preserve">topology-dependent</w:t>
      </w:r>
      <w:r>
        <w:t xml:space="preserve"> </w:t>
      </w:r>
      <w:r>
        <w:t xml:space="preserve">at 0.900 rate-model units, with</w:t>
      </w:r>
      <w:r>
        <w:t xml:space="preserve"> </w:t>
      </w:r>
      <w:r>
        <w:rPr>
          <w:iCs/>
          <w:i/>
        </w:rPr>
        <w:t xml:space="preserve">p</w:t>
      </w:r>
      <w:r>
        <w:t xml:space="preserve"> </w:t>
      </w:r>
      <w:r>
        <w:t xml:space="preserve">= 0.006 and 0.007 for weight permutation and rewiring, necessary level</w:t>
      </w:r>
      <w:r>
        <w:t xml:space="preserve"> </w:t>
      </w:r>
      <w:r>
        <w:rPr>
          <w:rStyle w:val="VerbatimChar"/>
        </w:rPr>
        <w:t xml:space="preserve">wiring_with_weighted_transmitter_balance</w:t>
      </w:r>
      <w:r>
        <w:t xml:space="preserve">. Weight matching reduces imidacloprid’s transmitter-null median gap from 2.652 to 0.236 rate-model units; passing the gap criterion is not statistical equivalence.</w:t>
      </w:r>
    </w:p>
    <w:p>
      <w:pPr>
        <w:pStyle w:val="BodyText"/>
        <w:widowControl/>
      </w:pPr>
      <w:r>
        <w:t xml:space="preserve">Across 7 extracts (scale_1k, named, taste_motor, scale_5k, scale_10k, scale_25k, scale_50k; ST27), composition-dominated labels occur on 1 extract,</w:t>
      </w:r>
      <w:r>
        <w:t xml:space="preserve"> </w:t>
      </w:r>
      <w:r>
        <w:rPr>
          <w:rStyle w:val="VerbatimChar"/>
        </w:rPr>
        <w:t xml:space="preserve">named</w:t>
      </w:r>
      <w:r>
        <w:t xml:space="preserve">, and the inversion does not track the number of cells:</w:t>
      </w:r>
      <w:r>
        <w:t xml:space="preserve"> </w:t>
      </w:r>
      <w:r>
        <w:rPr>
          <w:rStyle w:val="VerbatimChar"/>
        </w:rPr>
        <w:t xml:space="preserve">scale_1k</w:t>
      </w:r>
      <w:r>
        <w:t xml:space="preserve"> </w:t>
      </w:r>
      <w:r>
        <w:t xml:space="preserve">has 1000 nodes against</w:t>
      </w:r>
      <w:r>
        <w:t xml:space="preserve"> </w:t>
      </w:r>
      <w:r>
        <w:rPr>
          <w:rStyle w:val="VerbatimChar"/>
        </w:rPr>
        <w:t xml:space="preserve">named</w:t>
      </w:r>
      <w:r>
        <w:t xml:space="preserve">’s 1126 and a mean degree of 22.9 against 1.21, and it is already topology-dependent. This excludes a simple monotone ordering by node count. At scale_5k, scale_10k every tested null is rejected, and the imidacloprid relative effect spans 0.52-0.93 of vehicle. Construction, density, composition, paths, readout support and effort also vary, however, so recurrence is associated with but not isolated as the cause. Agreement of the final two nested-rung labels is not convergence to a whole-network verdict.</w:t>
      </w:r>
    </w:p>
    <w:p>
      <w:pPr>
        <w:pStyle w:val="BodyText"/>
        <w:widowControl/>
      </w:pPr>
      <w:r>
        <w:t xml:space="preserve">The permutation budget falls as networks grow (20-1000 draws, resolution 0.0010-0.0476), and at scale_10k, scale_25k, scale_50k the permutation budget falls to n = 20, where the smallest attainable probability is 0.048 against alpha = 0.05: a rejection there is the smallest the test can express. Top-rung labels are therefore resolution-limited, nominal observations. The hops-limited cuts also use a different construction from the nested rungs.</w:t>
      </w:r>
    </w:p>
    <w:p>
      <w:pPr>
        <w:pStyle w:val="BodyText"/>
        <w:widowControl/>
      </w:pPr>
      <w:r>
        <w:t xml:space="preserve">The earlier claim that most predictions are carried by composition does not survive a change of extract. A label is conditional on the model, extract, readout, null family and statistical effort. Testing recurrence causally would require changing it while holding the correlated properties fixed.</w:t>
      </w:r>
    </w:p>
    <w:p>
      <w:pPr>
        <w:pStyle w:val="BodyText"/>
        <w:widowControl/>
      </w:pPr>
      <w:r>
        <w:rPr>
          <w:bCs/>
          <w:b/>
        </w:rPr>
        <w:t xml:space="preserve">Multiplicity sensitivity.</w:t>
      </w:r>
      <w:r>
        <w:t xml:space="preserve"> </w:t>
      </w:r>
      <w:r>
        <w:t xml:space="preserve">In the detailed reference profile, fipronil at 1 µM has a nominal result (</w:t>
      </w:r>
      <w:r>
        <w:rPr>
          <w:iCs/>
          <w:i/>
        </w:rPr>
        <w:t xml:space="preserve">p</w:t>
      </w:r>
      <w:r>
        <w:t xml:space="preserve"> </w:t>
      </w:r>
      <w:r>
        <w:t xml:space="preserve">= 0.006 at</w:t>
      </w:r>
      <w:r>
        <w:t xml:space="preserve"> </w:t>
      </w:r>
      <w:r>
        <w:rPr>
          <w:iCs/>
          <w:i/>
        </w:rPr>
        <w:t xml:space="preserve">n</w:t>
      </w:r>
      <w:r>
        <w:t xml:space="preserve"> </w:t>
      </w:r>
      <w:r>
        <w:t xml:space="preserve">= 1000). Inside the exploratory landscape the same cell’s adjusted component probability is 0.050 and no structural mode remains rejected; its adjusted-test class there is composition-dominated against an unadjusted topology-dependent.</w:t>
      </w:r>
    </w:p>
    <w:p>
      <w:pPr>
        <w:pStyle w:val="BodyText"/>
        <w:widowControl/>
      </w:pPr>
      <w:r>
        <w:rPr>
          <w:bCs/>
          <w:b/>
        </w:rPr>
        <w:t xml:space="preserve">Two things the class label does not say.</w:t>
      </w:r>
      <w:r>
        <w:t xml:space="preserve"> </w:t>
      </w:r>
      <w:r>
        <w:t xml:space="preserve">The ladder is</w:t>
      </w:r>
      <w:r>
        <w:t xml:space="preserve"> </w:t>
      </w:r>
      <w:r>
        <w:rPr>
          <w:bCs/>
          <w:b/>
        </w:rPr>
        <w:t xml:space="preserve">non-monotone</w:t>
      </w:r>
      <w:r>
        <w:t xml:space="preserve"> </w:t>
      </w:r>
      <w:r>
        <w:t xml:space="preserve">in 11 of 84 cells on</w:t>
      </w:r>
      <w:r>
        <w:t xml:space="preserve"> </w:t>
      </w:r>
      <w:r>
        <w:rPr>
          <w:rStyle w:val="VerbatimChar"/>
        </w:rPr>
        <w:t xml:space="preserve">named</w:t>
      </w:r>
      <w:r>
        <w:t xml:space="preserve"> </w:t>
      </w:r>
      <w:r>
        <w:t xml:space="preserve">and 0 of 84 on</w:t>
      </w:r>
      <w:r>
        <w:t xml:space="preserve"> </w:t>
      </w:r>
      <w:r>
        <w:rPr>
          <w:rStyle w:val="VerbatimChar"/>
        </w:rPr>
        <w:t xml:space="preserve">taste_motor</w:t>
      </w:r>
      <w:r>
        <w:t xml:space="preserve">, because adjacent rungs destroy different things; the level therefore means</w:t>
      </w:r>
      <w:r>
        <w:t xml:space="preserve"> </w:t>
      </w:r>
      <w:r>
        <w:t xml:space="preserve">“</w:t>
      </w:r>
      <w:r>
        <w:t xml:space="preserve">the cheapest degraded input this test cannot tell apart from the real one</w:t>
      </w:r>
      <w:r>
        <w:t xml:space="preserve">”</w:t>
      </w:r>
      <w:r>
        <w:t xml:space="preserve">, never</w:t>
      </w:r>
      <w:r>
        <w:t xml:space="preserve"> </w:t>
      </w:r>
      <w:r>
        <w:t xml:space="preserve">“</w:t>
      </w:r>
      <w:r>
        <w:t xml:space="preserve">everything above it is indistinguishable too</w:t>
      </w:r>
      <w:r>
        <w:t xml:space="preserve">”</w:t>
      </w:r>
      <w:r>
        <w:t xml:space="preserve">. And</w:t>
      </w:r>
      <w:r>
        <w:t xml:space="preserve"> </w:t>
      </w:r>
      <w:r>
        <w:rPr>
          <w:rStyle w:val="VerbatimChar"/>
        </w:rPr>
        <w:t xml:space="preserve">composition-dominated</w:t>
      </w:r>
      <w:r>
        <w:t xml:space="preserve"> </w:t>
      </w:r>
      <w:r>
        <w:t xml:space="preserve">reports a failure to distinguish, never a reproduction: across the</w:t>
      </w:r>
      <w:r>
        <w:t xml:space="preserve"> </w:t>
      </w:r>
      <w:r>
        <w:rPr>
          <w:rStyle w:val="VerbatimChar"/>
        </w:rPr>
        <w:t xml:space="preserve">named</w:t>
      </w:r>
      <w:r>
        <w:t xml:space="preserve"> </w:t>
      </w:r>
      <w:r>
        <w:t xml:space="preserve">landscape’s mode verdicts, 281 pass the descriptive median-gap tolerance, 50 indeterminate and 89 distinguishable.</w:t>
      </w:r>
    </w:p>
    <w:p>
      <w:pPr>
        <w:pStyle w:val="BodyText"/>
        <w:keepNext/>
        <w:widowControl/>
        <w:jc w:val="center"/>
      </w:pPr>
      <w:r>
        <w:drawing>
          <wp:inline>
            <wp:extent cx="6120000" cy="2856913"/>
            <wp:effectExtent b="0" l="0" r="0" t="0"/>
            <wp:docPr descr="F6_dependence_profile" title="" id="32" name="Picture"/>
            <a:graphic>
              <a:graphicData uri="http://schemas.openxmlformats.org/drawingml/2006/picture">
                <pic:pic>
                  <pic:nvPicPr>
                    <pic:cNvPr descr="/workspace/scratch/c32be93c769d/FlyLab-current/papers/figures/F6_dependence_profile.png" id="33" name="Picture"/>
                    <pic:cNvPicPr>
                      <a:picLocks noChangeArrowheads="1" noChangeAspect="1"/>
                    </pic:cNvPicPr>
                  </pic:nvPicPr>
                  <pic:blipFill>
                    <a:blip r:embed="rId31"/>
                    <a:stretch>
                      <a:fillRect/>
                    </a:stretch>
                  </pic:blipFill>
                  <pic:spPr bwMode="auto">
                    <a:xfrm>
                      <a:off x="0" y="0"/>
                      <a:ext cx="6120000" cy="2856913"/>
                    </a:xfrm>
                    <a:prstGeom prst="rect">
                      <a:avLst/>
                    </a:prstGeom>
                    <a:noFill/>
                    <a:ln w="9525">
                      <a:noFill/>
                      <a:headEnd/>
                      <a:tailEnd/>
                    </a:ln>
                  </pic:spPr>
                </pic:pic>
              </a:graphicData>
            </a:graphic>
          </wp:inline>
        </w:drawing>
      </w:r>
    </w:p>
    <w:p>
      <w:pPr>
        <w:pStyle w:val="BodyText"/>
        <w:widowControl/>
        <w:spacing w:after="200"/>
      </w:pPr>
      <w:r>
        <w:rPr>
          <w:bCs/>
          <w:b/>
          <w:sz w:val="19"/>
        </w:rPr>
        <w:t xml:space="preserve">Figure 1.</w:t>
      </w:r>
      <w:r>
        <w:rPr>
          <w:sz w:val="19"/>
        </w:rPr>
        <w:t xml:space="preserve"> </w:t>
      </w:r>
      <w:r>
        <w:rPr>
          <w:sz w:val="19"/>
        </w:rPr>
        <w:t xml:space="preserve">Histograms are the drug effect (treated minus vehicle on the network mean rate) measured on 1000 degraded copies of the 1-hop MN9/DNp01</w:t>
      </w:r>
      <w:r>
        <w:rPr>
          <w:sz w:val="19"/>
        </w:rPr>
        <w:t xml:space="preserve"> </w:t>
      </w:r>
      <w:r>
        <w:rPr>
          <w:rStyle w:val="VerbatimChar"/>
          <w:sz w:val="19"/>
        </w:rPr>
        <w:t xml:space="preserve">named</w:t>
      </w:r>
      <w:r>
        <w:rPr>
          <w:sz w:val="19"/>
        </w:rPr>
        <w:t xml:space="preserve"> </w:t>
      </w:r>
      <w:r>
        <w:rPr>
          <w:sz w:val="19"/>
        </w:rPr>
        <w:t xml:space="preserve">cut; the red line is the same contrast on the real cut. Columns run in increasing order of destruction: transmitter labels permuted, synapse weights permuted, degree-preserving double-edge rewiring, Erdos-Renyi. Titles carry the empirical two-sided permutation p and the three-way verdict against the configured median-gap tolerance (delta = 0.332 Hz, 5 % of the vehicle readout):</w:t>
      </w:r>
      <w:r>
        <w:rPr>
          <w:sz w:val="19"/>
        </w:rPr>
        <w:t xml:space="preserve"> </w:t>
      </w:r>
      <w:r>
        <w:rPr>
          <w:rStyle w:val="VerbatimChar"/>
          <w:sz w:val="19"/>
        </w:rPr>
        <w:t xml:space="preserve">distinguishable</w:t>
      </w:r>
      <w:r>
        <w:rPr>
          <w:sz w:val="19"/>
        </w:rPr>
        <w:t xml:space="preserve"> </w:t>
      </w:r>
      <w:r>
        <w:rPr>
          <w:sz w:val="19"/>
        </w:rPr>
        <w:t xml:space="preserve">means the test rejected,</w:t>
      </w:r>
      <w:r>
        <w:rPr>
          <w:sz w:val="19"/>
        </w:rPr>
        <w:t xml:space="preserve"> </w:t>
      </w:r>
      <w:r>
        <w:rPr>
          <w:rStyle w:val="VerbatimChar"/>
          <w:sz w:val="19"/>
        </w:rPr>
        <w:t xml:space="preserve">equivalent within tolerance</w:t>
      </w:r>
      <w:r>
        <w:rPr>
          <w:sz w:val="19"/>
        </w:rPr>
        <w:t xml:space="preserve"> </w:t>
      </w:r>
      <w:r>
        <w:rPr>
          <w:sz w:val="19"/>
        </w:rPr>
        <w:t xml:space="preserve">means the gap from the null median is below the margin, and</w:t>
      </w:r>
      <w:r>
        <w:rPr>
          <w:sz w:val="19"/>
        </w:rPr>
        <w:t xml:space="preserve"> </w:t>
      </w:r>
      <w:r>
        <w:rPr>
          <w:rStyle w:val="VerbatimChar"/>
          <w:sz w:val="19"/>
        </w:rPr>
        <w:t xml:space="preserve">indeterminate</w:t>
      </w:r>
      <w:r>
        <w:rPr>
          <w:sz w:val="19"/>
        </w:rPr>
        <w:t xml:space="preserve"> </w:t>
      </w:r>
      <w:r>
        <w:rPr>
          <w:sz w:val="19"/>
        </w:rPr>
        <w:t xml:space="preserve">means neither – a failure to reject is not evidence that the degraded graph gives the same effect. Plain label permutation is shown because it is informative, but it moves the weighted excitation/inhibition balance as well as transmitter identity (ST23), so it is a joint null and not a rung of the ladder. Imidacloprid is composition-dominated (necessary level: degree_sequence, equivalent_within_tolerance); fipronil is topology-dependent (necessary level: wiring_with_weighted_transmitter_balance). The legacy within-tolerance label is a point-gap diagnostic, not a formal equivalence test. Rate-engine quantities labelled Hz in legacy fields or axes are rate-model units, not calibrated physiological firing rates.</w:t>
      </w:r>
    </w:p>
    <w:bookmarkEnd w:id="34"/>
    <w:bookmarkStart w:id="38" w:name="Xcb42124f3dd4278d92c521359f84be9732099ef"/>
    <w:p>
      <w:pPr>
        <w:pStyle w:val="Heading3"/>
        <w:widowControl/>
      </w:pPr>
      <w:r>
        <w:t xml:space="preserve">3.3 Which pipeline layer carries the information, and what agreement would have been anyway (Fig. 2, Tables ST13, ST13b, ST24, ST25)</w:t>
      </w:r>
    </w:p>
    <w:p>
      <w:pPr>
        <w:pStyle w:val="FirstParagraph"/>
        <w:widowControl/>
      </w:pPr>
      <w:r>
        <w:rPr>
          <w:bCs/>
          <w:b/>
        </w:rPr>
        <w:t xml:space="preserve">The matched reference and runtime sweep change the reading of the raw correlation.</w:t>
      </w:r>
      <w:r>
        <w:t xml:space="preserve"> </w:t>
      </w:r>
      <w:r>
        <w:t xml:space="preserve">Pharmacology-free pseudo-compounds with the gain shape produced by the shipped rules give a median composition-versus-full correlation of 0.847 over 50 draws (5th–95th percentile 0.676 to 0.953). The observed value exceeds that 95th percentile, so shared algebra does not explain its entire magnitude. Yet the correlation is 0.988 under the shipped row normalisation and 0.906 with none, but 0.666 under a degree-corrected denominator at 1 µM and -0.372 at 10 nM. It survives row_abs, none and not a degree correction, making it conditional on the runtime’s readout.</w:t>
      </w:r>
    </w:p>
    <w:p>
      <w:pPr>
        <w:pStyle w:val="BodyText"/>
        <w:widowControl/>
      </w:pPr>
      <w:r>
        <w:t xml:space="preserve">Against that reference, the raw composition-versus-full correlation is 0.988 at 1 µM and 0.989 after dropping compounds on the 0.05 gain floor, so it is not a tie artefact. Levels B and D nevertheless share the same gain vector. Jointly permuting their paired labels leaves ρ = 0.988 unchanged by construction and is not an independence test. A sign disagreement between the levels moves ρ by at most 0.057 and does not produce the agreement (§S9(i)).</w:t>
      </w:r>
    </w:p>
    <w:p>
      <w:pPr>
        <w:pStyle w:val="BodyText"/>
        <w:widowControl/>
      </w:pPr>
      <w:r>
        <w:t xml:space="preserve">Receptor engagement alone orders the library</w:t>
      </w:r>
      <w:r>
        <w:t xml:space="preserve"> </w:t>
      </w:r>
      <w:r>
        <w:rPr>
          <w:bCs/>
          <w:b/>
        </w:rPr>
        <w:t xml:space="preserve">backwards</w:t>
      </w:r>
      <w:r>
        <w:t xml:space="preserve"> </w:t>
      </w:r>
      <w:r>
        <w:t xml:space="preserve">(signed ρ -0.506 to -0.046) and is the worst level at every concentration: yes (10 nM: A_receptor_only (-0.046); 100 nM: A_receptor_only (-0.348); 1 µM: A_receptor_only (-0.431); 10 µM: A_receptor_only (-0.506)). Under the historical level-C rule the worst level was not constant (10 nM: C_topology_only; 100 nM: A_receptor_only; 1 µM: A_receptor_only; 10 µM: A_receptor_only).</w:t>
      </w:r>
    </w:p>
    <w:p>
      <w:pPr>
        <w:pStyle w:val="BodyText"/>
        <w:widowControl/>
      </w:pPr>
      <w:r>
        <w:rPr>
          <w:bCs/>
          <w:b/>
        </w:rPr>
        <w:t xml:space="preserve">The earlier ablation conclusion is withdrawn.</w:t>
      </w:r>
      <w:r>
        <w:t xml:space="preserve"> </w:t>
      </w:r>
      <w:r>
        <w:t xml:space="preserve">Level C applied a depression-only multiplier to every transmitter and could not represent disinhibition. With the same generic magnitude but one mechanism-table sign bit, its correlation with the full model at 1 µM rises from 0.242 to 0.961. The claim that the connectome without pharmacology was not a cheap substitute was therefore a statement about a sign-broken baseline.</w:t>
      </w:r>
    </w:p>
    <w:p>
      <w:pPr>
        <w:pStyle w:val="BodyText"/>
        <w:keepNext/>
        <w:widowControl/>
        <w:jc w:val="center"/>
      </w:pPr>
      <w:r>
        <w:drawing>
          <wp:inline>
            <wp:extent cx="6120000" cy="3450219"/>
            <wp:effectExtent b="0" l="0" r="0" t="0"/>
            <wp:docPr descr="F13_ablation" title="" id="36" name="Picture"/>
            <a:graphic>
              <a:graphicData uri="http://schemas.openxmlformats.org/drawingml/2006/picture">
                <pic:pic>
                  <pic:nvPicPr>
                    <pic:cNvPr descr="/workspace/scratch/c32be93c769d/FlyLab-current/papers/figures/F13_ablation.png" id="37" name="Picture"/>
                    <pic:cNvPicPr>
                      <a:picLocks noChangeArrowheads="1" noChangeAspect="1"/>
                    </pic:cNvPicPr>
                  </pic:nvPicPr>
                  <pic:blipFill>
                    <a:blip r:embed="rId35"/>
                    <a:stretch>
                      <a:fillRect/>
                    </a:stretch>
                  </pic:blipFill>
                  <pic:spPr bwMode="auto">
                    <a:xfrm>
                      <a:off x="0" y="0"/>
                      <a:ext cx="6120000" cy="3450219"/>
                    </a:xfrm>
                    <a:prstGeom prst="rect">
                      <a:avLst/>
                    </a:prstGeom>
                    <a:noFill/>
                    <a:ln w="9525">
                      <a:noFill/>
                      <a:headEnd/>
                      <a:tailEnd/>
                    </a:ln>
                  </pic:spPr>
                </pic:pic>
              </a:graphicData>
            </a:graphic>
          </wp:inline>
        </w:drawing>
      </w:r>
    </w:p>
    <w:p>
      <w:pPr>
        <w:pStyle w:val="BodyText"/>
        <w:widowControl/>
        <w:spacing w:after="200"/>
      </w:pPr>
      <w:r>
        <w:rPr>
          <w:bCs/>
          <w:b/>
          <w:sz w:val="19"/>
        </w:rPr>
        <w:t xml:space="preserve">Figure 2.</w:t>
      </w:r>
      <w:r>
        <w:rPr>
          <w:sz w:val="19"/>
        </w:rPr>
        <w:t xml:space="preserve"> </w:t>
      </w:r>
      <w:r>
        <w:rPr>
          <w:sz w:val="19"/>
        </w:rPr>
        <w:t xml:space="preserve">Each level predicts the same 21 compounds with one layer of information removed, and is scored by how well it reproduces the full model’s</w:t>
      </w:r>
      <w:r>
        <w:rPr>
          <w:sz w:val="19"/>
        </w:rPr>
        <w:t xml:space="preserve"> </w:t>
      </w:r>
      <w:r>
        <w:rPr>
          <w:iCs/>
          <w:i/>
          <w:sz w:val="19"/>
        </w:rPr>
        <w:t xml:space="preserve">ordering</w:t>
      </w:r>
      <w:r>
        <w:rPr>
          <w:sz w:val="19"/>
        </w:rPr>
        <w:t xml:space="preserve"> </w:t>
      </w:r>
      <w:r>
        <w:rPr>
          <w:sz w:val="19"/>
        </w:rPr>
        <w:t xml:space="preserve">of the library (levels have different units, so values are not comparable; the correlation is signed, so a perfect inversion scores -1 rather than 1). Crosses mark the historical depression-only level-C rule, which applied a multiplier of at most 1.0 to every transmitter alike and so could not express disinhibition: its poor correlation was structural, not a finding about connectomes, and the conclusion drawn from it is withdrawn. With a direction-aware rule level C rises to 0.961 at 1 uM from 0.242. The composition level’s agreement with the full model must be read against the matched reference distribution of ST24, not on its own. Rate-engine quantities labelled Hz in legacy fields or axes are rate-model units, not calibrated physiological firing rates.</w:t>
      </w:r>
    </w:p>
    <w:bookmarkEnd w:id="38"/>
    <w:bookmarkStart w:id="42" w:name="Xd5675cb1f3f42e3e8112c733b42aa20d5503e1f"/>
    <w:p>
      <w:pPr>
        <w:pStyle w:val="Heading3"/>
        <w:widowControl/>
      </w:pPr>
      <w:r>
        <w:t xml:space="preserve">3.4 Specification robustness: which conclusions survive the modelling choices (Fig. 3, Tables ST14, ST14b, ST15)</w:t>
      </w:r>
    </w:p>
    <w:p>
      <w:pPr>
        <w:pStyle w:val="FirstParagraph"/>
        <w:widowControl/>
      </w:pPr>
      <w:r>
        <w:t xml:space="preserve">Recomputed at 100 shuffles per specification (resolution 0.010), with the specification reaching the null engine and Benjamini-Hochberg applied across 100 component tests, C4 remains topology-dependent in 25/25 specifications. C3 has no structural rejection in 25/25, unchanged from 25 unadjusted retentions; 17 pass the descriptive gap criterion and 8 remain indeterminate. Under the 25 specifications:</w:t>
      </w:r>
    </w:p>
    <w:p>
      <w:pPr>
        <w:pStyle w:val="BodyText"/>
        <w:widowControl/>
      </w:pPr>
      <w:r>
        <w:t xml:space="preserve">The adjustment acts asymmetrically on these predicates: it can remove the rejection that retains C4, but it cannot strengthen C3’s failure to reject into evidence of equivalence.</w:t>
      </w:r>
    </w:p>
    <w:p>
      <w:pPr>
        <w:widowControl/>
        <w:numPr>
          <w:ilvl w:val="0"/>
          <w:numId w:val="1002"/>
        </w:numPr>
        <w:pStyle w:val="Compact"/>
      </w:pPr>
      <w:r>
        <w:t xml:space="preserve">The claim that the agonist suppresses activity is retained by only 15 and</w:t>
      </w:r>
      <w:r>
        <w:t xml:space="preserve"> </w:t>
      </w:r>
      <w:r>
        <w:rPr>
          <w:bCs/>
          <w:b/>
        </w:rPr>
        <w:t xml:space="preserve">reversed</w:t>
      </w:r>
      <w:r>
        <w:t xml:space="preserve"> </w:t>
      </w:r>
      <w:r>
        <w:t xml:space="preserve">by all 10 monotone specifications: the same compound at the same engagement takes the network from 6.631 to 10.1 rate-model units (+52%) instead of from 6.631 to 0.458 rate-model units, with</w:t>
      </w:r>
      <w:r>
        <w:t xml:space="preserve"> </w:t>
      </w:r>
      <w:r>
        <w:rPr>
          <w:rStyle w:val="VerbatimChar"/>
        </w:rPr>
        <w:t xml:space="preserve">g_ach</w:t>
      </w:r>
      <w:r>
        <w:t xml:space="preserve"> </w:t>
      </w:r>
      <w:r>
        <w:t xml:space="preserve">at 1.396 against 0.050. The direction is a property of one asserted term, not of the integration.</w:t>
      </w:r>
    </w:p>
    <w:p>
      <w:pPr>
        <w:widowControl/>
        <w:numPr>
          <w:ilvl w:val="0"/>
          <w:numId w:val="1002"/>
        </w:numPr>
        <w:pStyle w:val="Compact"/>
      </w:pPr>
      <w:r>
        <w:t xml:space="preserve">A buffering claim is retained 18 of 25 and reversed by none, its 7 failures being undecidable. The previous claim that monotone rules buffer</w:t>
      </w:r>
      <w:r>
        <w:t xml:space="preserve"> </w:t>
      </w:r>
      <w:r>
        <w:t xml:space="preserve">“</w:t>
      </w:r>
      <w:r>
        <w:t xml:space="preserve">at least as much, never less</w:t>
      </w:r>
      <w:r>
        <w:t xml:space="preserve">”</w:t>
      </w:r>
      <w:r>
        <w:t xml:space="preserve"> </w:t>
      </w:r>
      <w:r>
        <w:t xml:space="preserve">is</w:t>
      </w:r>
      <w:r>
        <w:t xml:space="preserve"> </w:t>
      </w:r>
      <w:r>
        <w:rPr>
          <w:bCs/>
          <w:b/>
        </w:rPr>
        <w:t xml:space="preserve">false</w:t>
      </w:r>
      <w:r>
        <w:t xml:space="preserve">: over the 6 reversing specifications with a defined index the mean gap runs -0.199 to -1.734 log₁₀ units, 3 buffer</w:t>
      </w:r>
      <w:r>
        <w:t xml:space="preserve"> </w:t>
      </w:r>
      <w:r>
        <w:rPr>
          <w:iCs/>
          <w:i/>
        </w:rPr>
        <w:t xml:space="preserve">less</w:t>
      </w:r>
      <w:r>
        <w:t xml:space="preserve"> </w:t>
      </w:r>
      <w:r>
        <w:t xml:space="preserve">(linear@1.50x, saturating@1.25x, saturating@1.50x), and the aggregate is carried by the extreme; an aggregate standing in for a range it does not represent.</w:t>
      </w:r>
    </w:p>
    <w:p>
      <w:pPr>
        <w:widowControl/>
        <w:numPr>
          <w:ilvl w:val="0"/>
          <w:numId w:val="1002"/>
        </w:numPr>
        <w:pStyle w:val="Compact"/>
      </w:pPr>
      <w:r>
        <w:t xml:space="preserve">The matching amplification claim is weakest at 19 of 25. Retained by every specification: C2_rdl_disinhibition, C3_imidacloprid_topology_not_distinguishable, C4_fipronil_topology_exceeds, C7_map_bitter_veto.</w:t>
      </w:r>
    </w:p>
    <w:p>
      <w:pPr>
        <w:pStyle w:val="FirstParagraph"/>
        <w:widowControl/>
      </w:pPr>
      <w:r>
        <w:t xml:space="preserve">The earlier 25/25 topology result was vacuous for two reasons. At 6 shuffles, the smallest probability was 1/7 = 0.143, so</w:t>
      </w:r>
      <w:r>
        <w:t xml:space="preserve"> </w:t>
      </w:r>
      <w:r>
        <w:rPr>
          <w:rStyle w:val="VerbatimChar"/>
        </w:rPr>
        <w:t xml:space="preserve">p ≤ 0.05</w:t>
      </w:r>
      <w:r>
        <w:t xml:space="preserve"> </w:t>
      </w:r>
      <w:r>
        <w:t xml:space="preserve">was unattainable and the predicate fell back on a Gaussian criterion. More seriously, alternative transformations were rebound on assay modules but not on the engine resolved by the permutation path, so all 25 specifications fed default values to their nulls. The run was deterministic but unable to make the intended comparison.</w:t>
      </w:r>
    </w:p>
    <w:p>
      <w:pPr>
        <w:pStyle w:val="BodyText"/>
        <w:widowControl/>
      </w:pPr>
      <w:r>
        <w:t xml:space="preserve">The threshold split is also unstable (</w:t>
      </w:r>
      <w:r>
        <w:rPr>
          <w:rStyle w:val="VerbatimChar"/>
        </w:rPr>
        <w:t xml:space="preserve">stable = no</w:t>
      </w:r>
      <w:r>
        <w:t xml:space="preserve">): buffering holds in 9 of 9 cells (-0.362 to -1.224 log₁₀ units), while amplification holds in 8 of 9 and flips at circuit_frac=0.50,vert_limit=0.10 (gap -0.075). ST15 covers 10 compounds in two mechanism classes; acetylcholine is scored in the whole-library ST8 but lies outside ST15’s scope.</w:t>
      </w:r>
    </w:p>
    <w:p>
      <w:pPr>
        <w:pStyle w:val="BodyText"/>
        <w:keepNext/>
        <w:widowControl/>
        <w:jc w:val="center"/>
      </w:pPr>
      <w:r>
        <w:drawing>
          <wp:inline>
            <wp:extent cx="6120000" cy="2054457"/>
            <wp:effectExtent b="0" l="0" r="0" t="0"/>
            <wp:docPr descr="F14_conclusion_stability" title="" id="40" name="Picture"/>
            <a:graphic>
              <a:graphicData uri="http://schemas.openxmlformats.org/drawingml/2006/picture">
                <pic:pic>
                  <pic:nvPicPr>
                    <pic:cNvPr descr="/workspace/scratch/c32be93c769d/FlyLab-current/papers/figures/F14_conclusion_stability.png" id="41" name="Picture"/>
                    <pic:cNvPicPr>
                      <a:picLocks noChangeArrowheads="1" noChangeAspect="1"/>
                    </pic:cNvPicPr>
                  </pic:nvPicPr>
                  <pic:blipFill>
                    <a:blip r:embed="rId39"/>
                    <a:stretch>
                      <a:fillRect/>
                    </a:stretch>
                  </pic:blipFill>
                  <pic:spPr bwMode="auto">
                    <a:xfrm>
                      <a:off x="0" y="0"/>
                      <a:ext cx="6120000" cy="2054457"/>
                    </a:xfrm>
                    <a:prstGeom prst="rect">
                      <a:avLst/>
                    </a:prstGeom>
                    <a:noFill/>
                    <a:ln w="9525">
                      <a:noFill/>
                      <a:headEnd/>
                      <a:tailEnd/>
                    </a:ln>
                  </pic:spPr>
                </pic:pic>
              </a:graphicData>
            </a:graphic>
          </wp:inline>
        </w:drawing>
      </w:r>
    </w:p>
    <w:p>
      <w:pPr>
        <w:pStyle w:val="BodyText"/>
        <w:widowControl/>
        <w:spacing w:after="200"/>
      </w:pPr>
      <w:r>
        <w:rPr>
          <w:bCs/>
          <w:b/>
          <w:sz w:val="19"/>
        </w:rPr>
        <w:t xml:space="preserve">Figure 3.</w:t>
      </w:r>
      <w:r>
        <w:rPr>
          <w:sz w:val="19"/>
        </w:rPr>
        <w:t xml:space="preserve"> </w:t>
      </w:r>
      <w:r>
        <w:rPr>
          <w:sz w:val="19"/>
        </w:rPr>
        <w:t xml:space="preserve">Each row is a conclusion this paper could state; each column is one fixed, admissible way of turning receptor engagement into synaptic gain. Green retains the conclusion, red reverses it, amber means the readout does not exist under that specification. The topology rows are decided on 100 permutations per specification and on Benjamini-Hochberg adjusted probabilities across the 100 structural tests of the run; until v0.6.1 the specification never reached the engine those rows were computed on, so their uniformity was guaranteed by construction rather than measured. Retained by every specification: C2_rdl_disinhibition, C3_imidacloprid_topology_not_distinguishable, C4_fipronil_topology_exceeds, C7_map_bitter_veto. The nicotinic suppression conclusion is reversed by every monotone rule, which is how a result that depends on a modelling choice looks when it is tested rather than asserted; and for a conclusion shaped as a failure to reject, the fraction retained is a non-rejection, not evidence of equivalence (ST14’s</w:t>
      </w:r>
      <w:r>
        <w:rPr>
          <w:sz w:val="19"/>
        </w:rPr>
        <w:t xml:space="preserve"> </w:t>
      </w:r>
      <w:r>
        <w:rPr>
          <w:rStyle w:val="VerbatimChar"/>
          <w:sz w:val="19"/>
        </w:rPr>
        <w:t xml:space="preserve">n_equivalent_within_tolerance</w:t>
      </w:r>
      <w:r>
        <w:rPr>
          <w:sz w:val="19"/>
        </w:rPr>
        <w:t xml:space="preserve"> </w:t>
      </w:r>
      <w:r>
        <w:rPr>
          <w:sz w:val="19"/>
        </w:rPr>
        <w:t xml:space="preserve">against</w:t>
      </w:r>
      <w:r>
        <w:rPr>
          <w:sz w:val="19"/>
        </w:rPr>
        <w:t xml:space="preserve"> </w:t>
      </w:r>
      <w:r>
        <w:rPr>
          <w:rStyle w:val="VerbatimChar"/>
          <w:sz w:val="19"/>
        </w:rPr>
        <w:t xml:space="preserve">n_indeterminate</w:t>
      </w:r>
      <w:r>
        <w:rPr>
          <w:sz w:val="19"/>
        </w:rPr>
        <w:t xml:space="preserve">). The legacy within-tolerance label is a point-gap diagnostic, not a formal equivalence test. BH adjusts structural component tests; cell/conclusion-level FDR control is not established, and the dependence assumptions remain unverified. Adjustment cannot strengthen non-rejection.</w:t>
      </w:r>
    </w:p>
    <w:bookmarkEnd w:id="42"/>
    <w:bookmarkStart w:id="43" w:name="X24bcb8ad8aa19fe21549ac51997b5669ae83a44"/>
    <w:p>
      <w:pPr>
        <w:pStyle w:val="Heading3"/>
        <w:widowControl/>
      </w:pPr>
      <w:r>
        <w:t xml:space="preserve">3.5 Variance attribution, and what to measure next (Fig. SF15, Tables ST16, ST17)</w:t>
      </w:r>
    </w:p>
    <w:p>
      <w:pPr>
        <w:pStyle w:val="FirstParagraph"/>
        <w:widowControl/>
      </w:pPr>
      <w:r>
        <w:t xml:space="preserve">The Sobol’ analysis (11 264 model evaluations at n_base = 1024, Var(Y) = 3.149 squared rate-model units) resolves 2 of 9 factors in the strict sense of a bootstrap first-order interval excluding zero: gain_transform, weight_threshold; the</w:t>
      </w:r>
      <w:r>
        <w:t xml:space="preserve"> </w:t>
      </w:r>
      <w:r>
        <w:rPr>
          <w:bCs/>
          <w:b/>
        </w:rPr>
        <w:t xml:space="preserve">engagement-to-gain transformation</w:t>
      </w:r>
      <w:r>
        <w:t xml:space="preserve"> </w:t>
      </w:r>
      <w:r>
        <w:t xml:space="preserve">(S1 0.410, ST 0.626) and the cut’s</w:t>
      </w:r>
      <w:r>
        <w:t xml:space="preserve"> </w:t>
      </w:r>
      <w:r>
        <w:rPr>
          <w:bCs/>
          <w:b/>
        </w:rPr>
        <w:t xml:space="preserve">synapse-weight threshold</w:t>
      </w:r>
      <w:r>
        <w:t xml:space="preserve"> </w:t>
      </w:r>
      <w:r>
        <w:t xml:space="preserve">(S1 0.294, ST 0.542). Everything else is unresolved at this sample size (drive, expression, gain_coef, hill_n, lif_seed, potency, transmitter), including the external drive, whose S1 of 0.019 sits below the largest observed negative-index magnitude of 0.046 on an interval of (-0.072, +0.112). This finite-sample diagnostic is set by gain_coef, not by the declared null factor</w:t>
      </w:r>
      <w:r>
        <w:t xml:space="preserve"> </w:t>
      </w:r>
      <w:r>
        <w:rPr>
          <w:rStyle w:val="VerbatimChar"/>
        </w:rPr>
        <w:t xml:space="preserve">lif_seed</w:t>
      </w:r>
      <w:r>
        <w:t xml:space="preserve"> </w:t>
      </w:r>
      <w:r>
        <w:t xml:space="preserve">at -0.007; the previous version of this section quoted the null factor and then ranked a factor inside the resulting noise. The residual</w:t>
      </w:r>
      <w:r>
        <w:t xml:space="preserve"> </w:t>
      </w:r>
      <w:r>
        <w:rPr>
          <w:rStyle w:val="VerbatimChar"/>
        </w:rPr>
        <w:t xml:space="preserve">1 − sum(S1)</w:t>
      </w:r>
      <w:r>
        <w:t xml:space="preserve"> </w:t>
      </w:r>
      <w:r>
        <w:t xml:space="preserve">is 0.344 raw and 0.272 with negatives clipped; estimator error contributes to this difference, so neither is a precise interaction fraction. On the analytic benchmark the estimator returns 0.3163, 0.4495, 0.0072 against the exact 0.3139, 0.4424, 0.0000 at n_base = 16 384 (max error 0.007).</w:t>
      </w:r>
    </w:p>
    <w:p>
      <w:pPr>
        <w:pStyle w:val="BodyText"/>
        <w:widowControl/>
      </w:pPr>
      <w:r>
        <w:t xml:space="preserve">The top factor is</w:t>
      </w:r>
      <w:r>
        <w:t xml:space="preserve"> </w:t>
      </w:r>
      <w:r>
        <w:rPr>
          <w:bCs/>
          <w:b/>
        </w:rPr>
        <w:t xml:space="preserve">gain_transform</w:t>
      </w:r>
      <w:r>
        <w:t xml:space="preserve"> </w:t>
      </w:r>
      <w:r>
        <w:t xml:space="preserve">(1.290 of 3.149 squared rate-model units), resolved by</w:t>
      </w:r>
      <w:r>
        <w:t xml:space="preserve"> </w:t>
      </w:r>
      <w:r>
        <w:rPr>
          <w:iCs/>
          <w:i/>
        </w:rPr>
        <w:t xml:space="preserve">calibration of receptor engagement against synaptic gain</w:t>
      </w:r>
      <w:r>
        <w:t xml:space="preserve">; reading the</w:t>
      </w:r>
      <w:r>
        <w:t xml:space="preserve"> </w:t>
      </w:r>
      <w:r>
        <w:rPr>
          <w:iCs/>
          <w:i/>
        </w:rPr>
        <w:t xml:space="preserve">shape</w:t>
      </w:r>
      <w:r>
        <w:t xml:space="preserve"> </w:t>
      </w:r>
      <w:r>
        <w:t xml:space="preserve">of the response-versus-engagement curve at a known synapse, which is precisely the assumption §3.4 shows the suppression conclusion turns on. The second,</w:t>
      </w:r>
      <w:r>
        <w:t xml:space="preserve"> </w:t>
      </w:r>
      <w:r>
        <w:rPr>
          <w:bCs/>
          <w:b/>
        </w:rPr>
        <w:t xml:space="preserve">weight_threshold</w:t>
      </w:r>
      <w:r>
        <w:t xml:space="preserve"> </w:t>
      </w:r>
      <w:r>
        <w:t xml:space="preserve">(0.925 squared rate-model units), motivates re-analysis of synapse-confidence strata. Such analysis measures sensitivity to extraction choices; it does not resolve missing connectivity or guarantee the stated variance reduction in practice.</w:t>
      </w:r>
    </w:p>
    <w:bookmarkEnd w:id="43"/>
    <w:bookmarkStart w:id="47" w:name="X2f6b03ae9c8c83c96dc7911a82a47ff73aea0d6"/>
    <w:p>
      <w:pPr>
        <w:pStyle w:val="Heading3"/>
        <w:widowControl/>
      </w:pPr>
      <w:r>
        <w:t xml:space="preserve">3.6 What the refusal rule actually does (Fig. 4, Tables ST10, ST20)</w:t>
      </w:r>
    </w:p>
    <w:p>
      <w:pPr>
        <w:pStyle w:val="FirstParagraph"/>
        <w:widowControl/>
      </w:pPr>
      <w:r>
        <w:t xml:space="preserve">Evidence gating changes numerical outputs and their interpretation. Of 102 library rows, 56 carry no admissible evidence and return N/A instead of a small plausible number. Dispatch on the (parameter type, distance) pair assigns 1 row a physical binding-occupancy model, 1 a binding proxy, 9 a direct functional engagement and 35 a transferred one. The physical row is imidacloprid at insect_nAChR_native_dmel (Kd 2e-09 M) [76]; the previous binding constant, imidacloprid at insect_nAChR_beta1 (Kd 8.3e-11 M), is retained numerically but labelled as a cross-species proxy. Without the new exact-target row, the shipped library would have no example exercising the physical-occupancy branch. The finite audit makes that coverage visible; it does not introduce new Hill algebra. The full census, downstream domain readouts and literature-concordance analysis are in §S6 and §S10.</w:t>
      </w:r>
    </w:p>
    <w:p>
      <w:pPr>
        <w:pStyle w:val="BodyText"/>
        <w:keepNext/>
        <w:widowControl/>
        <w:jc w:val="center"/>
      </w:pPr>
      <w:r>
        <w:drawing>
          <wp:inline>
            <wp:extent cx="6120000" cy="2079557"/>
            <wp:effectExtent b="0" l="0" r="0" t="0"/>
            <wp:docPr descr="F11_evidence_types" title="" id="45" name="Picture"/>
            <a:graphic>
              <a:graphicData uri="http://schemas.openxmlformats.org/drawingml/2006/picture">
                <pic:pic>
                  <pic:nvPicPr>
                    <pic:cNvPr descr="/workspace/scratch/c32be93c769d/FlyLab-current/papers/figures/F11_evidence_types.png" id="46" name="Picture"/>
                    <pic:cNvPicPr>
                      <a:picLocks noChangeArrowheads="1" noChangeAspect="1"/>
                    </pic:cNvPicPr>
                  </pic:nvPicPr>
                  <pic:blipFill>
                    <a:blip r:embed="rId44"/>
                    <a:stretch>
                      <a:fillRect/>
                    </a:stretch>
                  </pic:blipFill>
                  <pic:spPr bwMode="auto">
                    <a:xfrm>
                      <a:off x="0" y="0"/>
                      <a:ext cx="6120000" cy="2079557"/>
                    </a:xfrm>
                    <a:prstGeom prst="rect">
                      <a:avLst/>
                    </a:prstGeom>
                    <a:noFill/>
                    <a:ln w="9525">
                      <a:noFill/>
                      <a:headEnd/>
                      <a:tailEnd/>
                    </a:ln>
                  </pic:spPr>
                </pic:pic>
              </a:graphicData>
            </a:graphic>
          </wp:inline>
        </w:drawing>
      </w:r>
    </w:p>
    <w:p>
      <w:pPr>
        <w:pStyle w:val="BodyText"/>
        <w:widowControl/>
        <w:spacing w:after="200"/>
      </w:pPr>
      <w:r>
        <w:rPr>
          <w:bCs/>
          <w:b/>
          <w:sz w:val="19"/>
        </w:rPr>
        <w:t xml:space="preserve">Figure 4.</w:t>
      </w:r>
      <w:r>
        <w:rPr>
          <w:sz w:val="19"/>
        </w:rPr>
        <w:t xml:space="preserve"> </w:t>
      </w:r>
      <w:r>
        <w:rPr>
          <w:sz w:val="19"/>
        </w:rPr>
        <w:t xml:space="preserve">What the compound library rests on, row by row. Left: the parameter each cited source actually measured. Middle: the ordered evidence distance between that source and this compound at this receptor in this species. Right: the transformation the evidence dispatch rule permits, which is a function of the two. Green marks the 10 on-target (E0) rows and the 1 of them that may use a physical binding-occupancy model; amber marks the proxy models, where the same Hill expression is computed but reported as a transfer with a warning naming the gap; red marks rows that carry no modellable evidence and return N/A rather than a small number. Runtime validation enforces this: asking for an engagement from an untyped row raises rather than returning a value, and a soundness invariant is audited over shipped rows and enumerated pipeline paths.</w:t>
      </w:r>
    </w:p>
    <w:bookmarkEnd w:id="47"/>
    <w:bookmarkStart w:id="48" w:name="X0dd58726a9430f6784a18c4b04231e24812e942"/>
    <w:p>
      <w:pPr>
        <w:pStyle w:val="Heading3"/>
        <w:widowControl/>
      </w:pPr>
      <w:r>
        <w:t xml:space="preserve">3.7 Availability and reproducibility (engineering support; Fig. SF1)</w:t>
      </w:r>
    </w:p>
    <w:p>
      <w:pPr>
        <w:pStyle w:val="FirstParagraph"/>
        <w:widowControl/>
      </w:pPr>
      <w:r>
        <w:t xml:space="preserve">The standard command recomputes the core analyses on committed cuts and renders the paper. The scale table is an exception: it imports</w:t>
      </w:r>
      <w:r>
        <w:t xml:space="preserve"> </w:t>
      </w:r>
      <w:r>
        <w:rPr>
          <w:rStyle w:val="VerbatimChar"/>
        </w:rPr>
        <w:t xml:space="preserve">papers/scale_study.json</w:t>
      </w:r>
      <w:r>
        <w:t xml:space="preserve">, a committed earlier result, rather than recomputing the large-rung profiles. Only the smallest scale cut is committed; a fresh scale study requires the missing cuts and their upstream data. Re-rendering ST27 is therefore not an independent reproduction of that experiment:</w:t>
      </w:r>
    </w:p>
    <w:p>
      <w:pPr>
        <w:pStyle w:val="SourceCode"/>
        <w:widowControl/>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-e</w:t>
      </w:r>
      <w:r>
        <w:rPr>
          <w:rStyle w:val="NormalTok"/>
        </w:rPr>
        <w:t xml:space="preserve"> </w:t>
      </w:r>
      <w:r>
        <w:rPr>
          <w:rStyle w:val="StringTok"/>
        </w:rPr>
        <w:t xml:space="preserve">".[dev,viz]"</w:t>
      </w:r>
      <w:r>
        <w:br/>
      </w:r>
      <w:r>
        <w:rPr>
          <w:rStyle w:val="ExtensionTok"/>
        </w:rPr>
        <w:t xml:space="preserve">python</w:t>
      </w:r>
      <w:r>
        <w:rPr>
          <w:rStyle w:val="NormalTok"/>
        </w:rPr>
        <w:t xml:space="preserve"> scripts/reproduce_paper.py          </w:t>
      </w:r>
      <w:r>
        <w:rPr>
          <w:rStyle w:val="CommentTok"/>
        </w:rPr>
        <w:t xml:space="preserve"># full run</w:t>
      </w:r>
      <w:r>
        <w:br/>
      </w:r>
      <w:r>
        <w:rPr>
          <w:rStyle w:val="ExtensionTok"/>
        </w:rPr>
        <w:t xml:space="preserve">python</w:t>
      </w:r>
      <w:r>
        <w:rPr>
          <w:rStyle w:val="NormalTok"/>
        </w:rPr>
        <w:t xml:space="preserve"> scripts/reproduce_paper.py </w:t>
      </w:r>
      <w:r>
        <w:rPr>
          <w:rStyle w:val="AttributeTok"/>
        </w:rPr>
        <w:t xml:space="preserve">--fast</w:t>
      </w:r>
      <w:r>
        <w:rPr>
          <w:rStyle w:val="NormalTok"/>
        </w:rPr>
        <w:t xml:space="preserve">   </w:t>
      </w:r>
      <w:r>
        <w:rPr>
          <w:rStyle w:val="CommentTok"/>
        </w:rPr>
        <w:t xml:space="preserve"># reduced permutation and replicate counts</w:t>
      </w:r>
      <w:r>
        <w:br/>
      </w:r>
      <w:r>
        <w:rPr>
          <w:rStyle w:val="ExtensionTok"/>
        </w:rPr>
        <w:t xml:space="preserve">python</w:t>
      </w:r>
      <w:r>
        <w:rPr>
          <w:rStyle w:val="NormalTok"/>
        </w:rPr>
        <w:t xml:space="preserve"> scripts/reproduce_paper.py </w:t>
      </w:r>
      <w:r>
        <w:rPr>
          <w:rStyle w:val="AttributeTok"/>
        </w:rPr>
        <w:t xml:space="preserve">--only</w:t>
      </w:r>
      <w:r>
        <w:rPr>
          <w:rStyle w:val="NormalTok"/>
        </w:rPr>
        <w:t xml:space="preserve"> dependence </w:t>
      </w:r>
      <w:r>
        <w:rPr>
          <w:rStyle w:val="AttributeTok"/>
        </w:rPr>
        <w:t xml:space="preserve">--outdir</w:t>
      </w:r>
      <w:r>
        <w:rPr>
          <w:rStyle w:val="NormalTok"/>
        </w:rPr>
        <w:t xml:space="preserve"> /tmp/x</w:t>
      </w:r>
    </w:p>
    <w:p>
      <w:pPr>
        <w:pStyle w:val="FirstParagraph"/>
        <w:widowControl/>
      </w:pPr>
      <w:r>
        <w:t xml:space="preserve">This section records engineering support rather than a fourth research question.</w:t>
      </w:r>
      <w:r>
        <w:t xml:space="preserve"> </w:t>
      </w:r>
      <w:r>
        <w:rPr>
          <w:rStyle w:val="VerbatimChar"/>
        </w:rPr>
        <w:t xml:space="preserve">flylab run</w:t>
      </w:r>
      <w:r>
        <w:t xml:space="preserve"> </w:t>
      </w:r>
      <w:r>
        <w:t xml:space="preserve">produces a manifest containing spec, code and library hashes, seeds and two hashes per artifact; a test reproduces that artifact byte for byte (</w:t>
      </w:r>
      <w:r>
        <w:rPr>
          <w:rStyle w:val="VerbatimChar"/>
        </w:rPr>
        <w:t xml:space="preserve">docs/WORKFLOW.md</w:t>
      </w:r>
      <w:r>
        <w:t xml:space="preserve">). The paper determinism test covers only the reduced provenance-and-census path, not every full analysis.</w:t>
      </w:r>
      <w:r>
        <w:t xml:space="preserve"> </w:t>
      </w:r>
      <w:r>
        <w:rPr>
          <w:rStyle w:val="VerbatimChar"/>
        </w:rPr>
        <w:t xml:space="preserve">papers/results.json</w:t>
      </w:r>
      <w:r>
        <w:t xml:space="preserve"> </w:t>
      </w:r>
      <w:r>
        <w:t xml:space="preserve">records each quoted value, unit and producing step, and guards reject reduced-effort records or mismatched declared defaults.</w:t>
      </w:r>
    </w:p>
    <w:p>
      <w:pPr>
        <w:pStyle w:val="BodyText"/>
        <w:widowControl/>
      </w:pPr>
      <w:r>
        <w:t xml:space="preserve">The same wheel runs on Pyodide.</w:t>
      </w:r>
      <w:r>
        <w:t xml:space="preserve"> </w:t>
      </w:r>
      <w:r>
        <w:rPr>
          <w:rStyle w:val="VerbatimChar"/>
        </w:rPr>
        <w:t xml:space="preserve">tests/test_browser_bridge.py</w:t>
      </w:r>
      <w:r>
        <w:t xml:space="preserve"> </w:t>
      </w:r>
      <w:r>
        <w:t xml:space="preserve">asserts</w:t>
      </w:r>
      <w:r>
        <w:t xml:space="preserve"> </w:t>
      </w:r>
      <w:r>
        <w:rPr>
          <w:bCs/>
          <w:b/>
        </w:rPr>
        <w:t xml:space="preserve">endpoint parity</w:t>
      </w:r>
      <w:r>
        <w:t xml:space="preserve"> </w:t>
      </w:r>
      <w:r>
        <w:t xml:space="preserve">for a representative call to each route, including JSON readouts, warnings and provenance; it does not establish whole-analysis equality. An archival DOI and release tag remain outstanding.</w:t>
      </w:r>
    </w:p>
    <w:p>
      <w:pPr>
        <w:pStyle w:val="BodyText"/>
        <w:widowControl/>
      </w:pPr>
      <w:r>
        <w:t xml:space="preserve">The latest attempted full numerical verification was interrupted during dependence analysis. This revision preserves the recorded numerical source and edits its prose; it is not presented as a completed independent rerun.</w:t>
      </w:r>
    </w:p>
    <w:bookmarkEnd w:id="48"/>
    <w:bookmarkEnd w:id="49"/>
    <w:bookmarkStart w:id="50" w:name="discussion"/>
    <w:p>
      <w:pPr>
        <w:pStyle w:val="Heading2"/>
        <w:widowControl/>
      </w:pPr>
      <w:r>
        <w:t xml:space="preserve">4. Discussion</w:t>
      </w:r>
    </w:p>
    <w:p>
      <w:pPr>
        <w:pStyle w:val="FirstParagraph"/>
        <w:widowControl/>
      </w:pPr>
      <w:r>
        <w:rPr>
          <w:bCs/>
          <w:b/>
        </w:rPr>
        <w:t xml:space="preserve">What transfers.</w:t>
      </w:r>
      <w:r>
        <w:t xml:space="preserve"> </w:t>
      </w:r>
      <w:r>
        <w:t xml:space="preserve">Dependence labels change across extracts: 42 of 84 cells are composition-dominated on</w:t>
      </w:r>
      <w:r>
        <w:t xml:space="preserve"> </w:t>
      </w:r>
      <w:r>
        <w:rPr>
          <w:rStyle w:val="VerbatimChar"/>
        </w:rPr>
        <w:t xml:space="preserve">named</w:t>
      </w:r>
      <w:r>
        <w:t xml:space="preserve">, versus 0 of 84 on</w:t>
      </w:r>
      <w:r>
        <w:t xml:space="preserve"> </w:t>
      </w:r>
      <w:r>
        <w:rPr>
          <w:rStyle w:val="VerbatimChar"/>
        </w:rPr>
        <w:t xml:space="preserve">taste_motor</w:t>
      </w:r>
      <w:r>
        <w:t xml:space="preserve">. Only one extract has that label, and several structural properties differ at once, so recurrence is not isolated. Evidence typing also changes outputs by refusing unsupported numbers and labelling transferred constants. Finally, the biased null and disconnected specification context show why reproducibility alone is insufficient: both broken comparisons were deterministic and both flattered the conclusions. The gain transformation is consequently both the source of the direction reversal and the largest resolved variance factor.</w:t>
      </w:r>
    </w:p>
    <w:p>
      <w:pPr>
        <w:pStyle w:val="BodyText"/>
        <w:widowControl/>
      </w:pPr>
      <w:r>
        <w:t xml:space="preserve">Other literature-parameterised network domains can apply the same audit without adopting this biological model:</w:t>
      </w:r>
    </w:p>
    <w:p>
      <w:pPr>
        <w:widowControl/>
        <w:numPr>
          <w:ilvl w:val="0"/>
          <w:numId w:val="1003"/>
        </w:numPr>
        <w:pStyle w:val="Compact"/>
      </w:pPr>
      <w:r>
        <w:t xml:space="preserve">type each external parameter and reject transformations its provenance does not license;</w:t>
      </w:r>
    </w:p>
    <w:p>
      <w:pPr>
        <w:widowControl/>
        <w:numPr>
          <w:ilvl w:val="0"/>
          <w:numId w:val="1003"/>
        </w:numPr>
        <w:pStyle w:val="Compact"/>
      </w:pPr>
      <w:r>
        <w:t xml:space="preserve">state the extract, readout, runtime normalisation and statistical effort with every dependence result;</w:t>
      </w:r>
    </w:p>
    <w:p>
      <w:pPr>
        <w:widowControl/>
        <w:numPr>
          <w:ilvl w:val="0"/>
          <w:numId w:val="1003"/>
        </w:numPr>
        <w:pStyle w:val="Compact"/>
      </w:pPr>
      <w:r>
        <w:t xml:space="preserve">design each null around the quantity it must preserve, then measure whether it actually preserves it;</w:t>
      </w:r>
    </w:p>
    <w:p>
      <w:pPr>
        <w:widowControl/>
        <w:numPr>
          <w:ilvl w:val="0"/>
          <w:numId w:val="1003"/>
        </w:numPr>
        <w:pStyle w:val="Compact"/>
      </w:pPr>
      <w:r>
        <w:t xml:space="preserve">trace every alternative specification into the engine used by the test, including null-generation paths;</w:t>
      </w:r>
    </w:p>
    <w:p>
      <w:pPr>
        <w:widowControl/>
        <w:numPr>
          <w:ilvl w:val="0"/>
          <w:numId w:val="1003"/>
        </w:numPr>
        <w:pStyle w:val="Compact"/>
      </w:pPr>
      <w:r>
        <w:t xml:space="preserve">compare extracts and runtime conventions before generalising, and use variance attribution to select the next measurement.</w:t>
      </w:r>
    </w:p>
    <w:p>
      <w:pPr>
        <w:pStyle w:val="FirstParagraph"/>
        <w:widowControl/>
      </w:pPr>
      <w:r>
        <w:t xml:space="preserve">These are proposed audit steps, not evidence that FlyLab has been implemented in power, metabolic or epidemic networks.</w:t>
      </w:r>
    </w:p>
    <w:p>
      <w:pPr>
        <w:pStyle w:val="BodyText"/>
        <w:widowControl/>
      </w:pPr>
      <w:r>
        <w:rPr>
          <w:bCs/>
          <w:b/>
        </w:rPr>
        <w:t xml:space="preserve">Encoded assumptions versus generated observations.</w:t>
      </w:r>
      <w:r>
        <w:t xml:space="preserve"> </w:t>
      </w:r>
      <w:r>
        <w:t xml:space="preserve">The audit returns 9 links (ST18): 1 link measures the simulated system, 1 measures something else, 4 are asserted and 3 are computed. A separate decomposition, not a repartition of those links, reports 5 facts, 1 model inference and 5 unknowns.</w:t>
      </w:r>
    </w:p>
    <w:p>
      <w:pPr>
        <w:pStyle w:val="BodyText"/>
        <w:widowControl/>
      </w:pPr>
      <w:r>
        <w:rPr>
          <w:bCs/>
          <w:b/>
        </w:rPr>
        <w:t xml:space="preserve">Relation to adjacent work.</w:t>
      </w:r>
      <w:r>
        <w:t xml:space="preserve"> </w:t>
      </w:r>
      <w:r>
        <w:t xml:space="preserve">Our version of the [68], [69] result survives neither a change of extract (§3.2) nor runtime normalisation (§3.3). Because both models normalise or regionally average, the parallel may reflect a shared convention rather than independent confirmation.</w:t>
      </w:r>
    </w:p>
    <w:p>
      <w:pPr>
        <w:pStyle w:val="BodyText"/>
        <w:widowControl/>
      </w:pPr>
      <w:r>
        <w:rPr>
          <w:bCs/>
          <w:b/>
        </w:rPr>
        <w:t xml:space="preserve">What the pipeline cannot support.</w:t>
      </w:r>
      <w:r>
        <w:t xml:space="preserve"> </w:t>
      </w:r>
      <w:r>
        <w:t xml:space="preserve">Without pharmacokinetics, free concentration is an input rather than an animal dose. The model supports neither cross-species safety nor subunit claims from hybrid constructs, and it cannot generalise topology dependence beyond the reported extract. No code path may write a live-animal result.</w:t>
      </w:r>
    </w:p>
    <w:p>
      <w:pPr>
        <w:pStyle w:val="BodyText"/>
        <w:widowControl/>
      </w:pPr>
      <w:r>
        <w:rPr>
          <w:bCs/>
          <w:b/>
        </w:rPr>
        <w:t xml:space="preserve">Five model-specific caveats</w:t>
      </w:r>
      <w:r>
        <w:t xml:space="preserve"> </w:t>
      </w:r>
      <w:r>
        <w:t xml:space="preserve">are given in full in §S9: an asserted sign table exempt from the specification family and unbounded by the label-permuting null; the load-bearing row normalisation; perturbations applied across transmitter-defined rather than receptor-defined synapses, which the expression layer bounds rather than corrects; hops-limited extracts with unobserved boundary inputs and extract-sensitive results; and agreement of direction only between the two runtimes. Expression mapping coverage is 0.205, and the principal MN9 readout remains unresolved.</w:t>
      </w:r>
    </w:p>
    <w:p>
      <w:pPr>
        <w:pStyle w:val="BodyText"/>
        <w:widowControl/>
      </w:pPr>
      <w:r>
        <w:rPr>
          <w:bCs/>
          <w:b/>
        </w:rPr>
        <w:t xml:space="preserve">Prospective, not pre-registered.</w:t>
      </w:r>
      <w:r>
        <w:t xml:space="preserve"> </w:t>
      </w:r>
      <w:r>
        <w:t xml:space="preserve">The hypotheses in §S5 are written before any experiment and labelled as software predictions with no live result; a mutable repository is not a registry, and an archive DOI alone does not establish preregistration. A dated, frozen experimental protocol specifying hypotheses, outcomes and analyses before collection is also needed. Two of them predict a readout whose</w:t>
      </w:r>
      <w:r>
        <w:t xml:space="preserve"> </w:t>
      </w:r>
      <w:r>
        <w:rPr>
          <w:iCs/>
          <w:i/>
        </w:rPr>
        <w:t xml:space="preserve">sign</w:t>
      </w:r>
      <w:r>
        <w:t xml:space="preserve"> </w:t>
      </w:r>
      <w:r>
        <w:t xml:space="preserve">is a modelling choice over this paper’s own specification family, and the supplement now says so beside them.</w:t>
      </w:r>
    </w:p>
    <w:bookmarkEnd w:id="50"/>
    <w:bookmarkStart w:id="51" w:name="conclusion"/>
    <w:p>
      <w:pPr>
        <w:pStyle w:val="Heading2"/>
        <w:widowControl/>
      </w:pPr>
      <w:r>
        <w:t xml:space="preserve">5. Conclusion</w:t>
      </w:r>
    </w:p>
    <w:p>
      <w:pPr>
        <w:pStyle w:val="FirstParagraph"/>
        <w:widowControl/>
      </w:pPr>
      <w:r>
        <w:t xml:space="preserve">We set out to make a network simulation say which of its inputs its predictions depend on, and to evaluate that machinery rather than assert it. The method combines four components: typed evidence propagation under an enforced transformation rule and finite-library invariant audit, input-dependence diagnostics with an explicit point-gap tolerance and component-test multiplicity adjustment, an ablation ladder scored against a matched reference, and specification-family robustness with variance attribution; none specific to the domain we demonstrate them on. Pointed at its own results, the method establishes that the headline effect’s direction is a property of an asserted functional form; that layer-agreement scores depend on shared gains and runtime normalisation; and that</w:t>
      </w:r>
      <w:r>
        <w:t xml:space="preserve"> </w:t>
      </w:r>
      <w:r>
        <w:rPr>
          <w:bCs/>
          <w:b/>
        </w:rPr>
        <w:t xml:space="preserve">dependence labels can change across extracts of the same network</w:t>
      </w:r>
      <w:r>
        <w:t xml:space="preserve">. The present study does not isolate recurrence from correlated extraction properties. A</w:t>
      </w:r>
      <w:r>
        <w:t xml:space="preserve"> </w:t>
      </w:r>
      <w:r>
        <w:t xml:space="preserve">“</w:t>
      </w:r>
      <w:r>
        <w:t xml:space="preserve">this prediction does not need the structure</w:t>
      </w:r>
      <w:r>
        <w:t xml:space="preserve">”</w:t>
      </w:r>
      <w:r>
        <w:t xml:space="preserve"> </w:t>
      </w:r>
      <w:r>
        <w:t xml:space="preserve">result is only as good as the extract it was measured on, and structural summaries can flag the need for additional checks; they are not yet validated substitutes for those checks.</w:t>
      </w:r>
    </w:p>
    <w:p>
      <w:pPr>
        <w:pStyle w:val="BodyText"/>
        <w:widowControl/>
      </w:pPr>
      <w:r>
        <w:t xml:space="preserve">What would change the picture is short and specific, and the variance budget rather than taste names it: a calibration of the parameter-to-gain transformation at a known synapse; a reconstruction-confidence re-analysis, which needs no new measurement; a full landscape on an extract that is neither an in-star nor hops-limited; and one live assay. Until then this is a description of a method, and of a tool that tests itself.</w:t>
      </w:r>
    </w:p>
    <w:bookmarkEnd w:id="51"/>
    <w:bookmarkStart w:id="53" w:name="statements"/>
    <w:p>
      <w:pPr>
        <w:pStyle w:val="Heading2"/>
        <w:widowControl/>
      </w:pPr>
      <w:r>
        <w:t xml:space="preserve">Statements</w:t>
      </w:r>
    </w:p>
    <w:p>
      <w:pPr>
        <w:pStyle w:val="FirstParagraph"/>
        <w:widowControl/>
      </w:pPr>
      <w:r>
        <w:rPr>
          <w:bCs/>
          <w:b/>
        </w:rPr>
        <w:t xml:space="preserve">AI assistance.</w:t>
      </w:r>
      <w:r>
        <w:t xml:space="preserve"> </w:t>
      </w:r>
      <w:r>
        <w:t xml:space="preserve">AI tools assisted implementation, statistical checking, literature lookup, peer review and drafting. The reported simulation outputs were computed by the analysis code. The author is responsible for verifying the source literature, analysis choices and final scientific claims before submission; automated checks do not establish that this author verification has occurred.</w:t>
      </w:r>
    </w:p>
    <w:p>
      <w:pPr>
        <w:pStyle w:val="BodyText"/>
        <w:widowControl/>
      </w:pPr>
      <w:r>
        <w:rPr>
          <w:bCs/>
          <w:b/>
        </w:rPr>
        <w:t xml:space="preserve">Animal research.</w:t>
      </w:r>
      <w:r>
        <w:t xml:space="preserve"> </w:t>
      </w:r>
      <w:r>
        <w:t xml:space="preserve">No animal experiments were performed and no live-animal data are reported. The</w:t>
      </w:r>
      <w:r>
        <w:t xml:space="preserve"> </w:t>
      </w:r>
      <w:r>
        <w:rPr>
          <w:rStyle w:val="VerbatimChar"/>
        </w:rPr>
        <w:t xml:space="preserve">live_lab</w:t>
      </w:r>
      <w:r>
        <w:t xml:space="preserve"> </w:t>
      </w:r>
      <w:r>
        <w:t xml:space="preserve">field of every notebook produced by this pipeline is</w:t>
      </w:r>
      <w:r>
        <w:t xml:space="preserve"> </w:t>
      </w:r>
      <w:r>
        <w:rPr>
          <w:rStyle w:val="VerbatimChar"/>
        </w:rPr>
        <w:t xml:space="preserve">null</w:t>
      </w:r>
      <w:r>
        <w:t xml:space="preserve">. The protocols in</w:t>
      </w:r>
      <w:r>
        <w:t xml:space="preserve"> </w:t>
      </w:r>
      <w:r>
        <w:rPr>
          <w:rStyle w:val="VerbatimChar"/>
        </w:rPr>
        <w:t xml:space="preserve">protocols/</w:t>
      </w:r>
      <w:r>
        <w:t xml:space="preserve"> </w:t>
      </w:r>
      <w:r>
        <w:t xml:space="preserve">are unexecuted drafts.</w:t>
      </w:r>
    </w:p>
    <w:p>
      <w:pPr>
        <w:pStyle w:val="BodyText"/>
        <w:widowControl/>
      </w:pPr>
      <w:r>
        <w:rPr>
          <w:bCs/>
          <w:b/>
        </w:rPr>
        <w:t xml:space="preserve">Data and code availability.</w:t>
      </w:r>
      <w:r>
        <w:t xml:space="preserve"> </w:t>
      </w:r>
      <w:r>
        <w:t xml:space="preserve">Code: https://github.com/pinkysworld/FlyLab (MIT). Connectome data: official MaleCNS v1.0 and FlyWire releases, CC-BY 4.0, downloaded and not redistributed; derived cuts are committed under</w:t>
      </w:r>
      <w:r>
        <w:t xml:space="preserve"> </w:t>
      </w:r>
      <w:r>
        <w:rPr>
          <w:rStyle w:val="VerbatimChar"/>
        </w:rPr>
        <w:t xml:space="preserve">data/derived/</w:t>
      </w:r>
      <w:r>
        <w:t xml:space="preserve"> </w:t>
      </w:r>
      <w:r>
        <w:t xml:space="preserve">with their citation strings. Literature datasets:</w:t>
      </w:r>
      <w:r>
        <w:t xml:space="preserve"> </w:t>
      </w:r>
      <w:r>
        <w:rPr>
          <w:rStyle w:val="VerbatimChar"/>
        </w:rPr>
        <w:t xml:space="preserve">data/literature/</w:t>
      </w:r>
      <w:r>
        <w:t xml:space="preserve">, each value carrying a DOI or PMID.</w:t>
      </w:r>
    </w:p>
    <w:p>
      <w:pPr>
        <w:pStyle w:val="BodyText"/>
        <w:widowControl/>
      </w:pPr>
      <w:r>
        <w:rPr>
          <w:bCs/>
          <w:b/>
        </w:rPr>
        <w:t xml:space="preserve">Competing interests.</w:t>
      </w:r>
      <w:r>
        <w:t xml:space="preserve"> </w:t>
      </w:r>
      <w:r>
        <w:t xml:space="preserve">None declared.</w:t>
      </w:r>
      <w:r>
        <w:t xml:space="preserve"> </w:t>
      </w:r>
      <w:r>
        <w:rPr>
          <w:bCs/>
          <w:b/>
        </w:rPr>
        <w:t xml:space="preserve">Funding.</w:t>
      </w:r>
      <w:r>
        <w:t xml:space="preserve"> </w:t>
      </w:r>
      <w:r>
        <w:t xml:space="preserve">None.</w:t>
      </w:r>
    </w:p>
    <w:p>
      <w:pPr>
        <w:pStyle w:val="BodyText"/>
        <w:widowControl/>
      </w:pPr>
      <w:r>
        <w:t xml:space="preserve">Supplementary figures and tables retain the archive identifiers SF and ST. Their captions, data and the supplementary methods are available with the</w:t>
      </w:r>
      <w:r>
        <w:t xml:space="preserve"> </w:t>
      </w:r>
      <w:hyperlink r:id="rId52">
        <w:r>
          <w:rPr>
            <w:rStyle w:val="Hyperlink"/>
          </w:rPr>
          <w:t xml:space="preserve">supporting artifacts</w:t>
        </w:r>
      </w:hyperlink>
      <w:r>
        <w:t xml:space="preserve">. Figures 1–4 correspond to archive figures F6, F13, F14 and F11, respectively.</w:t>
      </w:r>
    </w:p>
    <w:bookmarkEnd w:id="53"/>
    <w:bookmarkStart w:id="120" w:name="references"/>
    <w:p>
      <w:pPr>
        <w:pStyle w:val="Heading2"/>
        <w:widowControl/>
      </w:pPr>
      <w:r>
        <w:t xml:space="preserve">References</w:t>
      </w:r>
    </w:p>
    <w:p>
      <w:pPr>
        <w:pStyle w:val="FirstParagraph"/>
        <w:widowControl/>
        <w:spacing w:after="80"/>
      </w:pPr>
      <w:r>
        <w:rPr>
          <w:sz w:val="20"/>
        </w:rPr>
        <w:t xml:space="preserve">[1] J. Dempster,</w:t>
      </w:r>
      <w:r>
        <w:rPr>
          <w:sz w:val="20"/>
        </w:rPr>
        <w:t xml:space="preserve"> </w:t>
      </w:r>
      <w:r>
        <w:rPr>
          <w:iCs/>
          <w:i/>
          <w:sz w:val="20"/>
        </w:rPr>
        <w:t xml:space="preserve">RatCVS</w:t>
      </w:r>
      <w:r>
        <w:rPr>
          <w:sz w:val="20"/>
        </w:rPr>
        <w:t xml:space="preserve">, University of Strathclyde, Glasgow, UK. Simulated pithed-rat cardiovascular pharmacology teaching package.</w:t>
      </w:r>
    </w:p>
    <w:p>
      <w:pPr>
        <w:pStyle w:val="BodyText"/>
        <w:widowControl/>
        <w:spacing w:after="80"/>
      </w:pPr>
      <w:r>
        <w:rPr>
          <w:sz w:val="20"/>
        </w:rPr>
        <w:t xml:space="preserve">[2] S. Okabe, T. Goto, D. Hirayama and Y. Nishimura,</w:t>
      </w:r>
      <w:r>
        <w:rPr>
          <w:sz w:val="20"/>
        </w:rPr>
        <w:t xml:space="preserve"> </w:t>
      </w:r>
      <w:r>
        <w:rPr>
          <w:sz w:val="20"/>
        </w:rPr>
        <w:t xml:space="preserve">“</w:t>
      </w:r>
      <w:r>
        <w:rPr>
          <w:sz w:val="20"/>
        </w:rPr>
        <w:t xml:space="preserve">Virtual rat web: A versatile simulation tool for pharmacology education in a variety of settings,</w:t>
      </w:r>
      <w:r>
        <w:rPr>
          <w:sz w:val="20"/>
        </w:rPr>
        <w:t xml:space="preserve">”</w:t>
      </w:r>
      <w:r>
        <w:rPr>
          <w:sz w:val="20"/>
        </w:rPr>
        <w:t xml:space="preserve"> </w:t>
      </w:r>
      <w:r>
        <w:rPr>
          <w:iCs/>
          <w:i/>
          <w:sz w:val="20"/>
        </w:rPr>
        <w:t xml:space="preserve">Eur. J. Pharmacol.</w:t>
      </w:r>
      <w:r>
        <w:rPr>
          <w:sz w:val="20"/>
        </w:rPr>
        <w:t xml:space="preserve">, vol. 997, art. 177618, 2025. DOI</w:t>
      </w:r>
      <w:r>
        <w:rPr>
          <w:sz w:val="20"/>
        </w:rPr>
        <w:t xml:space="preserve"> </w:t>
      </w:r>
      <w:hyperlink r:id="rId54">
        <w:r>
          <w:rPr>
            <w:rStyle w:val="Hyperlink"/>
          </w:rPr>
          <w:t xml:space="preserve">10.1016/j.ejphar.2025.177618</w:t>
        </w:r>
      </w:hyperlink>
      <w:r>
        <w:rPr>
          <w:sz w:val="20"/>
        </w:rPr>
        <w:t xml:space="preserve">. PMID 40222443.</w:t>
      </w:r>
    </w:p>
    <w:p>
      <w:pPr>
        <w:pStyle w:val="BodyText"/>
        <w:widowControl/>
        <w:spacing w:after="80"/>
      </w:pPr>
      <w:r>
        <w:rPr>
          <w:sz w:val="20"/>
        </w:rPr>
        <w:t xml:space="preserve">[3] K. Thiyagarajan,</w:t>
      </w:r>
      <w:r>
        <w:rPr>
          <w:sz w:val="20"/>
        </w:rPr>
        <w:t xml:space="preserve"> </w:t>
      </w:r>
      <w:r>
        <w:rPr>
          <w:sz w:val="20"/>
        </w:rPr>
        <w:t xml:space="preserve">“</w:t>
      </w:r>
      <w:r>
        <w:rPr>
          <w:sz w:val="20"/>
        </w:rPr>
        <w:t xml:space="preserve">PharmVR, Immersive Virtual Reality based Animal Simulator Software,</w:t>
      </w:r>
      <w:r>
        <w:rPr>
          <w:sz w:val="20"/>
        </w:rPr>
        <w:t xml:space="preserve">”</w:t>
      </w:r>
      <w:r>
        <w:rPr>
          <w:sz w:val="20"/>
        </w:rPr>
        <w:t xml:space="preserve"> </w:t>
      </w:r>
      <w:r>
        <w:rPr>
          <w:iCs/>
          <w:i/>
          <w:sz w:val="20"/>
        </w:rPr>
        <w:t xml:space="preserve">Preprints.org</w:t>
      </w:r>
      <w:r>
        <w:rPr>
          <w:sz w:val="20"/>
        </w:rPr>
        <w:t xml:space="preserve">, concept paper, 2025. DOI</w:t>
      </w:r>
      <w:r>
        <w:rPr>
          <w:sz w:val="20"/>
        </w:rPr>
        <w:t xml:space="preserve"> </w:t>
      </w:r>
      <w:hyperlink r:id="rId55">
        <w:r>
          <w:rPr>
            <w:rStyle w:val="Hyperlink"/>
          </w:rPr>
          <w:t xml:space="preserve">10.20944/preprints202507.0959.v1</w:t>
        </w:r>
      </w:hyperlink>
      <w:r>
        <w:rPr>
          <w:sz w:val="20"/>
        </w:rPr>
        <w:t xml:space="preserve">. Not peer reviewed.</w:t>
      </w:r>
    </w:p>
    <w:p>
      <w:pPr>
        <w:pStyle w:val="BodyText"/>
        <w:widowControl/>
        <w:spacing w:after="80"/>
      </w:pPr>
      <w:r>
        <w:rPr>
          <w:sz w:val="20"/>
        </w:rPr>
        <w:t xml:space="preserve">[4] S. Dorkenwald</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Neuronal wiring diagram of an adult brain,</w:t>
      </w:r>
      <w:r>
        <w:rPr>
          <w:sz w:val="20"/>
        </w:rPr>
        <w:t xml:space="preserve">”</w:t>
      </w:r>
      <w:r>
        <w:rPr>
          <w:sz w:val="20"/>
        </w:rPr>
        <w:t xml:space="preserve"> </w:t>
      </w:r>
      <w:r>
        <w:rPr>
          <w:iCs/>
          <w:i/>
          <w:sz w:val="20"/>
        </w:rPr>
        <w:t xml:space="preserve">Nature</w:t>
      </w:r>
      <w:r>
        <w:rPr>
          <w:sz w:val="20"/>
        </w:rPr>
        <w:t xml:space="preserve">, vol. 634, pp. 124–138, 2024. DOI</w:t>
      </w:r>
      <w:r>
        <w:rPr>
          <w:sz w:val="20"/>
        </w:rPr>
        <w:t xml:space="preserve"> </w:t>
      </w:r>
      <w:hyperlink r:id="rId56">
        <w:r>
          <w:rPr>
            <w:rStyle w:val="Hyperlink"/>
          </w:rPr>
          <w:t xml:space="preserve">10.1038/s41586-024-07558-y</w:t>
        </w:r>
      </w:hyperlink>
      <w:r>
        <w:rPr>
          <w:sz w:val="20"/>
        </w:rPr>
        <w:t xml:space="preserve">.</w:t>
      </w:r>
    </w:p>
    <w:p>
      <w:pPr>
        <w:pStyle w:val="BodyText"/>
        <w:widowControl/>
        <w:spacing w:after="80"/>
      </w:pPr>
      <w:r>
        <w:rPr>
          <w:sz w:val="20"/>
        </w:rPr>
        <w:t xml:space="preserve">[5] HHMI Janelia FlyEM, University of Cambridge, MRC LMB and Google Research,</w:t>
      </w:r>
      <w:r>
        <w:rPr>
          <w:sz w:val="20"/>
        </w:rPr>
        <w:t xml:space="preserve"> </w:t>
      </w:r>
      <w:r>
        <w:rPr>
          <w:iCs/>
          <w:i/>
          <w:sz w:val="20"/>
        </w:rPr>
        <w:t xml:space="preserve">MaleCNS v1.0: a synapse-resolution connectome of the adult male</w:t>
      </w:r>
      <w:r>
        <w:rPr>
          <w:sz w:val="20"/>
        </w:rPr>
        <w:t xml:space="preserve"> </w:t>
      </w:r>
      <w:r>
        <w:rPr>
          <w:sz w:val="20"/>
        </w:rPr>
        <w:t xml:space="preserve">Drosophila</w:t>
      </w:r>
      <w:r>
        <w:rPr>
          <w:sz w:val="20"/>
        </w:rPr>
        <w:t xml:space="preserve"> </w:t>
      </w:r>
      <w:r>
        <w:rPr>
          <w:iCs/>
          <w:i/>
          <w:sz w:val="20"/>
        </w:rPr>
        <w:t xml:space="preserve">central nervous system</w:t>
      </w:r>
      <w:r>
        <w:rPr>
          <w:sz w:val="20"/>
        </w:rPr>
        <w:t xml:space="preserve">, 2026. CC-BY 4.0.</w:t>
      </w:r>
    </w:p>
    <w:p>
      <w:pPr>
        <w:pStyle w:val="BodyText"/>
        <w:widowControl/>
        <w:spacing w:after="80"/>
      </w:pPr>
      <w:r>
        <w:rPr>
          <w:sz w:val="20"/>
        </w:rPr>
        <w:t xml:space="preserve">[6] P. K. Shiu, G. R. Sterne, N. Spiller</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A leaky integrate-and-fire computational model based on the connectome of the entire adult</w:t>
      </w:r>
      <w:r>
        <w:rPr>
          <w:sz w:val="20"/>
        </w:rPr>
        <w:t xml:space="preserve"> </w:t>
      </w:r>
      <w:r>
        <w:rPr>
          <w:iCs/>
          <w:i/>
          <w:sz w:val="20"/>
        </w:rPr>
        <w:t xml:space="preserve">Drosophila</w:t>
      </w:r>
      <w:r>
        <w:rPr>
          <w:sz w:val="20"/>
        </w:rPr>
        <w:t xml:space="preserve"> </w:t>
      </w:r>
      <w:r>
        <w:rPr>
          <w:sz w:val="20"/>
        </w:rPr>
        <w:t xml:space="preserve">brain reveals insights into sensorimotor processing,</w:t>
      </w:r>
      <w:r>
        <w:rPr>
          <w:sz w:val="20"/>
        </w:rPr>
        <w:t xml:space="preserve">”</w:t>
      </w:r>
      <w:r>
        <w:rPr>
          <w:sz w:val="20"/>
        </w:rPr>
        <w:t xml:space="preserve"> </w:t>
      </w:r>
      <w:r>
        <w:rPr>
          <w:iCs/>
          <w:i/>
          <w:sz w:val="20"/>
        </w:rPr>
        <w:t xml:space="preserve">Nature</w:t>
      </w:r>
      <w:r>
        <w:rPr>
          <w:sz w:val="20"/>
        </w:rPr>
        <w:t xml:space="preserve">, vol. 634, 2024.</w:t>
      </w:r>
    </w:p>
    <w:p>
      <w:pPr>
        <w:pStyle w:val="BodyText"/>
        <w:widowControl/>
        <w:spacing w:after="80"/>
      </w:pPr>
      <w:r>
        <w:rPr>
          <w:sz w:val="20"/>
        </w:rPr>
        <w:t xml:space="preserve">[7] C. Bass</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Mutation analysis and functional characterisation of insect nicotinic acetylcholine receptors,</w:t>
      </w:r>
      <w:r>
        <w:rPr>
          <w:sz w:val="20"/>
        </w:rPr>
        <w:t xml:space="preserve">”</w:t>
      </w:r>
      <w:r>
        <w:rPr>
          <w:sz w:val="20"/>
        </w:rPr>
        <w:t xml:space="preserve"> </w:t>
      </w:r>
      <w:r>
        <w:rPr>
          <w:iCs/>
          <w:i/>
          <w:sz w:val="20"/>
        </w:rPr>
        <w:t xml:space="preserve">Insect Biochem. Mol. Biol.</w:t>
      </w:r>
      <w:r>
        <w:rPr>
          <w:sz w:val="20"/>
        </w:rPr>
        <w:t xml:space="preserve">, vol. 36, pp. 86–96, 2006.</w:t>
      </w:r>
    </w:p>
    <w:p>
      <w:pPr>
        <w:pStyle w:val="BodyText"/>
        <w:widowControl/>
        <w:spacing w:after="80"/>
      </w:pPr>
      <w:r>
        <w:rPr>
          <w:sz w:val="20"/>
        </w:rPr>
        <w:t xml:space="preserve">[8] H. Dederer</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Selectivity of neonicotinoids at hybrid insect nicotinic acetylcholine receptors,</w:t>
      </w:r>
      <w:r>
        <w:rPr>
          <w:sz w:val="20"/>
        </w:rPr>
        <w:t xml:space="preserve">”</w:t>
      </w:r>
      <w:r>
        <w:rPr>
          <w:sz w:val="20"/>
        </w:rPr>
        <w:t xml:space="preserve"> </w:t>
      </w:r>
      <w:r>
        <w:rPr>
          <w:iCs/>
          <w:i/>
          <w:sz w:val="20"/>
        </w:rPr>
        <w:t xml:space="preserve">Insect Biochem. Mol. Biol.</w:t>
      </w:r>
      <w:r>
        <w:rPr>
          <w:sz w:val="20"/>
        </w:rPr>
        <w:t xml:space="preserve">, vol. 41, p. 51, 2011.</w:t>
      </w:r>
    </w:p>
    <w:p>
      <w:pPr>
        <w:pStyle w:val="BodyText"/>
        <w:widowControl/>
        <w:spacing w:after="80"/>
      </w:pPr>
      <w:r>
        <w:rPr>
          <w:sz w:val="20"/>
        </w:rPr>
        <w:t xml:space="preserve">[9] N. Eckstein</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Neurotransmitter classification from electron microscopy images at synaptic sites in</w:t>
      </w:r>
      <w:r>
        <w:rPr>
          <w:sz w:val="20"/>
        </w:rPr>
        <w:t xml:space="preserve"> </w:t>
      </w:r>
      <w:r>
        <w:rPr>
          <w:iCs/>
          <w:i/>
          <w:sz w:val="20"/>
        </w:rPr>
        <w:t xml:space="preserve">Drosophila melanogaster</w:t>
      </w:r>
      <w:r>
        <w:rPr>
          <w:sz w:val="20"/>
        </w:rPr>
        <w:t xml:space="preserve">,</w:t>
      </w:r>
      <w:r>
        <w:rPr>
          <w:sz w:val="20"/>
        </w:rPr>
        <w:t xml:space="preserve">”</w:t>
      </w:r>
      <w:r>
        <w:rPr>
          <w:sz w:val="20"/>
        </w:rPr>
        <w:t xml:space="preserve"> </w:t>
      </w:r>
      <w:r>
        <w:rPr>
          <w:iCs/>
          <w:i/>
          <w:sz w:val="20"/>
        </w:rPr>
        <w:t xml:space="preserve">Cell</w:t>
      </w:r>
      <w:r>
        <w:rPr>
          <w:sz w:val="20"/>
        </w:rPr>
        <w:t xml:space="preserve">, vol. 187, pp. 2574–2594.e23, 2024. DOI</w:t>
      </w:r>
      <w:r>
        <w:rPr>
          <w:sz w:val="20"/>
        </w:rPr>
        <w:t xml:space="preserve"> </w:t>
      </w:r>
      <w:hyperlink r:id="rId57">
        <w:r>
          <w:rPr>
            <w:rStyle w:val="Hyperlink"/>
          </w:rPr>
          <w:t xml:space="preserve">10.1016/j.cell.2024.03.016</w:t>
        </w:r>
      </w:hyperlink>
      <w:r>
        <w:rPr>
          <w:sz w:val="20"/>
        </w:rPr>
        <w:t xml:space="preserve">. PMID 38729112. PMCID PMC11106717.</w:t>
      </w:r>
    </w:p>
    <w:p>
      <w:pPr>
        <w:pStyle w:val="BodyText"/>
        <w:widowControl/>
        <w:spacing w:after="80"/>
      </w:pPr>
      <w:r>
        <w:rPr>
          <w:sz w:val="20"/>
        </w:rPr>
        <w:t xml:space="preserve">[10] P. Mineault,</w:t>
      </w:r>
      <w:r>
        <w:rPr>
          <w:sz w:val="20"/>
        </w:rPr>
        <w:t xml:space="preserve"> </w:t>
      </w:r>
      <w:r>
        <w:rPr>
          <w:sz w:val="20"/>
        </w:rPr>
        <w:t xml:space="preserve">“</w:t>
      </w:r>
      <w:r>
        <w:rPr>
          <w:sz w:val="20"/>
        </w:rPr>
        <w:t xml:space="preserve">Deconstructing viral fly sims,</w:t>
      </w:r>
      <w:r>
        <w:rPr>
          <w:sz w:val="20"/>
        </w:rPr>
        <w:t xml:space="preserve">”</w:t>
      </w:r>
      <w:r>
        <w:rPr>
          <w:sz w:val="20"/>
        </w:rPr>
        <w:t xml:space="preserve"> </w:t>
      </w:r>
      <w:r>
        <w:rPr>
          <w:iCs/>
          <w:i/>
          <w:sz w:val="20"/>
        </w:rPr>
        <w:t xml:space="preserve">The NeuroAI archive</w:t>
      </w:r>
      <w:r>
        <w:rPr>
          <w:sz w:val="20"/>
        </w:rPr>
        <w:t xml:space="preserve">, 14 September 2026. https://www.neuroai.science/p/are-flies-playing-beat-saber. Newsletter essay, not peer reviewed.</w:t>
      </w:r>
    </w:p>
    <w:p>
      <w:pPr>
        <w:pStyle w:val="BodyText"/>
        <w:widowControl/>
        <w:spacing w:after="80"/>
      </w:pPr>
      <w:r>
        <w:rPr>
          <w:sz w:val="20"/>
        </w:rPr>
        <w:t xml:space="preserve">[11] Y. Deng</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Chemoconnectomics: mapping chemical transmission in</w:t>
      </w:r>
      <w:r>
        <w:rPr>
          <w:sz w:val="20"/>
        </w:rPr>
        <w:t xml:space="preserve"> </w:t>
      </w:r>
      <w:r>
        <w:rPr>
          <w:iCs/>
          <w:i/>
          <w:sz w:val="20"/>
        </w:rPr>
        <w:t xml:space="preserve">Drosophila</w:t>
      </w:r>
      <w:r>
        <w:rPr>
          <w:sz w:val="20"/>
        </w:rPr>
        <w:t xml:space="preserve">,</w:t>
      </w:r>
      <w:r>
        <w:rPr>
          <w:sz w:val="20"/>
        </w:rPr>
        <w:t xml:space="preserve">”</w:t>
      </w:r>
      <w:r>
        <w:rPr>
          <w:sz w:val="20"/>
        </w:rPr>
        <w:t xml:space="preserve"> </w:t>
      </w:r>
      <w:r>
        <w:rPr>
          <w:iCs/>
          <w:i/>
          <w:sz w:val="20"/>
        </w:rPr>
        <w:t xml:space="preserve">Neuron</w:t>
      </w:r>
      <w:r>
        <w:rPr>
          <w:sz w:val="20"/>
        </w:rPr>
        <w:t xml:space="preserve">, vol. 101, pp. 876–893, 2019.</w:t>
      </w:r>
    </w:p>
    <w:p>
      <w:pPr>
        <w:pStyle w:val="BodyText"/>
        <w:widowControl/>
        <w:spacing w:after="80"/>
      </w:pPr>
      <w:r>
        <w:rPr>
          <w:sz w:val="20"/>
        </w:rPr>
        <w:t xml:space="preserve">[12] C. Bass, A. M. Puinean, M. Andrews</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Mutation of a nicotinic acetylcholine receptor β subunit is associated with resistance to neonicotinoid insecticides in the aphid</w:t>
      </w:r>
      <w:r>
        <w:rPr>
          <w:sz w:val="20"/>
        </w:rPr>
        <w:t xml:space="preserve"> </w:t>
      </w:r>
      <w:r>
        <w:rPr>
          <w:iCs/>
          <w:i/>
          <w:sz w:val="20"/>
        </w:rPr>
        <w:t xml:space="preserve">Myzus persicae</w:t>
      </w:r>
      <w:r>
        <w:rPr>
          <w:sz w:val="20"/>
        </w:rPr>
        <w:t xml:space="preserve">,</w:t>
      </w:r>
      <w:r>
        <w:rPr>
          <w:sz w:val="20"/>
        </w:rPr>
        <w:t xml:space="preserve">”</w:t>
      </w:r>
      <w:r>
        <w:rPr>
          <w:sz w:val="20"/>
        </w:rPr>
        <w:t xml:space="preserve"> </w:t>
      </w:r>
      <w:r>
        <w:rPr>
          <w:iCs/>
          <w:i/>
          <w:sz w:val="20"/>
        </w:rPr>
        <w:t xml:space="preserve">BMC Neurosci.</w:t>
      </w:r>
      <w:r>
        <w:rPr>
          <w:sz w:val="20"/>
        </w:rPr>
        <w:t xml:space="preserve">, vol. 12, art. 51, 2011. DOI</w:t>
      </w:r>
      <w:r>
        <w:rPr>
          <w:sz w:val="20"/>
        </w:rPr>
        <w:t xml:space="preserve"> </w:t>
      </w:r>
      <w:hyperlink r:id="rId58">
        <w:r>
          <w:rPr>
            <w:rStyle w:val="Hyperlink"/>
          </w:rPr>
          <w:t xml:space="preserve">10.1186/1471-2202-12-51</w:t>
        </w:r>
      </w:hyperlink>
      <w:r>
        <w:rPr>
          <w:sz w:val="20"/>
        </w:rPr>
        <w:t xml:space="preserve">. PMID 21627790.</w:t>
      </w:r>
    </w:p>
    <w:p>
      <w:pPr>
        <w:pStyle w:val="BodyText"/>
        <w:widowControl/>
        <w:spacing w:after="80"/>
      </w:pPr>
      <w:r>
        <w:rPr>
          <w:sz w:val="20"/>
        </w:rPr>
        <w:t xml:space="preserve">[13] R. H. ffrench-Constant, T. A. Rocheleau, J. C. Steichen and A. E. Chalmers,</w:t>
      </w:r>
      <w:r>
        <w:rPr>
          <w:sz w:val="20"/>
        </w:rPr>
        <w:t xml:space="preserve"> </w:t>
      </w:r>
      <w:r>
        <w:rPr>
          <w:sz w:val="20"/>
        </w:rPr>
        <w:t xml:space="preserve">“</w:t>
      </w:r>
      <w:r>
        <w:rPr>
          <w:sz w:val="20"/>
        </w:rPr>
        <w:t xml:space="preserve">A point mutation in a</w:t>
      </w:r>
      <w:r>
        <w:rPr>
          <w:sz w:val="20"/>
        </w:rPr>
        <w:t xml:space="preserve"> </w:t>
      </w:r>
      <w:r>
        <w:rPr>
          <w:iCs/>
          <w:i/>
          <w:sz w:val="20"/>
        </w:rPr>
        <w:t xml:space="preserve">Drosophila</w:t>
      </w:r>
      <w:r>
        <w:rPr>
          <w:sz w:val="20"/>
        </w:rPr>
        <w:t xml:space="preserve"> </w:t>
      </w:r>
      <w:r>
        <w:rPr>
          <w:sz w:val="20"/>
        </w:rPr>
        <w:t xml:space="preserve">GABA receptor confers insecticide resistance,</w:t>
      </w:r>
      <w:r>
        <w:rPr>
          <w:sz w:val="20"/>
        </w:rPr>
        <w:t xml:space="preserve">”</w:t>
      </w:r>
      <w:r>
        <w:rPr>
          <w:sz w:val="20"/>
        </w:rPr>
        <w:t xml:space="preserve"> </w:t>
      </w:r>
      <w:r>
        <w:rPr>
          <w:iCs/>
          <w:i/>
          <w:sz w:val="20"/>
        </w:rPr>
        <w:t xml:space="preserve">Nature</w:t>
      </w:r>
      <w:r>
        <w:rPr>
          <w:sz w:val="20"/>
        </w:rPr>
        <w:t xml:space="preserve">, vol. 363, pp. 449–451, 1993. DOI</w:t>
      </w:r>
      <w:r>
        <w:rPr>
          <w:sz w:val="20"/>
        </w:rPr>
        <w:t xml:space="preserve"> </w:t>
      </w:r>
      <w:hyperlink r:id="rId59">
        <w:r>
          <w:rPr>
            <w:rStyle w:val="Hyperlink"/>
          </w:rPr>
          <w:t xml:space="preserve">10.1038/363449a0</w:t>
        </w:r>
      </w:hyperlink>
      <w:r>
        <w:rPr>
          <w:sz w:val="20"/>
        </w:rPr>
        <w:t xml:space="preserve">.</w:t>
      </w:r>
    </w:p>
    <w:p>
      <w:pPr>
        <w:pStyle w:val="BodyText"/>
        <w:widowControl/>
        <w:spacing w:after="80"/>
      </w:pPr>
      <w:r>
        <w:rPr>
          <w:sz w:val="20"/>
        </w:rPr>
        <w:t xml:space="preserve">[14] W. T. Garrood, C. T. Zimmer, O. Gutbrod</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Influence of the RDL A301S mutation in the brown planthopper</w:t>
      </w:r>
      <w:r>
        <w:rPr>
          <w:sz w:val="20"/>
        </w:rPr>
        <w:t xml:space="preserve"> </w:t>
      </w:r>
      <w:r>
        <w:rPr>
          <w:iCs/>
          <w:i/>
          <w:sz w:val="20"/>
        </w:rPr>
        <w:t xml:space="preserve">Nilaparvata lugens</w:t>
      </w:r>
      <w:r>
        <w:rPr>
          <w:sz w:val="20"/>
        </w:rPr>
        <w:t xml:space="preserve"> </w:t>
      </w:r>
      <w:r>
        <w:rPr>
          <w:sz w:val="20"/>
        </w:rPr>
        <w:t xml:space="preserve">on the activity of phenylpyrazole insecticides,</w:t>
      </w:r>
      <w:r>
        <w:rPr>
          <w:sz w:val="20"/>
        </w:rPr>
        <w:t xml:space="preserve">”</w:t>
      </w:r>
      <w:r>
        <w:rPr>
          <w:sz w:val="20"/>
        </w:rPr>
        <w:t xml:space="preserve"> </w:t>
      </w:r>
      <w:r>
        <w:rPr>
          <w:iCs/>
          <w:i/>
          <w:sz w:val="20"/>
        </w:rPr>
        <w:t xml:space="preserve">Pestic. Biochem. Physiol.</w:t>
      </w:r>
      <w:r>
        <w:rPr>
          <w:sz w:val="20"/>
        </w:rPr>
        <w:t xml:space="preserve">, vol. 142, pp. 1–8, 2017. DOI</w:t>
      </w:r>
      <w:r>
        <w:rPr>
          <w:sz w:val="20"/>
        </w:rPr>
        <w:t xml:space="preserve"> </w:t>
      </w:r>
      <w:hyperlink r:id="rId60">
        <w:r>
          <w:rPr>
            <w:rStyle w:val="Hyperlink"/>
          </w:rPr>
          <w:t xml:space="preserve">10.1016/j.pestbp.2017.01.007</w:t>
        </w:r>
      </w:hyperlink>
      <w:r>
        <w:rPr>
          <w:sz w:val="20"/>
        </w:rPr>
        <w:t xml:space="preserve">. PMID 29107231.</w:t>
      </w:r>
    </w:p>
    <w:p>
      <w:pPr>
        <w:pStyle w:val="BodyText"/>
        <w:widowControl/>
        <w:spacing w:after="80"/>
      </w:pPr>
      <w:r>
        <w:rPr>
          <w:sz w:val="20"/>
        </w:rPr>
        <w:t xml:space="preserve">[15] A. M. Hosie, H. A. Baylis, S. D. Buckingham and D. B. Sattelle,</w:t>
      </w:r>
      <w:r>
        <w:rPr>
          <w:sz w:val="20"/>
        </w:rPr>
        <w:t xml:space="preserve"> </w:t>
      </w:r>
      <w:r>
        <w:rPr>
          <w:sz w:val="20"/>
        </w:rPr>
        <w:t xml:space="preserve">“</w:t>
      </w:r>
      <w:r>
        <w:rPr>
          <w:sz w:val="20"/>
        </w:rPr>
        <w:t xml:space="preserve">Actions of the insecticide fipronil on dieldrin-sensitive and -resistant GABA receptors of</w:t>
      </w:r>
      <w:r>
        <w:rPr>
          <w:sz w:val="20"/>
        </w:rPr>
        <w:t xml:space="preserve"> </w:t>
      </w:r>
      <w:r>
        <w:rPr>
          <w:iCs/>
          <w:i/>
          <w:sz w:val="20"/>
        </w:rPr>
        <w:t xml:space="preserve">Drosophila melanogaster</w:t>
      </w:r>
      <w:r>
        <w:rPr>
          <w:sz w:val="20"/>
        </w:rPr>
        <w:t xml:space="preserve">,</w:t>
      </w:r>
      <w:r>
        <w:rPr>
          <w:sz w:val="20"/>
        </w:rPr>
        <w:t xml:space="preserve">”</w:t>
      </w:r>
      <w:r>
        <w:rPr>
          <w:sz w:val="20"/>
        </w:rPr>
        <w:t xml:space="preserve"> </w:t>
      </w:r>
      <w:r>
        <w:rPr>
          <w:iCs/>
          <w:i/>
          <w:sz w:val="20"/>
        </w:rPr>
        <w:t xml:space="preserve">Br. J. Pharmacol.</w:t>
      </w:r>
      <w:r>
        <w:rPr>
          <w:sz w:val="20"/>
        </w:rPr>
        <w:t xml:space="preserve">, vol. 115, no. 6, pp. 909–912, 1995. DOI</w:t>
      </w:r>
      <w:r>
        <w:rPr>
          <w:sz w:val="20"/>
        </w:rPr>
        <w:t xml:space="preserve"> </w:t>
      </w:r>
      <w:hyperlink r:id="rId61">
        <w:r>
          <w:rPr>
            <w:rStyle w:val="Hyperlink"/>
          </w:rPr>
          <w:t xml:space="preserve">10.1111/j.1476-5381.1995.tb15896.x</w:t>
        </w:r>
      </w:hyperlink>
      <w:r>
        <w:rPr>
          <w:sz w:val="20"/>
        </w:rPr>
        <w:t xml:space="preserve">. PMID 7582519.</w:t>
      </w:r>
    </w:p>
    <w:p>
      <w:pPr>
        <w:pStyle w:val="BodyText"/>
        <w:widowControl/>
        <w:spacing w:after="80"/>
      </w:pPr>
      <w:r>
        <w:rPr>
          <w:sz w:val="20"/>
        </w:rPr>
        <w:t xml:space="preserve">[16] A. M. Hosie and D. B. Sattelle,</w:t>
      </w:r>
      <w:r>
        <w:rPr>
          <w:sz w:val="20"/>
        </w:rPr>
        <w:t xml:space="preserve"> </w:t>
      </w:r>
      <w:r>
        <w:rPr>
          <w:sz w:val="20"/>
        </w:rPr>
        <w:t xml:space="preserve">“</w:t>
      </w:r>
      <w:r>
        <w:rPr>
          <w:sz w:val="20"/>
        </w:rPr>
        <w:t xml:space="preserve">Allosteric modulation of an expressed homo-oligomeric GABA-gated chloride channel of</w:t>
      </w:r>
      <w:r>
        <w:rPr>
          <w:sz w:val="20"/>
        </w:rPr>
        <w:t xml:space="preserve"> </w:t>
      </w:r>
      <w:r>
        <w:rPr>
          <w:iCs/>
          <w:i/>
          <w:sz w:val="20"/>
        </w:rPr>
        <w:t xml:space="preserve">Drosophila melanogaster</w:t>
      </w:r>
      <w:r>
        <w:rPr>
          <w:sz w:val="20"/>
        </w:rPr>
        <w:t xml:space="preserve">,</w:t>
      </w:r>
      <w:r>
        <w:rPr>
          <w:sz w:val="20"/>
        </w:rPr>
        <w:t xml:space="preserve">”</w:t>
      </w:r>
      <w:r>
        <w:rPr>
          <w:sz w:val="20"/>
        </w:rPr>
        <w:t xml:space="preserve"> </w:t>
      </w:r>
      <w:r>
        <w:rPr>
          <w:iCs/>
          <w:i/>
          <w:sz w:val="20"/>
        </w:rPr>
        <w:t xml:space="preserve">Br. J. Pharmacol.</w:t>
      </w:r>
      <w:r>
        <w:rPr>
          <w:sz w:val="20"/>
        </w:rPr>
        <w:t xml:space="preserve">, vol. 117, no. 6, pp. 1229–1237, 1996. DOI</w:t>
      </w:r>
      <w:r>
        <w:rPr>
          <w:sz w:val="20"/>
        </w:rPr>
        <w:t xml:space="preserve"> </w:t>
      </w:r>
      <w:hyperlink r:id="rId62">
        <w:r>
          <w:rPr>
            <w:rStyle w:val="Hyperlink"/>
          </w:rPr>
          <w:t xml:space="preserve">10.1111/j.1476-5381.1996.tb16720.x</w:t>
        </w:r>
      </w:hyperlink>
      <w:r>
        <w:rPr>
          <w:sz w:val="20"/>
        </w:rPr>
        <w:t xml:space="preserve">. PMID 8882620.</w:t>
      </w:r>
    </w:p>
    <w:p>
      <w:pPr>
        <w:pStyle w:val="BodyText"/>
        <w:widowControl/>
        <w:spacing w:after="80"/>
      </w:pPr>
      <w:r>
        <w:rPr>
          <w:sz w:val="20"/>
        </w:rPr>
        <w:t xml:space="preserve">[17] D. H. Kwon, K. S. Yoon, J. M. Clark and S. H. Lee,</w:t>
      </w:r>
      <w:r>
        <w:rPr>
          <w:sz w:val="20"/>
        </w:rPr>
        <w:t xml:space="preserve"> </w:t>
      </w:r>
      <w:r>
        <w:rPr>
          <w:sz w:val="20"/>
        </w:rPr>
        <w:t xml:space="preserve">“</w:t>
      </w:r>
      <w:r>
        <w:rPr>
          <w:sz w:val="20"/>
        </w:rPr>
        <w:t xml:space="preserve">A point mutation in a glutamate-gated chloride channel confers abamectin resistance in the two-spotted spider mite,</w:t>
      </w:r>
      <w:r>
        <w:rPr>
          <w:sz w:val="20"/>
        </w:rPr>
        <w:t xml:space="preserve"> </w:t>
      </w:r>
      <w:r>
        <w:rPr>
          <w:iCs/>
          <w:i/>
          <w:sz w:val="20"/>
        </w:rPr>
        <w:t xml:space="preserve">Tetranychus urticae</w:t>
      </w:r>
      <w:r>
        <w:rPr>
          <w:sz w:val="20"/>
        </w:rPr>
        <w:t xml:space="preserve"> </w:t>
      </w:r>
      <w:r>
        <w:rPr>
          <w:sz w:val="20"/>
        </w:rPr>
        <w:t xml:space="preserve">Koch,</w:t>
      </w:r>
      <w:r>
        <w:rPr>
          <w:sz w:val="20"/>
        </w:rPr>
        <w:t xml:space="preserve">”</w:t>
      </w:r>
      <w:r>
        <w:rPr>
          <w:sz w:val="20"/>
        </w:rPr>
        <w:t xml:space="preserve"> </w:t>
      </w:r>
      <w:r>
        <w:rPr>
          <w:iCs/>
          <w:i/>
          <w:sz w:val="20"/>
        </w:rPr>
        <w:t xml:space="preserve">Insect Mol. Biol.</w:t>
      </w:r>
      <w:r>
        <w:rPr>
          <w:sz w:val="20"/>
        </w:rPr>
        <w:t xml:space="preserve">, vol. 19, pp. 583–591, 2010. DOI</w:t>
      </w:r>
      <w:r>
        <w:rPr>
          <w:sz w:val="20"/>
        </w:rPr>
        <w:t xml:space="preserve"> </w:t>
      </w:r>
      <w:hyperlink r:id="rId63">
        <w:r>
          <w:rPr>
            <w:rStyle w:val="Hyperlink"/>
          </w:rPr>
          <w:t xml:space="preserve">10.1111/j.1365-2583.2010.01017.x</w:t>
        </w:r>
      </w:hyperlink>
      <w:r>
        <w:rPr>
          <w:sz w:val="20"/>
        </w:rPr>
        <w:t xml:space="preserve">. PMID 20522121.</w:t>
      </w:r>
    </w:p>
    <w:p>
      <w:pPr>
        <w:pStyle w:val="BodyText"/>
        <w:widowControl/>
        <w:spacing w:after="80"/>
      </w:pPr>
      <w:r>
        <w:rPr>
          <w:sz w:val="20"/>
        </w:rPr>
        <w:t xml:space="preserve">[18] G. Le Goff, A. Hamon, J.-B. Bergé and M. Amichot,</w:t>
      </w:r>
      <w:r>
        <w:rPr>
          <w:sz w:val="20"/>
        </w:rPr>
        <w:t xml:space="preserve"> </w:t>
      </w:r>
      <w:r>
        <w:rPr>
          <w:sz w:val="20"/>
        </w:rPr>
        <w:t xml:space="preserve">“</w:t>
      </w:r>
      <w:r>
        <w:rPr>
          <w:sz w:val="20"/>
        </w:rPr>
        <w:t xml:space="preserve">Resistance to fipronil in</w:t>
      </w:r>
      <w:r>
        <w:rPr>
          <w:sz w:val="20"/>
        </w:rPr>
        <w:t xml:space="preserve"> </w:t>
      </w:r>
      <w:r>
        <w:rPr>
          <w:iCs/>
          <w:i/>
          <w:sz w:val="20"/>
        </w:rPr>
        <w:t xml:space="preserve">Drosophila simulans</w:t>
      </w:r>
      <w:r>
        <w:rPr>
          <w:sz w:val="20"/>
        </w:rPr>
        <w:t xml:space="preserve">: influence of two point mutations in the RDL GABA receptor subunit,</w:t>
      </w:r>
      <w:r>
        <w:rPr>
          <w:sz w:val="20"/>
        </w:rPr>
        <w:t xml:space="preserve">”</w:t>
      </w:r>
      <w:r>
        <w:rPr>
          <w:sz w:val="20"/>
        </w:rPr>
        <w:t xml:space="preserve"> </w:t>
      </w:r>
      <w:r>
        <w:rPr>
          <w:iCs/>
          <w:i/>
          <w:sz w:val="20"/>
        </w:rPr>
        <w:t xml:space="preserve">J. Neurochem.</w:t>
      </w:r>
      <w:r>
        <w:rPr>
          <w:sz w:val="20"/>
        </w:rPr>
        <w:t xml:space="preserve">, vol. 92, pp. 1295–1305, 2005. DOI</w:t>
      </w:r>
      <w:r>
        <w:rPr>
          <w:sz w:val="20"/>
        </w:rPr>
        <w:t xml:space="preserve"> </w:t>
      </w:r>
      <w:hyperlink r:id="rId64">
        <w:r>
          <w:rPr>
            <w:rStyle w:val="Hyperlink"/>
          </w:rPr>
          <w:t xml:space="preserve">10.1111/j.1471-4159.2004.02922.x</w:t>
        </w:r>
      </w:hyperlink>
      <w:r>
        <w:rPr>
          <w:sz w:val="20"/>
        </w:rPr>
        <w:t xml:space="preserve">. PMID 15748149.</w:t>
      </w:r>
    </w:p>
    <w:p>
      <w:pPr>
        <w:pStyle w:val="BodyText"/>
        <w:widowControl/>
        <w:spacing w:after="80"/>
      </w:pPr>
      <w:r>
        <w:rPr>
          <w:sz w:val="20"/>
        </w:rPr>
        <w:t xml:space="preserve">[19] P. Menozzi, M. A. Shi, A. Lougarre, Z. H. Tang and D. Fournier,</w:t>
      </w:r>
      <w:r>
        <w:rPr>
          <w:sz w:val="20"/>
        </w:rPr>
        <w:t xml:space="preserve"> </w:t>
      </w:r>
      <w:r>
        <w:rPr>
          <w:sz w:val="20"/>
        </w:rPr>
        <w:t xml:space="preserve">“</w:t>
      </w:r>
      <w:r>
        <w:rPr>
          <w:sz w:val="20"/>
        </w:rPr>
        <w:t xml:space="preserve">Mutations of acetylcholinesterase which confer insecticide resistance in</w:t>
      </w:r>
      <w:r>
        <w:rPr>
          <w:sz w:val="20"/>
        </w:rPr>
        <w:t xml:space="preserve"> </w:t>
      </w:r>
      <w:r>
        <w:rPr>
          <w:iCs/>
          <w:i/>
          <w:sz w:val="20"/>
        </w:rPr>
        <w:t xml:space="preserve">Drosophila melanogaster</w:t>
      </w:r>
      <w:r>
        <w:rPr>
          <w:sz w:val="20"/>
        </w:rPr>
        <w:t xml:space="preserve"> </w:t>
      </w:r>
      <w:r>
        <w:rPr>
          <w:sz w:val="20"/>
        </w:rPr>
        <w:t xml:space="preserve">populations,</w:t>
      </w:r>
      <w:r>
        <w:rPr>
          <w:sz w:val="20"/>
        </w:rPr>
        <w:t xml:space="preserve">”</w:t>
      </w:r>
      <w:r>
        <w:rPr>
          <w:sz w:val="20"/>
        </w:rPr>
        <w:t xml:space="preserve"> </w:t>
      </w:r>
      <w:r>
        <w:rPr>
          <w:iCs/>
          <w:i/>
          <w:sz w:val="20"/>
        </w:rPr>
        <w:t xml:space="preserve">BMC Evol. Biol.</w:t>
      </w:r>
      <w:r>
        <w:rPr>
          <w:sz w:val="20"/>
        </w:rPr>
        <w:t xml:space="preserve">, vol. 4, art. 4, 2004. DOI</w:t>
      </w:r>
      <w:r>
        <w:rPr>
          <w:sz w:val="20"/>
        </w:rPr>
        <w:t xml:space="preserve"> </w:t>
      </w:r>
      <w:hyperlink r:id="rId65">
        <w:r>
          <w:rPr>
            <w:rStyle w:val="Hyperlink"/>
          </w:rPr>
          <w:t xml:space="preserve">10.1186/1471-2148-4-4</w:t>
        </w:r>
      </w:hyperlink>
      <w:r>
        <w:rPr>
          <w:sz w:val="20"/>
        </w:rPr>
        <w:t xml:space="preserve">. PMID 15018651.</w:t>
      </w:r>
    </w:p>
    <w:p>
      <w:pPr>
        <w:pStyle w:val="BodyText"/>
        <w:widowControl/>
        <w:spacing w:after="80"/>
      </w:pPr>
      <w:r>
        <w:rPr>
          <w:sz w:val="20"/>
        </w:rPr>
        <w:t xml:space="preserve">[20] A. Mutero, M. Pralavorio, J. M. Bride and D. Fournier,</w:t>
      </w:r>
      <w:r>
        <w:rPr>
          <w:sz w:val="20"/>
        </w:rPr>
        <w:t xml:space="preserve"> </w:t>
      </w:r>
      <w:r>
        <w:rPr>
          <w:sz w:val="20"/>
        </w:rPr>
        <w:t xml:space="preserve">“</w:t>
      </w:r>
      <w:r>
        <w:rPr>
          <w:sz w:val="20"/>
        </w:rPr>
        <w:t xml:space="preserve">Resistance-associated point mutations in insecticide-insensitive acetylcholinesterase,</w:t>
      </w:r>
      <w:r>
        <w:rPr>
          <w:sz w:val="20"/>
        </w:rPr>
        <w:t xml:space="preserve">”</w:t>
      </w:r>
      <w:r>
        <w:rPr>
          <w:sz w:val="20"/>
        </w:rPr>
        <w:t xml:space="preserve"> </w:t>
      </w:r>
      <w:r>
        <w:rPr>
          <w:iCs/>
          <w:i/>
          <w:sz w:val="20"/>
        </w:rPr>
        <w:t xml:space="preserve">Proc. Natl. Acad. Sci. USA</w:t>
      </w:r>
      <w:r>
        <w:rPr>
          <w:sz w:val="20"/>
        </w:rPr>
        <w:t xml:space="preserve">, vol. 91, no. 13, pp. 5922–5926, 1994. DOI</w:t>
      </w:r>
      <w:r>
        <w:rPr>
          <w:sz w:val="20"/>
        </w:rPr>
        <w:t xml:space="preserve"> </w:t>
      </w:r>
      <w:hyperlink r:id="rId66">
        <w:r>
          <w:rPr>
            <w:rStyle w:val="Hyperlink"/>
          </w:rPr>
          <w:t xml:space="preserve">10.1073/pnas.91.13.5922</w:t>
        </w:r>
      </w:hyperlink>
      <w:r>
        <w:rPr>
          <w:sz w:val="20"/>
        </w:rPr>
        <w:t xml:space="preserve">. PMID 8016090.</w:t>
      </w:r>
    </w:p>
    <w:p>
      <w:pPr>
        <w:pStyle w:val="BodyText"/>
        <w:widowControl/>
        <w:spacing w:after="80"/>
      </w:pPr>
      <w:r>
        <w:rPr>
          <w:sz w:val="20"/>
        </w:rPr>
        <w:t xml:space="preserve">[21] P. N. R. Usherwood, H. Vais, B. P. S. Khambay, T. G. E. Davies and M. S. Williamson,</w:t>
      </w:r>
      <w:r>
        <w:rPr>
          <w:sz w:val="20"/>
        </w:rPr>
        <w:t xml:space="preserve"> </w:t>
      </w:r>
      <w:r>
        <w:rPr>
          <w:sz w:val="20"/>
        </w:rPr>
        <w:t xml:space="preserve">“</w:t>
      </w:r>
      <w:r>
        <w:rPr>
          <w:sz w:val="20"/>
        </w:rPr>
        <w:t xml:space="preserve">Sensitivity of the</w:t>
      </w:r>
      <w:r>
        <w:rPr>
          <w:sz w:val="20"/>
        </w:rPr>
        <w:t xml:space="preserve"> </w:t>
      </w:r>
      <w:r>
        <w:rPr>
          <w:iCs/>
          <w:i/>
          <w:sz w:val="20"/>
        </w:rPr>
        <w:t xml:space="preserve">Drosophila para</w:t>
      </w:r>
      <w:r>
        <w:rPr>
          <w:sz w:val="20"/>
        </w:rPr>
        <w:t xml:space="preserve"> </w:t>
      </w:r>
      <w:r>
        <w:rPr>
          <w:sz w:val="20"/>
        </w:rPr>
        <w:t xml:space="preserve">sodium channel to DDT is not lowered by the super-kdr mutation M918T on the IIS4–S5 linker that profoundly reduces sensitivity to permethrin and deltamethrin,</w:t>
      </w:r>
      <w:r>
        <w:rPr>
          <w:sz w:val="20"/>
        </w:rPr>
        <w:t xml:space="preserve">”</w:t>
      </w:r>
      <w:r>
        <w:rPr>
          <w:sz w:val="20"/>
        </w:rPr>
        <w:t xml:space="preserve"> </w:t>
      </w:r>
      <w:r>
        <w:rPr>
          <w:iCs/>
          <w:i/>
          <w:sz w:val="20"/>
        </w:rPr>
        <w:t xml:space="preserve">FEBS Lett.</w:t>
      </w:r>
      <w:r>
        <w:rPr>
          <w:sz w:val="20"/>
        </w:rPr>
        <w:t xml:space="preserve">, vol. 579, no. 28, pp. 6317–6325, 2005. DOI</w:t>
      </w:r>
      <w:r>
        <w:rPr>
          <w:sz w:val="20"/>
        </w:rPr>
        <w:t xml:space="preserve"> </w:t>
      </w:r>
      <w:hyperlink r:id="rId67">
        <w:r>
          <w:rPr>
            <w:rStyle w:val="Hyperlink"/>
          </w:rPr>
          <w:t xml:space="preserve">10.1016/j.febslet.2005.09.096</w:t>
        </w:r>
      </w:hyperlink>
      <w:r>
        <w:rPr>
          <w:sz w:val="20"/>
        </w:rPr>
        <w:t xml:space="preserve">. PMID 16263118.</w:t>
      </w:r>
    </w:p>
    <w:p>
      <w:pPr>
        <w:pStyle w:val="BodyText"/>
        <w:widowControl/>
        <w:spacing w:after="80"/>
      </w:pPr>
      <w:r>
        <w:rPr>
          <w:sz w:val="20"/>
        </w:rPr>
        <w:t xml:space="preserve">[22] H. Vais, M. S. Williamson, S. J. Goodson</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Activation of</w:t>
      </w:r>
      <w:r>
        <w:rPr>
          <w:sz w:val="20"/>
        </w:rPr>
        <w:t xml:space="preserve"> </w:t>
      </w:r>
      <w:r>
        <w:rPr>
          <w:iCs/>
          <w:i/>
          <w:sz w:val="20"/>
        </w:rPr>
        <w:t xml:space="preserve">Drosophila</w:t>
      </w:r>
      <w:r>
        <w:rPr>
          <w:sz w:val="20"/>
        </w:rPr>
        <w:t xml:space="preserve"> </w:t>
      </w:r>
      <w:r>
        <w:rPr>
          <w:sz w:val="20"/>
        </w:rPr>
        <w:t xml:space="preserve">sodium channels promotes modification by deltamethrin: reductions in affinity caused by knock-down resistance mutations,</w:t>
      </w:r>
      <w:r>
        <w:rPr>
          <w:sz w:val="20"/>
        </w:rPr>
        <w:t xml:space="preserve">”</w:t>
      </w:r>
      <w:r>
        <w:rPr>
          <w:sz w:val="20"/>
        </w:rPr>
        <w:t xml:space="preserve"> </w:t>
      </w:r>
      <w:r>
        <w:rPr>
          <w:iCs/>
          <w:i/>
          <w:sz w:val="20"/>
        </w:rPr>
        <w:t xml:space="preserve">J. Gen. Physiol.</w:t>
      </w:r>
      <w:r>
        <w:rPr>
          <w:sz w:val="20"/>
        </w:rPr>
        <w:t xml:space="preserve">, vol. 115, no. 3, pp. 305–318, 2000. DOI</w:t>
      </w:r>
      <w:r>
        <w:rPr>
          <w:sz w:val="20"/>
        </w:rPr>
        <w:t xml:space="preserve"> </w:t>
      </w:r>
      <w:hyperlink r:id="rId68">
        <w:r>
          <w:rPr>
            <w:rStyle w:val="Hyperlink"/>
          </w:rPr>
          <w:t xml:space="preserve">10.1085/jgp.115.3.305</w:t>
        </w:r>
      </w:hyperlink>
      <w:r>
        <w:rPr>
          <w:sz w:val="20"/>
        </w:rPr>
        <w:t xml:space="preserve">. PMID 10694259.</w:t>
      </w:r>
    </w:p>
    <w:p>
      <w:pPr>
        <w:pStyle w:val="BodyText"/>
        <w:widowControl/>
        <w:spacing w:after="80"/>
      </w:pPr>
      <w:r>
        <w:rPr>
          <w:sz w:val="20"/>
        </w:rPr>
        <w:t xml:space="preserve">[23] X. Wang, A. M. Puinean, A. O. O’Reilly</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Mutations on M3 helix of</w:t>
      </w:r>
      <w:r>
        <w:rPr>
          <w:sz w:val="20"/>
        </w:rPr>
        <w:t xml:space="preserve"> </w:t>
      </w:r>
      <w:r>
        <w:rPr>
          <w:iCs/>
          <w:i/>
          <w:sz w:val="20"/>
        </w:rPr>
        <w:t xml:space="preserve">Plutella xylostella</w:t>
      </w:r>
      <w:r>
        <w:rPr>
          <w:sz w:val="20"/>
        </w:rPr>
        <w:t xml:space="preserve"> </w:t>
      </w:r>
      <w:r>
        <w:rPr>
          <w:sz w:val="20"/>
        </w:rPr>
        <w:t xml:space="preserve">glutamate-gated chloride channel confer unequal resistance to abamectin by two different mechanisms,</w:t>
      </w:r>
      <w:r>
        <w:rPr>
          <w:sz w:val="20"/>
        </w:rPr>
        <w:t xml:space="preserve">”</w:t>
      </w:r>
      <w:r>
        <w:rPr>
          <w:sz w:val="20"/>
        </w:rPr>
        <w:t xml:space="preserve"> </w:t>
      </w:r>
      <w:r>
        <w:rPr>
          <w:iCs/>
          <w:i/>
          <w:sz w:val="20"/>
        </w:rPr>
        <w:t xml:space="preserve">Insect Biochem. Mol. Biol.</w:t>
      </w:r>
      <w:r>
        <w:rPr>
          <w:sz w:val="20"/>
        </w:rPr>
        <w:t xml:space="preserve">, vol. 86, pp. 50–57, 2017. DOI</w:t>
      </w:r>
      <w:r>
        <w:rPr>
          <w:sz w:val="20"/>
        </w:rPr>
        <w:t xml:space="preserve"> </w:t>
      </w:r>
      <w:hyperlink r:id="rId69">
        <w:r>
          <w:rPr>
            <w:rStyle w:val="Hyperlink"/>
          </w:rPr>
          <w:t xml:space="preserve">10.1016/j.ibmb.2017.05.006</w:t>
        </w:r>
      </w:hyperlink>
      <w:r>
        <w:rPr>
          <w:sz w:val="20"/>
        </w:rPr>
        <w:t xml:space="preserve">. PMID 28576654.</w:t>
      </w:r>
    </w:p>
    <w:p>
      <w:pPr>
        <w:pStyle w:val="BodyText"/>
        <w:widowControl/>
        <w:spacing w:after="80"/>
      </w:pPr>
      <w:r>
        <w:rPr>
          <w:sz w:val="20"/>
        </w:rPr>
        <w:t xml:space="preserve">[24] H. G. Zhang, R. H. ffrench-Constant and M. B. Jackson,</w:t>
      </w:r>
      <w:r>
        <w:rPr>
          <w:sz w:val="20"/>
        </w:rPr>
        <w:t xml:space="preserve"> </w:t>
      </w:r>
      <w:r>
        <w:rPr>
          <w:sz w:val="20"/>
        </w:rPr>
        <w:t xml:space="preserve">“</w:t>
      </w:r>
      <w:r>
        <w:rPr>
          <w:sz w:val="20"/>
        </w:rPr>
        <w:t xml:space="preserve">A unique amino acid of the</w:t>
      </w:r>
      <w:r>
        <w:rPr>
          <w:sz w:val="20"/>
        </w:rPr>
        <w:t xml:space="preserve"> </w:t>
      </w:r>
      <w:r>
        <w:rPr>
          <w:iCs/>
          <w:i/>
          <w:sz w:val="20"/>
        </w:rPr>
        <w:t xml:space="preserve">Drosophila</w:t>
      </w:r>
      <w:r>
        <w:rPr>
          <w:sz w:val="20"/>
        </w:rPr>
        <w:t xml:space="preserve"> </w:t>
      </w:r>
      <w:r>
        <w:rPr>
          <w:sz w:val="20"/>
        </w:rPr>
        <w:t xml:space="preserve">GABA receptor with influence on drug sensitivity by two mechanisms,</w:t>
      </w:r>
      <w:r>
        <w:rPr>
          <w:sz w:val="20"/>
        </w:rPr>
        <w:t xml:space="preserve">”</w:t>
      </w:r>
      <w:r>
        <w:rPr>
          <w:sz w:val="20"/>
        </w:rPr>
        <w:t xml:space="preserve"> </w:t>
      </w:r>
      <w:r>
        <w:rPr>
          <w:iCs/>
          <w:i/>
          <w:sz w:val="20"/>
        </w:rPr>
        <w:t xml:space="preserve">J. Physiol.</w:t>
      </w:r>
      <w:r>
        <w:rPr>
          <w:sz w:val="20"/>
        </w:rPr>
        <w:t xml:space="preserve">, vol. 479, no. 1, pp. 65–75, 1994. DOI</w:t>
      </w:r>
      <w:r>
        <w:rPr>
          <w:sz w:val="20"/>
        </w:rPr>
        <w:t xml:space="preserve"> </w:t>
      </w:r>
      <w:hyperlink r:id="rId70">
        <w:r>
          <w:rPr>
            <w:rStyle w:val="Hyperlink"/>
          </w:rPr>
          <w:t xml:space="preserve">10.1113/jphysiol.1994.sp020278</w:t>
        </w:r>
      </w:hyperlink>
      <w:r>
        <w:rPr>
          <w:sz w:val="20"/>
        </w:rPr>
        <w:t xml:space="preserve">. PMID 7527461.</w:t>
      </w:r>
    </w:p>
    <w:p>
      <w:pPr>
        <w:pStyle w:val="BodyText"/>
        <w:widowControl/>
        <w:spacing w:after="80"/>
      </w:pPr>
      <w:r>
        <w:rPr>
          <w:sz w:val="20"/>
        </w:rPr>
        <w:t xml:space="preserve">[25] A. Cartereau, C. Martin and S. H. Thany,</w:t>
      </w:r>
      <w:r>
        <w:rPr>
          <w:sz w:val="20"/>
        </w:rPr>
        <w:t xml:space="preserve"> </w:t>
      </w:r>
      <w:r>
        <w:rPr>
          <w:sz w:val="20"/>
        </w:rPr>
        <w:t xml:space="preserve">“</w:t>
      </w:r>
      <w:r>
        <w:rPr>
          <w:sz w:val="20"/>
        </w:rPr>
        <w:t xml:space="preserve">Neonicotinoid insecticides differently modulate acetylcholine-induced currents on mammalian α7 nicotinic acetylcholine receptors,</w:t>
      </w:r>
      <w:r>
        <w:rPr>
          <w:sz w:val="20"/>
        </w:rPr>
        <w:t xml:space="preserve">”</w:t>
      </w:r>
      <w:r>
        <w:rPr>
          <w:sz w:val="20"/>
        </w:rPr>
        <w:t xml:space="preserve"> </w:t>
      </w:r>
      <w:r>
        <w:rPr>
          <w:iCs/>
          <w:i/>
          <w:sz w:val="20"/>
        </w:rPr>
        <w:t xml:space="preserve">Br. J. Pharmacol.</w:t>
      </w:r>
      <w:r>
        <w:rPr>
          <w:sz w:val="20"/>
        </w:rPr>
        <w:t xml:space="preserve">, vol. 175, no. 11, pp. 1987–1998, 2018. DOI</w:t>
      </w:r>
      <w:r>
        <w:rPr>
          <w:sz w:val="20"/>
        </w:rPr>
        <w:t xml:space="preserve"> </w:t>
      </w:r>
      <w:hyperlink r:id="rId71">
        <w:r>
          <w:rPr>
            <w:rStyle w:val="Hyperlink"/>
          </w:rPr>
          <w:t xml:space="preserve">10.1111/bph.14018</w:t>
        </w:r>
      </w:hyperlink>
      <w:r>
        <w:rPr>
          <w:sz w:val="20"/>
        </w:rPr>
        <w:t xml:space="preserve">.</w:t>
      </w:r>
    </w:p>
    <w:p>
      <w:pPr>
        <w:pStyle w:val="BodyText"/>
        <w:widowControl/>
        <w:spacing w:after="80"/>
      </w:pPr>
      <w:r>
        <w:rPr>
          <w:sz w:val="20"/>
        </w:rPr>
        <w:t xml:space="preserve">[26] L. M. Cole, R. A. Nicholson and J. E. Casida,</w:t>
      </w:r>
      <w:r>
        <w:rPr>
          <w:sz w:val="20"/>
        </w:rPr>
        <w:t xml:space="preserve"> </w:t>
      </w:r>
      <w:r>
        <w:rPr>
          <w:sz w:val="20"/>
        </w:rPr>
        <w:t xml:space="preserve">“</w:t>
      </w:r>
      <w:r>
        <w:rPr>
          <w:sz w:val="20"/>
        </w:rPr>
        <w:t xml:space="preserve">Action of phenylpyrazole insecticides at the GABA-gated chloride channel,</w:t>
      </w:r>
      <w:r>
        <w:rPr>
          <w:sz w:val="20"/>
        </w:rPr>
        <w:t xml:space="preserve">”</w:t>
      </w:r>
      <w:r>
        <w:rPr>
          <w:sz w:val="20"/>
        </w:rPr>
        <w:t xml:space="preserve"> </w:t>
      </w:r>
      <w:r>
        <w:rPr>
          <w:iCs/>
          <w:i/>
          <w:sz w:val="20"/>
        </w:rPr>
        <w:t xml:space="preserve">Pestic. Biochem. Physiol.</w:t>
      </w:r>
      <w:r>
        <w:rPr>
          <w:sz w:val="20"/>
        </w:rPr>
        <w:t xml:space="preserve">, vol. 46, no. 1, pp. 47–54, 1993. DOI</w:t>
      </w:r>
      <w:r>
        <w:rPr>
          <w:sz w:val="20"/>
        </w:rPr>
        <w:t xml:space="preserve"> </w:t>
      </w:r>
      <w:hyperlink r:id="rId72">
        <w:r>
          <w:rPr>
            <w:rStyle w:val="Hyperlink"/>
          </w:rPr>
          <w:t xml:space="preserve">10.1006/pest.1993.1035</w:t>
        </w:r>
      </w:hyperlink>
      <w:r>
        <w:rPr>
          <w:sz w:val="20"/>
        </w:rPr>
        <w:t xml:space="preserve">.</w:t>
      </w:r>
    </w:p>
    <w:p>
      <w:pPr>
        <w:pStyle w:val="BodyText"/>
        <w:widowControl/>
        <w:spacing w:after="80"/>
      </w:pPr>
      <w:r>
        <w:rPr>
          <w:sz w:val="20"/>
        </w:rPr>
        <w:t xml:space="preserve">[27] G. R. Dawson, K. A. Wafford, A. Smith</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Anticonvulsant and adverse effects of avermectin analogs in mice are mediated through the γ-aminobutyric acid A receptor,</w:t>
      </w:r>
      <w:r>
        <w:rPr>
          <w:sz w:val="20"/>
        </w:rPr>
        <w:t xml:space="preserve">”</w:t>
      </w:r>
      <w:r>
        <w:rPr>
          <w:sz w:val="20"/>
        </w:rPr>
        <w:t xml:space="preserve"> </w:t>
      </w:r>
      <w:r>
        <w:rPr>
          <w:iCs/>
          <w:i/>
          <w:sz w:val="20"/>
        </w:rPr>
        <w:t xml:space="preserve">J. Pharmacol. Exp. Ther.</w:t>
      </w:r>
      <w:r>
        <w:rPr>
          <w:sz w:val="20"/>
        </w:rPr>
        <w:t xml:space="preserve">, vol. 295, no. 3, pp. 1051–1060, 2000. PMID 11082440.</w:t>
      </w:r>
    </w:p>
    <w:p>
      <w:pPr>
        <w:pStyle w:val="BodyText"/>
        <w:widowControl/>
        <w:spacing w:after="80"/>
      </w:pPr>
      <w:r>
        <w:rPr>
          <w:sz w:val="20"/>
        </w:rPr>
        <w:t xml:space="preserve">[28] K. Lees, M. Musgaard, S. Suwanmanee</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Actions of agonists, fipronil and ivermectin on the predominant in vivo splice and edit variant (RDLbd, I/V) of the</w:t>
      </w:r>
      <w:r>
        <w:rPr>
          <w:sz w:val="20"/>
        </w:rPr>
        <w:t xml:space="preserve"> </w:t>
      </w:r>
      <w:r>
        <w:rPr>
          <w:iCs/>
          <w:i/>
          <w:sz w:val="20"/>
        </w:rPr>
        <w:t xml:space="preserve">Drosophila</w:t>
      </w:r>
      <w:r>
        <w:rPr>
          <w:sz w:val="20"/>
        </w:rPr>
        <w:t xml:space="preserve"> </w:t>
      </w:r>
      <w:r>
        <w:rPr>
          <w:sz w:val="20"/>
        </w:rPr>
        <w:t xml:space="preserve">GABA receptor expressed in</w:t>
      </w:r>
      <w:r>
        <w:rPr>
          <w:sz w:val="20"/>
        </w:rPr>
        <w:t xml:space="preserve"> </w:t>
      </w:r>
      <w:r>
        <w:rPr>
          <w:iCs/>
          <w:i/>
          <w:sz w:val="20"/>
        </w:rPr>
        <w:t xml:space="preserve">Xenopus laevis</w:t>
      </w:r>
      <w:r>
        <w:rPr>
          <w:sz w:val="20"/>
        </w:rPr>
        <w:t xml:space="preserve"> </w:t>
      </w:r>
      <w:r>
        <w:rPr>
          <w:sz w:val="20"/>
        </w:rPr>
        <w:t xml:space="preserve">oocytes,</w:t>
      </w:r>
      <w:r>
        <w:rPr>
          <w:sz w:val="20"/>
        </w:rPr>
        <w:t xml:space="preserve">”</w:t>
      </w:r>
      <w:r>
        <w:rPr>
          <w:sz w:val="20"/>
        </w:rPr>
        <w:t xml:space="preserve"> </w:t>
      </w:r>
      <w:r>
        <w:rPr>
          <w:iCs/>
          <w:i/>
          <w:sz w:val="20"/>
        </w:rPr>
        <w:t xml:space="preserve">PLoS ONE</w:t>
      </w:r>
      <w:r>
        <w:rPr>
          <w:sz w:val="20"/>
        </w:rPr>
        <w:t xml:space="preserve">, vol. 9, no. 5, art. e97468, 2014. DOI</w:t>
      </w:r>
      <w:r>
        <w:rPr>
          <w:sz w:val="20"/>
        </w:rPr>
        <w:t xml:space="preserve"> </w:t>
      </w:r>
      <w:hyperlink r:id="rId73">
        <w:r>
          <w:rPr>
            <w:rStyle w:val="Hyperlink"/>
          </w:rPr>
          <w:t xml:space="preserve">10.1371/journal.pone.0097468</w:t>
        </w:r>
      </w:hyperlink>
      <w:r>
        <w:rPr>
          <w:sz w:val="20"/>
        </w:rPr>
        <w:t xml:space="preserve">.</w:t>
      </w:r>
    </w:p>
    <w:p>
      <w:pPr>
        <w:pStyle w:val="BodyText"/>
        <w:widowControl/>
        <w:spacing w:after="80"/>
      </w:pPr>
      <w:r>
        <w:rPr>
          <w:sz w:val="20"/>
        </w:rPr>
        <w:t xml:space="preserve">[29] T. Perry, D. G. Heckel, J. A. McKenzie and P. Batterham,</w:t>
      </w:r>
      <w:r>
        <w:rPr>
          <w:sz w:val="20"/>
        </w:rPr>
        <w:t xml:space="preserve"> </w:t>
      </w:r>
      <w:r>
        <w:rPr>
          <w:sz w:val="20"/>
        </w:rPr>
        <w:t xml:space="preserve">“</w:t>
      </w:r>
      <w:r>
        <w:rPr>
          <w:sz w:val="20"/>
        </w:rPr>
        <w:t xml:space="preserve">Effects of mutations in</w:t>
      </w:r>
      <w:r>
        <w:rPr>
          <w:sz w:val="20"/>
        </w:rPr>
        <w:t xml:space="preserve"> </w:t>
      </w:r>
      <w:r>
        <w:rPr>
          <w:iCs/>
          <w:i/>
          <w:sz w:val="20"/>
        </w:rPr>
        <w:t xml:space="preserve">Drosophila</w:t>
      </w:r>
      <w:r>
        <w:rPr>
          <w:sz w:val="20"/>
        </w:rPr>
        <w:t xml:space="preserve"> </w:t>
      </w:r>
      <w:r>
        <w:rPr>
          <w:sz w:val="20"/>
        </w:rPr>
        <w:t xml:space="preserve">nicotinic acetylcholine receptor subunits on sensitivity to insecticides targeting nicotinic acetylcholine receptors,</w:t>
      </w:r>
      <w:r>
        <w:rPr>
          <w:sz w:val="20"/>
        </w:rPr>
        <w:t xml:space="preserve">”</w:t>
      </w:r>
      <w:r>
        <w:rPr>
          <w:sz w:val="20"/>
        </w:rPr>
        <w:t xml:space="preserve"> </w:t>
      </w:r>
      <w:r>
        <w:rPr>
          <w:iCs/>
          <w:i/>
          <w:sz w:val="20"/>
        </w:rPr>
        <w:t xml:space="preserve">Pestic. Biochem. Physiol.</w:t>
      </w:r>
      <w:r>
        <w:rPr>
          <w:sz w:val="20"/>
        </w:rPr>
        <w:t xml:space="preserve">, vol. 102, no. 1, pp. 56–60, 2012. DOI</w:t>
      </w:r>
      <w:r>
        <w:rPr>
          <w:sz w:val="20"/>
        </w:rPr>
        <w:t xml:space="preserve"> </w:t>
      </w:r>
      <w:hyperlink r:id="rId74">
        <w:r>
          <w:rPr>
            <w:rStyle w:val="Hyperlink"/>
          </w:rPr>
          <w:t xml:space="preserve">10.1016/j.pestbp.2011.10.010</w:t>
        </w:r>
      </w:hyperlink>
      <w:r>
        <w:rPr>
          <w:sz w:val="20"/>
        </w:rPr>
        <w:t xml:space="preserve">.</w:t>
      </w:r>
    </w:p>
    <w:p>
      <w:pPr>
        <w:pStyle w:val="BodyText"/>
        <w:widowControl/>
        <w:spacing w:after="80"/>
      </w:pPr>
      <w:r>
        <w:rPr>
          <w:sz w:val="20"/>
        </w:rPr>
        <w:t xml:space="preserve">[30] G. S. Ratra and J. E. Casida,</w:t>
      </w:r>
      <w:r>
        <w:rPr>
          <w:sz w:val="20"/>
        </w:rPr>
        <w:t xml:space="preserve"> </w:t>
      </w:r>
      <w:r>
        <w:rPr>
          <w:sz w:val="20"/>
        </w:rPr>
        <w:t xml:space="preserve">“</w:t>
      </w:r>
      <w:r>
        <w:rPr>
          <w:sz w:val="20"/>
        </w:rPr>
        <w:t xml:space="preserve">GABA receptor subunit composition relative to insecticide potency and selectivity,</w:t>
      </w:r>
      <w:r>
        <w:rPr>
          <w:sz w:val="20"/>
        </w:rPr>
        <w:t xml:space="preserve">”</w:t>
      </w:r>
      <w:r>
        <w:rPr>
          <w:sz w:val="20"/>
        </w:rPr>
        <w:t xml:space="preserve"> </w:t>
      </w:r>
      <w:r>
        <w:rPr>
          <w:iCs/>
          <w:i/>
          <w:sz w:val="20"/>
        </w:rPr>
        <w:t xml:space="preserve">Toxicol. Lett.</w:t>
      </w:r>
      <w:r>
        <w:rPr>
          <w:sz w:val="20"/>
        </w:rPr>
        <w:t xml:space="preserve">, vol. 122, no. 3, pp. 215–222, 2001. DOI</w:t>
      </w:r>
      <w:r>
        <w:rPr>
          <w:sz w:val="20"/>
        </w:rPr>
        <w:t xml:space="preserve"> </w:t>
      </w:r>
      <w:hyperlink r:id="rId75">
        <w:r>
          <w:rPr>
            <w:rStyle w:val="Hyperlink"/>
          </w:rPr>
          <w:t xml:space="preserve">10.1016/s0378-4274(01)00366-6</w:t>
        </w:r>
      </w:hyperlink>
      <w:r>
        <w:rPr>
          <w:sz w:val="20"/>
        </w:rPr>
        <w:t xml:space="preserve">. PMID 11489356.</w:t>
      </w:r>
    </w:p>
    <w:p>
      <w:pPr>
        <w:pStyle w:val="BodyText"/>
        <w:widowControl/>
        <w:spacing w:after="80"/>
      </w:pPr>
      <w:r>
        <w:rPr>
          <w:sz w:val="20"/>
        </w:rPr>
        <w:t xml:space="preserve">[31] G. S. Ratra, S. G. Kamita and J. E. Casida,</w:t>
      </w:r>
      <w:r>
        <w:rPr>
          <w:sz w:val="20"/>
        </w:rPr>
        <w:t xml:space="preserve"> </w:t>
      </w:r>
      <w:r>
        <w:rPr>
          <w:sz w:val="20"/>
        </w:rPr>
        <w:t xml:space="preserve">“</w:t>
      </w:r>
      <w:r>
        <w:rPr>
          <w:sz w:val="20"/>
        </w:rPr>
        <w:t xml:space="preserve">Role of human GABA_A receptor β3 subunit in insecticide toxicity,</w:t>
      </w:r>
      <w:r>
        <w:rPr>
          <w:sz w:val="20"/>
        </w:rPr>
        <w:t xml:space="preserve">”</w:t>
      </w:r>
      <w:r>
        <w:rPr>
          <w:sz w:val="20"/>
        </w:rPr>
        <w:t xml:space="preserve"> </w:t>
      </w:r>
      <w:r>
        <w:rPr>
          <w:iCs/>
          <w:i/>
          <w:sz w:val="20"/>
        </w:rPr>
        <w:t xml:space="preserve">Toxicol. Appl. Pharmacol.</w:t>
      </w:r>
      <w:r>
        <w:rPr>
          <w:sz w:val="20"/>
        </w:rPr>
        <w:t xml:space="preserve">, vol. 172, no. 3, pp. 233–240, 2001. DOI</w:t>
      </w:r>
      <w:r>
        <w:rPr>
          <w:sz w:val="20"/>
        </w:rPr>
        <w:t xml:space="preserve"> </w:t>
      </w:r>
      <w:hyperlink r:id="rId76">
        <w:r>
          <w:rPr>
            <w:rStyle w:val="Hyperlink"/>
          </w:rPr>
          <w:t xml:space="preserve">10.1006/taap.2001.9154</w:t>
        </w:r>
      </w:hyperlink>
      <w:r>
        <w:rPr>
          <w:sz w:val="20"/>
        </w:rPr>
        <w:t xml:space="preserve">. PMID 11312652.</w:t>
      </w:r>
    </w:p>
    <w:p>
      <w:pPr>
        <w:pStyle w:val="BodyText"/>
        <w:widowControl/>
        <w:spacing w:after="80"/>
      </w:pPr>
      <w:r>
        <w:rPr>
          <w:sz w:val="20"/>
        </w:rPr>
        <w:t xml:space="preserve">[32] Q. Shan, J. L. Haddrill and J. W. Lynch,</w:t>
      </w:r>
      <w:r>
        <w:rPr>
          <w:sz w:val="20"/>
        </w:rPr>
        <w:t xml:space="preserve"> </w:t>
      </w:r>
      <w:r>
        <w:rPr>
          <w:sz w:val="20"/>
        </w:rPr>
        <w:t xml:space="preserve">“</w:t>
      </w:r>
      <w:r>
        <w:rPr>
          <w:sz w:val="20"/>
        </w:rPr>
        <w:t xml:space="preserve">Ivermectin, an unconventional agonist of the glycine receptor chloride channel,</w:t>
      </w:r>
      <w:r>
        <w:rPr>
          <w:sz w:val="20"/>
        </w:rPr>
        <w:t xml:space="preserve">”</w:t>
      </w:r>
      <w:r>
        <w:rPr>
          <w:sz w:val="20"/>
        </w:rPr>
        <w:t xml:space="preserve"> </w:t>
      </w:r>
      <w:r>
        <w:rPr>
          <w:iCs/>
          <w:i/>
          <w:sz w:val="20"/>
        </w:rPr>
        <w:t xml:space="preserve">J. Biol. Chem.</w:t>
      </w:r>
      <w:r>
        <w:rPr>
          <w:sz w:val="20"/>
        </w:rPr>
        <w:t xml:space="preserve">, vol. 276, no. 16, pp. 12556–12564, 2001. DOI</w:t>
      </w:r>
      <w:r>
        <w:rPr>
          <w:sz w:val="20"/>
        </w:rPr>
        <w:t xml:space="preserve"> </w:t>
      </w:r>
      <w:hyperlink r:id="rId77">
        <w:r>
          <w:rPr>
            <w:rStyle w:val="Hyperlink"/>
          </w:rPr>
          <w:t xml:space="preserve">10.1074/jbc.M011264200</w:t>
        </w:r>
      </w:hyperlink>
      <w:r>
        <w:rPr>
          <w:sz w:val="20"/>
        </w:rPr>
        <w:t xml:space="preserve">.</w:t>
      </w:r>
    </w:p>
    <w:p>
      <w:pPr>
        <w:pStyle w:val="BodyText"/>
        <w:widowControl/>
        <w:spacing w:after="80"/>
      </w:pPr>
      <w:r>
        <w:rPr>
          <w:sz w:val="20"/>
        </w:rPr>
        <w:t xml:space="preserve">[33] K. Tasman, S. A. Rands and J. J. L. Hodge,</w:t>
      </w:r>
      <w:r>
        <w:rPr>
          <w:sz w:val="20"/>
        </w:rPr>
        <w:t xml:space="preserve"> </w:t>
      </w:r>
      <w:r>
        <w:rPr>
          <w:sz w:val="20"/>
        </w:rPr>
        <w:t xml:space="preserve">“</w:t>
      </w:r>
      <w:r>
        <w:rPr>
          <w:sz w:val="20"/>
        </w:rPr>
        <w:t xml:space="preserve">The power of</w:t>
      </w:r>
      <w:r>
        <w:rPr>
          <w:sz w:val="20"/>
        </w:rPr>
        <w:t xml:space="preserve"> </w:t>
      </w:r>
      <w:r>
        <w:rPr>
          <w:iCs/>
          <w:i/>
          <w:sz w:val="20"/>
        </w:rPr>
        <w:t xml:space="preserve">Drosophila melanogaster</w:t>
      </w:r>
      <w:r>
        <w:rPr>
          <w:sz w:val="20"/>
        </w:rPr>
        <w:t xml:space="preserve"> </w:t>
      </w:r>
      <w:r>
        <w:rPr>
          <w:sz w:val="20"/>
        </w:rPr>
        <w:t xml:space="preserve">for modeling neonicotinoid effects on pollinators and identifying novel mechanisms,</w:t>
      </w:r>
      <w:r>
        <w:rPr>
          <w:sz w:val="20"/>
        </w:rPr>
        <w:t xml:space="preserve">”</w:t>
      </w:r>
      <w:r>
        <w:rPr>
          <w:sz w:val="20"/>
        </w:rPr>
        <w:t xml:space="preserve"> </w:t>
      </w:r>
      <w:r>
        <w:rPr>
          <w:iCs/>
          <w:i/>
          <w:sz w:val="20"/>
        </w:rPr>
        <w:t xml:space="preserve">Front. Physiol.</w:t>
      </w:r>
      <w:r>
        <w:rPr>
          <w:sz w:val="20"/>
        </w:rPr>
        <w:t xml:space="preserve">, vol. 12, art. 659440, 2021. DOI</w:t>
      </w:r>
      <w:r>
        <w:rPr>
          <w:sz w:val="20"/>
        </w:rPr>
        <w:t xml:space="preserve"> </w:t>
      </w:r>
      <w:hyperlink r:id="rId78">
        <w:r>
          <w:rPr>
            <w:rStyle w:val="Hyperlink"/>
          </w:rPr>
          <w:t xml:space="preserve">10.3389/fphys.2021.659440</w:t>
        </w:r>
      </w:hyperlink>
      <w:r>
        <w:rPr>
          <w:sz w:val="20"/>
        </w:rPr>
        <w:t xml:space="preserve">.</w:t>
      </w:r>
    </w:p>
    <w:p>
      <w:pPr>
        <w:pStyle w:val="BodyText"/>
        <w:widowControl/>
        <w:spacing w:after="80"/>
      </w:pPr>
      <w:r>
        <w:rPr>
          <w:sz w:val="20"/>
        </w:rPr>
        <w:t xml:space="preserve">[34] M. Tomizawa and J. E. Casida,</w:t>
      </w:r>
      <w:r>
        <w:rPr>
          <w:sz w:val="20"/>
        </w:rPr>
        <w:t xml:space="preserve"> </w:t>
      </w:r>
      <w:r>
        <w:rPr>
          <w:sz w:val="20"/>
        </w:rPr>
        <w:t xml:space="preserve">“</w:t>
      </w:r>
      <w:r>
        <w:rPr>
          <w:sz w:val="20"/>
        </w:rPr>
        <w:t xml:space="preserve">Selective toxicity of neonicotinoids attributable to specificity of insect and mammalian nicotinic receptors,</w:t>
      </w:r>
      <w:r>
        <w:rPr>
          <w:sz w:val="20"/>
        </w:rPr>
        <w:t xml:space="preserve">”</w:t>
      </w:r>
      <w:r>
        <w:rPr>
          <w:sz w:val="20"/>
        </w:rPr>
        <w:t xml:space="preserve"> </w:t>
      </w:r>
      <w:r>
        <w:rPr>
          <w:iCs/>
          <w:i/>
          <w:sz w:val="20"/>
        </w:rPr>
        <w:t xml:space="preserve">Annu. Rev. Entomol.</w:t>
      </w:r>
      <w:r>
        <w:rPr>
          <w:sz w:val="20"/>
        </w:rPr>
        <w:t xml:space="preserve">, vol. 48, pp. 339–364, 2003. DOI</w:t>
      </w:r>
      <w:r>
        <w:rPr>
          <w:sz w:val="20"/>
        </w:rPr>
        <w:t xml:space="preserve"> </w:t>
      </w:r>
      <w:hyperlink r:id="rId79">
        <w:r>
          <w:rPr>
            <w:rStyle w:val="Hyperlink"/>
          </w:rPr>
          <w:t xml:space="preserve">10.1146/annurev.ento.48.091801.112731</w:t>
        </w:r>
      </w:hyperlink>
      <w:r>
        <w:rPr>
          <w:sz w:val="20"/>
        </w:rPr>
        <w:t xml:space="preserve">. PMID 12208819.</w:t>
      </w:r>
    </w:p>
    <w:p>
      <w:pPr>
        <w:pStyle w:val="BodyText"/>
        <w:widowControl/>
        <w:spacing w:after="80"/>
      </w:pPr>
      <w:r>
        <w:rPr>
          <w:sz w:val="20"/>
        </w:rPr>
        <w:t xml:space="preserve">[35] M. Tomizawa and J. E. Casida,</w:t>
      </w:r>
      <w:r>
        <w:rPr>
          <w:sz w:val="20"/>
        </w:rPr>
        <w:t xml:space="preserve"> </w:t>
      </w:r>
      <w:r>
        <w:rPr>
          <w:sz w:val="20"/>
        </w:rPr>
        <w:t xml:space="preserve">“</w:t>
      </w:r>
      <w:r>
        <w:rPr>
          <w:sz w:val="20"/>
        </w:rPr>
        <w:t xml:space="preserve">Neonicotinoid insecticide toxicology: mechanisms of selective action,</w:t>
      </w:r>
      <w:r>
        <w:rPr>
          <w:sz w:val="20"/>
        </w:rPr>
        <w:t xml:space="preserve">”</w:t>
      </w:r>
      <w:r>
        <w:rPr>
          <w:sz w:val="20"/>
        </w:rPr>
        <w:t xml:space="preserve"> </w:t>
      </w:r>
      <w:r>
        <w:rPr>
          <w:iCs/>
          <w:i/>
          <w:sz w:val="20"/>
        </w:rPr>
        <w:t xml:space="preserve">Annu. Rev. Pharmacol. Toxicol.</w:t>
      </w:r>
      <w:r>
        <w:rPr>
          <w:sz w:val="20"/>
        </w:rPr>
        <w:t xml:space="preserve">, vol. 45, pp. 247–268, 2005. DOI</w:t>
      </w:r>
      <w:r>
        <w:rPr>
          <w:sz w:val="20"/>
        </w:rPr>
        <w:t xml:space="preserve"> </w:t>
      </w:r>
      <w:hyperlink r:id="rId80">
        <w:r>
          <w:rPr>
            <w:rStyle w:val="Hyperlink"/>
          </w:rPr>
          <w:t xml:space="preserve">10.1146/annurev.pharmtox.45.120403.095930</w:t>
        </w:r>
      </w:hyperlink>
      <w:r>
        <w:rPr>
          <w:sz w:val="20"/>
        </w:rPr>
        <w:t xml:space="preserve">.</w:t>
      </w:r>
    </w:p>
    <w:p>
      <w:pPr>
        <w:pStyle w:val="BodyText"/>
        <w:widowControl/>
        <w:spacing w:after="80"/>
      </w:pPr>
      <w:r>
        <w:rPr>
          <w:sz w:val="20"/>
        </w:rPr>
        <w:t xml:space="preserve">[36] M. Tomizawa, D. L. Lee and J. E. Casida,</w:t>
      </w:r>
      <w:r>
        <w:rPr>
          <w:sz w:val="20"/>
        </w:rPr>
        <w:t xml:space="preserve"> </w:t>
      </w:r>
      <w:r>
        <w:rPr>
          <w:sz w:val="20"/>
        </w:rPr>
        <w:t xml:space="preserve">“</w:t>
      </w:r>
      <w:r>
        <w:rPr>
          <w:sz w:val="20"/>
        </w:rPr>
        <w:t xml:space="preserve">Neonicotinoid insecticides: molecular features conferring selectivity for insect versus mammalian nicotinic receptors,</w:t>
      </w:r>
      <w:r>
        <w:rPr>
          <w:sz w:val="20"/>
        </w:rPr>
        <w:t xml:space="preserve">”</w:t>
      </w:r>
      <w:r>
        <w:rPr>
          <w:sz w:val="20"/>
        </w:rPr>
        <w:t xml:space="preserve"> </w:t>
      </w:r>
      <w:r>
        <w:rPr>
          <w:iCs/>
          <w:i/>
          <w:sz w:val="20"/>
        </w:rPr>
        <w:t xml:space="preserve">J. Agric. Food Chem.</w:t>
      </w:r>
      <w:r>
        <w:rPr>
          <w:sz w:val="20"/>
        </w:rPr>
        <w:t xml:space="preserve">, vol. 48, no. 12, pp. 6016–6024, 2000. DOI</w:t>
      </w:r>
      <w:r>
        <w:rPr>
          <w:sz w:val="20"/>
        </w:rPr>
        <w:t xml:space="preserve"> </w:t>
      </w:r>
      <w:hyperlink r:id="rId81">
        <w:r>
          <w:rPr>
            <w:rStyle w:val="Hyperlink"/>
          </w:rPr>
          <w:t xml:space="preserve">10.1021/jf000873c</w:t>
        </w:r>
      </w:hyperlink>
      <w:r>
        <w:rPr>
          <w:sz w:val="20"/>
        </w:rPr>
        <w:t xml:space="preserve">. PMID 11312774.</w:t>
      </w:r>
    </w:p>
    <w:p>
      <w:pPr>
        <w:pStyle w:val="BodyText"/>
        <w:widowControl/>
        <w:spacing w:after="80"/>
      </w:pPr>
      <w:r>
        <w:rPr>
          <w:sz w:val="20"/>
        </w:rPr>
        <w:t xml:space="preserve">[37] A. J. Wolstenholme,</w:t>
      </w:r>
      <w:r>
        <w:rPr>
          <w:sz w:val="20"/>
        </w:rPr>
        <w:t xml:space="preserve"> </w:t>
      </w:r>
      <w:r>
        <w:rPr>
          <w:sz w:val="20"/>
        </w:rPr>
        <w:t xml:space="preserve">“</w:t>
      </w:r>
      <w:r>
        <w:rPr>
          <w:sz w:val="20"/>
        </w:rPr>
        <w:t xml:space="preserve">Glutamate-gated chloride channels,</w:t>
      </w:r>
      <w:r>
        <w:rPr>
          <w:sz w:val="20"/>
        </w:rPr>
        <w:t xml:space="preserve">”</w:t>
      </w:r>
      <w:r>
        <w:rPr>
          <w:sz w:val="20"/>
        </w:rPr>
        <w:t xml:space="preserve"> </w:t>
      </w:r>
      <w:r>
        <w:rPr>
          <w:iCs/>
          <w:i/>
          <w:sz w:val="20"/>
        </w:rPr>
        <w:t xml:space="preserve">J. Biol. Chem.</w:t>
      </w:r>
      <w:r>
        <w:rPr>
          <w:sz w:val="20"/>
        </w:rPr>
        <w:t xml:space="preserve">, vol. 287, no. 48, pp. 40232–40238, 2012. DOI</w:t>
      </w:r>
      <w:r>
        <w:rPr>
          <w:sz w:val="20"/>
        </w:rPr>
        <w:t xml:space="preserve"> </w:t>
      </w:r>
      <w:hyperlink r:id="rId82">
        <w:r>
          <w:rPr>
            <w:rStyle w:val="Hyperlink"/>
          </w:rPr>
          <w:t xml:space="preserve">10.1074/jbc.R112.406280</w:t>
        </w:r>
      </w:hyperlink>
      <w:r>
        <w:rPr>
          <w:sz w:val="20"/>
        </w:rPr>
        <w:t xml:space="preserve">.</w:t>
      </w:r>
    </w:p>
    <w:p>
      <w:pPr>
        <w:pStyle w:val="BodyText"/>
        <w:widowControl/>
        <w:spacing w:after="80"/>
      </w:pPr>
      <w:r>
        <w:rPr>
          <w:sz w:val="20"/>
        </w:rPr>
        <w:t xml:space="preserve">[38] A. M. Allen, M. C. Neville, S. Birtles</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A single-cell transcriptomic atlas of the adult</w:t>
      </w:r>
      <w:r>
        <w:rPr>
          <w:sz w:val="20"/>
        </w:rPr>
        <w:t xml:space="preserve"> </w:t>
      </w:r>
      <w:r>
        <w:rPr>
          <w:iCs/>
          <w:i/>
          <w:sz w:val="20"/>
        </w:rPr>
        <w:t xml:space="preserve">Drosophila</w:t>
      </w:r>
      <w:r>
        <w:rPr>
          <w:sz w:val="20"/>
        </w:rPr>
        <w:t xml:space="preserve"> </w:t>
      </w:r>
      <w:r>
        <w:rPr>
          <w:sz w:val="20"/>
        </w:rPr>
        <w:t xml:space="preserve">ventral nerve cord,</w:t>
      </w:r>
      <w:r>
        <w:rPr>
          <w:sz w:val="20"/>
        </w:rPr>
        <w:t xml:space="preserve">”</w:t>
      </w:r>
      <w:r>
        <w:rPr>
          <w:sz w:val="20"/>
        </w:rPr>
        <w:t xml:space="preserve"> </w:t>
      </w:r>
      <w:r>
        <w:rPr>
          <w:iCs/>
          <w:i/>
          <w:sz w:val="20"/>
        </w:rPr>
        <w:t xml:space="preserve">eLife</w:t>
      </w:r>
      <w:r>
        <w:rPr>
          <w:sz w:val="20"/>
        </w:rPr>
        <w:t xml:space="preserve">, vol. 9, art. e54074, 2020. DOI</w:t>
      </w:r>
      <w:r>
        <w:rPr>
          <w:sz w:val="20"/>
        </w:rPr>
        <w:t xml:space="preserve"> </w:t>
      </w:r>
      <w:hyperlink r:id="rId83">
        <w:r>
          <w:rPr>
            <w:rStyle w:val="Hyperlink"/>
          </w:rPr>
          <w:t xml:space="preserve">10.7554/eLife.54074</w:t>
        </w:r>
      </w:hyperlink>
      <w:r>
        <w:rPr>
          <w:sz w:val="20"/>
        </w:rPr>
        <w:t xml:space="preserve">. PMID 32314735.</w:t>
      </w:r>
    </w:p>
    <w:p>
      <w:pPr>
        <w:pStyle w:val="BodyText"/>
        <w:widowControl/>
        <w:spacing w:after="80"/>
      </w:pPr>
      <w:r>
        <w:rPr>
          <w:sz w:val="20"/>
        </w:rPr>
        <w:t xml:space="preserve">[39] V. Croset, C. D. Treiber and S. Waddell,</w:t>
      </w:r>
      <w:r>
        <w:rPr>
          <w:sz w:val="20"/>
        </w:rPr>
        <w:t xml:space="preserve"> </w:t>
      </w:r>
      <w:r>
        <w:rPr>
          <w:sz w:val="20"/>
        </w:rPr>
        <w:t xml:space="preserve">“</w:t>
      </w:r>
      <w:r>
        <w:rPr>
          <w:sz w:val="20"/>
        </w:rPr>
        <w:t xml:space="preserve">Cellular diversity in the</w:t>
      </w:r>
      <w:r>
        <w:rPr>
          <w:sz w:val="20"/>
        </w:rPr>
        <w:t xml:space="preserve"> </w:t>
      </w:r>
      <w:r>
        <w:rPr>
          <w:iCs/>
          <w:i/>
          <w:sz w:val="20"/>
        </w:rPr>
        <w:t xml:space="preserve">Drosophila</w:t>
      </w:r>
      <w:r>
        <w:rPr>
          <w:sz w:val="20"/>
        </w:rPr>
        <w:t xml:space="preserve"> </w:t>
      </w:r>
      <w:r>
        <w:rPr>
          <w:sz w:val="20"/>
        </w:rPr>
        <w:t xml:space="preserve">midbrain revealed by single-cell transcriptomics,</w:t>
      </w:r>
      <w:r>
        <w:rPr>
          <w:sz w:val="20"/>
        </w:rPr>
        <w:t xml:space="preserve">”</w:t>
      </w:r>
      <w:r>
        <w:rPr>
          <w:sz w:val="20"/>
        </w:rPr>
        <w:t xml:space="preserve"> </w:t>
      </w:r>
      <w:r>
        <w:rPr>
          <w:iCs/>
          <w:i/>
          <w:sz w:val="20"/>
        </w:rPr>
        <w:t xml:space="preserve">eLife</w:t>
      </w:r>
      <w:r>
        <w:rPr>
          <w:sz w:val="20"/>
        </w:rPr>
        <w:t xml:space="preserve">, vol. 7, art. e34550, 2018. DOI</w:t>
      </w:r>
      <w:r>
        <w:rPr>
          <w:sz w:val="20"/>
        </w:rPr>
        <w:t xml:space="preserve"> </w:t>
      </w:r>
      <w:hyperlink r:id="rId84">
        <w:r>
          <w:rPr>
            <w:rStyle w:val="Hyperlink"/>
          </w:rPr>
          <w:t xml:space="preserve">10.7554/eLife.34550</w:t>
        </w:r>
      </w:hyperlink>
      <w:r>
        <w:rPr>
          <w:sz w:val="20"/>
        </w:rPr>
        <w:t xml:space="preserve">. PMID 29671739.</w:t>
      </w:r>
    </w:p>
    <w:p>
      <w:pPr>
        <w:pStyle w:val="BodyText"/>
        <w:widowControl/>
        <w:spacing w:after="80"/>
      </w:pPr>
      <w:r>
        <w:rPr>
          <w:sz w:val="20"/>
        </w:rPr>
        <w:t xml:space="preserve">[40] K. Davie, J. Janssens, D. Koldere</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A single-cell transcriptome atlas of the aging</w:t>
      </w:r>
      <w:r>
        <w:rPr>
          <w:sz w:val="20"/>
        </w:rPr>
        <w:t xml:space="preserve"> </w:t>
      </w:r>
      <w:r>
        <w:rPr>
          <w:iCs/>
          <w:i/>
          <w:sz w:val="20"/>
        </w:rPr>
        <w:t xml:space="preserve">Drosophila</w:t>
      </w:r>
      <w:r>
        <w:rPr>
          <w:sz w:val="20"/>
        </w:rPr>
        <w:t xml:space="preserve"> </w:t>
      </w:r>
      <w:r>
        <w:rPr>
          <w:sz w:val="20"/>
        </w:rPr>
        <w:t xml:space="preserve">brain,</w:t>
      </w:r>
      <w:r>
        <w:rPr>
          <w:sz w:val="20"/>
        </w:rPr>
        <w:t xml:space="preserve">”</w:t>
      </w:r>
      <w:r>
        <w:rPr>
          <w:sz w:val="20"/>
        </w:rPr>
        <w:t xml:space="preserve"> </w:t>
      </w:r>
      <w:r>
        <w:rPr>
          <w:iCs/>
          <w:i/>
          <w:sz w:val="20"/>
        </w:rPr>
        <w:t xml:space="preserve">Cell</w:t>
      </w:r>
      <w:r>
        <w:rPr>
          <w:sz w:val="20"/>
        </w:rPr>
        <w:t xml:space="preserve">, vol. 174, no. 4, pp. 982–998.e20, 2018. DOI</w:t>
      </w:r>
      <w:r>
        <w:rPr>
          <w:sz w:val="20"/>
        </w:rPr>
        <w:t xml:space="preserve"> </w:t>
      </w:r>
      <w:hyperlink r:id="rId85">
        <w:r>
          <w:rPr>
            <w:rStyle w:val="Hyperlink"/>
          </w:rPr>
          <w:t xml:space="preserve">10.1016/j.cell.2018.05.057</w:t>
        </w:r>
      </w:hyperlink>
      <w:r>
        <w:rPr>
          <w:sz w:val="20"/>
        </w:rPr>
        <w:t xml:space="preserve">. PMID 29909982.</w:t>
      </w:r>
    </w:p>
    <w:p>
      <w:pPr>
        <w:pStyle w:val="BodyText"/>
        <w:widowControl/>
        <w:spacing w:after="80"/>
      </w:pPr>
      <w:r>
        <w:rPr>
          <w:sz w:val="20"/>
        </w:rPr>
        <w:t xml:space="preserve">[41] L. Enell, Y. Hamasaka, A. Kolodziejczyk and D. R. Nässel,</w:t>
      </w:r>
      <w:r>
        <w:rPr>
          <w:sz w:val="20"/>
        </w:rPr>
        <w:t xml:space="preserve"> </w:t>
      </w:r>
      <w:r>
        <w:rPr>
          <w:sz w:val="20"/>
        </w:rPr>
        <w:t xml:space="preserve">“</w:t>
      </w:r>
      <w:r>
        <w:rPr>
          <w:sz w:val="20"/>
        </w:rPr>
        <w:t xml:space="preserve">γ-Aminobutyric acid (GABA) signaling components in</w:t>
      </w:r>
      <w:r>
        <w:rPr>
          <w:sz w:val="20"/>
        </w:rPr>
        <w:t xml:space="preserve"> </w:t>
      </w:r>
      <w:r>
        <w:rPr>
          <w:iCs/>
          <w:i/>
          <w:sz w:val="20"/>
        </w:rPr>
        <w:t xml:space="preserve">Drosophila</w:t>
      </w:r>
      <w:r>
        <w:rPr>
          <w:sz w:val="20"/>
        </w:rPr>
        <w:t xml:space="preserve">: immunocytochemical localization of GABA_B receptors in relation to the GABA_A receptor subunit RDL and a vesicular GABA transporter,</w:t>
      </w:r>
      <w:r>
        <w:rPr>
          <w:sz w:val="20"/>
        </w:rPr>
        <w:t xml:space="preserve">”</w:t>
      </w:r>
      <w:r>
        <w:rPr>
          <w:sz w:val="20"/>
        </w:rPr>
        <w:t xml:space="preserve"> </w:t>
      </w:r>
      <w:r>
        <w:rPr>
          <w:iCs/>
          <w:i/>
          <w:sz w:val="20"/>
        </w:rPr>
        <w:t xml:space="preserve">J. Comp. Neurol.</w:t>
      </w:r>
      <w:r>
        <w:rPr>
          <w:sz w:val="20"/>
        </w:rPr>
        <w:t xml:space="preserve">, vol. 505, no. 1, pp. 18–31, 2007. DOI</w:t>
      </w:r>
      <w:r>
        <w:rPr>
          <w:sz w:val="20"/>
        </w:rPr>
        <w:t xml:space="preserve"> </w:t>
      </w:r>
      <w:hyperlink r:id="rId86">
        <w:r>
          <w:rPr>
            <w:rStyle w:val="Hyperlink"/>
          </w:rPr>
          <w:t xml:space="preserve">10.1002/cne.21472</w:t>
        </w:r>
      </w:hyperlink>
      <w:r>
        <w:rPr>
          <w:sz w:val="20"/>
        </w:rPr>
        <w:t xml:space="preserve">. PMID 17729251.</w:t>
      </w:r>
    </w:p>
    <w:p>
      <w:pPr>
        <w:pStyle w:val="BodyText"/>
        <w:widowControl/>
        <w:spacing w:after="80"/>
      </w:pPr>
      <w:r>
        <w:rPr>
          <w:sz w:val="20"/>
        </w:rPr>
        <w:t xml:space="preserve">[42] N. Konstantinides, K. Kapuralin, C. Fadil</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Phenotypic convergence: distinct transcription factors regulate common terminal features,</w:t>
      </w:r>
      <w:r>
        <w:rPr>
          <w:sz w:val="20"/>
        </w:rPr>
        <w:t xml:space="preserve">”</w:t>
      </w:r>
      <w:r>
        <w:rPr>
          <w:sz w:val="20"/>
        </w:rPr>
        <w:t xml:space="preserve"> </w:t>
      </w:r>
      <w:r>
        <w:rPr>
          <w:iCs/>
          <w:i/>
          <w:sz w:val="20"/>
        </w:rPr>
        <w:t xml:space="preserve">Cell</w:t>
      </w:r>
      <w:r>
        <w:rPr>
          <w:sz w:val="20"/>
        </w:rPr>
        <w:t xml:space="preserve">, vol. 174, no. 3, pp. 622–635.e13, 2018. DOI</w:t>
      </w:r>
      <w:r>
        <w:rPr>
          <w:sz w:val="20"/>
        </w:rPr>
        <w:t xml:space="preserve"> </w:t>
      </w:r>
      <w:hyperlink r:id="rId87">
        <w:r>
          <w:rPr>
            <w:rStyle w:val="Hyperlink"/>
          </w:rPr>
          <w:t xml:space="preserve">10.1016/j.cell.2018.05.021</w:t>
        </w:r>
      </w:hyperlink>
      <w:r>
        <w:rPr>
          <w:sz w:val="20"/>
        </w:rPr>
        <w:t xml:space="preserve">. PMID 29909983.</w:t>
      </w:r>
    </w:p>
    <w:p>
      <w:pPr>
        <w:pStyle w:val="BodyText"/>
        <w:widowControl/>
        <w:spacing w:after="80"/>
      </w:pPr>
      <w:r>
        <w:rPr>
          <w:sz w:val="20"/>
        </w:rPr>
        <w:t xml:space="preserve">[43] H. Li, J. Janssens, M. De Waegeneer</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Fly Cell Atlas: a single-nucleus transcriptomic atlas of the adult fruit fly,</w:t>
      </w:r>
      <w:r>
        <w:rPr>
          <w:sz w:val="20"/>
        </w:rPr>
        <w:t xml:space="preserve">”</w:t>
      </w:r>
      <w:r>
        <w:rPr>
          <w:sz w:val="20"/>
        </w:rPr>
        <w:t xml:space="preserve"> </w:t>
      </w:r>
      <w:r>
        <w:rPr>
          <w:iCs/>
          <w:i/>
          <w:sz w:val="20"/>
        </w:rPr>
        <w:t xml:space="preserve">Science</w:t>
      </w:r>
      <w:r>
        <w:rPr>
          <w:sz w:val="20"/>
        </w:rPr>
        <w:t xml:space="preserve">, vol. 375, no. 6584, art. eabk2432, 2022. DOI</w:t>
      </w:r>
      <w:r>
        <w:rPr>
          <w:sz w:val="20"/>
        </w:rPr>
        <w:t xml:space="preserve"> </w:t>
      </w:r>
      <w:hyperlink r:id="rId88">
        <w:r>
          <w:rPr>
            <w:rStyle w:val="Hyperlink"/>
          </w:rPr>
          <w:t xml:space="preserve">10.1126/science.abk2432</w:t>
        </w:r>
      </w:hyperlink>
      <w:r>
        <w:rPr>
          <w:sz w:val="20"/>
        </w:rPr>
        <w:t xml:space="preserve">. PMID 35239393.</w:t>
      </w:r>
    </w:p>
    <w:p>
      <w:pPr>
        <w:pStyle w:val="BodyText"/>
        <w:widowControl/>
        <w:spacing w:after="80"/>
      </w:pPr>
      <w:r>
        <w:rPr>
          <w:sz w:val="20"/>
        </w:rPr>
        <w:t xml:space="preserve">[44] C. I. Bliss,</w:t>
      </w:r>
      <w:r>
        <w:rPr>
          <w:sz w:val="20"/>
        </w:rPr>
        <w:t xml:space="preserve"> </w:t>
      </w:r>
      <w:r>
        <w:rPr>
          <w:sz w:val="20"/>
        </w:rPr>
        <w:t xml:space="preserve">“</w:t>
      </w:r>
      <w:r>
        <w:rPr>
          <w:sz w:val="20"/>
        </w:rPr>
        <w:t xml:space="preserve">The toxicity of poisons applied jointly,</w:t>
      </w:r>
      <w:r>
        <w:rPr>
          <w:sz w:val="20"/>
        </w:rPr>
        <w:t xml:space="preserve">”</w:t>
      </w:r>
      <w:r>
        <w:rPr>
          <w:sz w:val="20"/>
        </w:rPr>
        <w:t xml:space="preserve"> </w:t>
      </w:r>
      <w:r>
        <w:rPr>
          <w:iCs/>
          <w:i/>
          <w:sz w:val="20"/>
        </w:rPr>
        <w:t xml:space="preserve">Ann. Appl. Biol.</w:t>
      </w:r>
      <w:r>
        <w:rPr>
          <w:sz w:val="20"/>
        </w:rPr>
        <w:t xml:space="preserve">, vol. 26, no. 3, pp. 585–615, 1939. DOI</w:t>
      </w:r>
      <w:r>
        <w:rPr>
          <w:sz w:val="20"/>
        </w:rPr>
        <w:t xml:space="preserve"> </w:t>
      </w:r>
      <w:hyperlink r:id="rId89">
        <w:r>
          <w:rPr>
            <w:rStyle w:val="Hyperlink"/>
          </w:rPr>
          <w:t xml:space="preserve">10.1111/j.1744-7348.1939.tb06990.x</w:t>
        </w:r>
      </w:hyperlink>
      <w:r>
        <w:rPr>
          <w:sz w:val="20"/>
        </w:rPr>
        <w:t xml:space="preserve">.</w:t>
      </w:r>
    </w:p>
    <w:p>
      <w:pPr>
        <w:pStyle w:val="BodyText"/>
        <w:widowControl/>
        <w:spacing w:after="80"/>
      </w:pPr>
      <w:r>
        <w:rPr>
          <w:sz w:val="20"/>
        </w:rPr>
        <w:t xml:space="preserve">[45] W. R. Greco, G. Bravo and J. C. Parsons,</w:t>
      </w:r>
      <w:r>
        <w:rPr>
          <w:sz w:val="20"/>
        </w:rPr>
        <w:t xml:space="preserve"> </w:t>
      </w:r>
      <w:r>
        <w:rPr>
          <w:sz w:val="20"/>
        </w:rPr>
        <w:t xml:space="preserve">“</w:t>
      </w:r>
      <w:r>
        <w:rPr>
          <w:sz w:val="20"/>
        </w:rPr>
        <w:t xml:space="preserve">The search for synergy: a critical review from a response surface perspective,</w:t>
      </w:r>
      <w:r>
        <w:rPr>
          <w:sz w:val="20"/>
        </w:rPr>
        <w:t xml:space="preserve">”</w:t>
      </w:r>
      <w:r>
        <w:rPr>
          <w:sz w:val="20"/>
        </w:rPr>
        <w:t xml:space="preserve"> </w:t>
      </w:r>
      <w:r>
        <w:rPr>
          <w:iCs/>
          <w:i/>
          <w:sz w:val="20"/>
        </w:rPr>
        <w:t xml:space="preserve">Pharmacol. Rev.</w:t>
      </w:r>
      <w:r>
        <w:rPr>
          <w:sz w:val="20"/>
        </w:rPr>
        <w:t xml:space="preserve">, vol. 47, no. 2, pp. 331–385, 1995. PMID 7568331.</w:t>
      </w:r>
    </w:p>
    <w:p>
      <w:pPr>
        <w:pStyle w:val="BodyText"/>
        <w:widowControl/>
        <w:spacing w:after="80"/>
      </w:pPr>
      <w:r>
        <w:rPr>
          <w:sz w:val="20"/>
        </w:rPr>
        <w:t xml:space="preserve">[46] Q. Huang, Y. Deng, T. Zhan and Y. He,</w:t>
      </w:r>
      <w:r>
        <w:rPr>
          <w:sz w:val="20"/>
        </w:rPr>
        <w:t xml:space="preserve"> </w:t>
      </w:r>
      <w:r>
        <w:rPr>
          <w:sz w:val="20"/>
        </w:rPr>
        <w:t xml:space="preserve">“</w:t>
      </w:r>
      <w:r>
        <w:rPr>
          <w:sz w:val="20"/>
        </w:rPr>
        <w:t xml:space="preserve">Synergistic and antagonistic effects of piperonyl butoxide in fipronil-susceptible and resistant rice stem borers,</w:t>
      </w:r>
      <w:r>
        <w:rPr>
          <w:sz w:val="20"/>
        </w:rPr>
        <w:t xml:space="preserve"> </w:t>
      </w:r>
      <w:r>
        <w:rPr>
          <w:iCs/>
          <w:i/>
          <w:sz w:val="20"/>
        </w:rPr>
        <w:t xml:space="preserve">Chilo suppressalis</w:t>
      </w:r>
      <w:r>
        <w:rPr>
          <w:sz w:val="20"/>
        </w:rPr>
        <w:t xml:space="preserve">,</w:t>
      </w:r>
      <w:r>
        <w:rPr>
          <w:sz w:val="20"/>
        </w:rPr>
        <w:t xml:space="preserve">”</w:t>
      </w:r>
      <w:r>
        <w:rPr>
          <w:sz w:val="20"/>
        </w:rPr>
        <w:t xml:space="preserve"> </w:t>
      </w:r>
      <w:r>
        <w:rPr>
          <w:iCs/>
          <w:i/>
          <w:sz w:val="20"/>
        </w:rPr>
        <w:t xml:space="preserve">J. Insect Sci.</w:t>
      </w:r>
      <w:r>
        <w:rPr>
          <w:sz w:val="20"/>
        </w:rPr>
        <w:t xml:space="preserve">, vol. 10, art. 182, 2010. DOI</w:t>
      </w:r>
      <w:r>
        <w:rPr>
          <w:sz w:val="20"/>
        </w:rPr>
        <w:t xml:space="preserve"> </w:t>
      </w:r>
      <w:hyperlink r:id="rId90">
        <w:r>
          <w:rPr>
            <w:rStyle w:val="Hyperlink"/>
          </w:rPr>
          <w:t xml:space="preserve">10.1673/031.010.14142</w:t>
        </w:r>
      </w:hyperlink>
      <w:r>
        <w:rPr>
          <w:sz w:val="20"/>
        </w:rPr>
        <w:t xml:space="preserve">. PMID 21062143.</w:t>
      </w:r>
    </w:p>
    <w:p>
      <w:pPr>
        <w:pStyle w:val="BodyText"/>
        <w:widowControl/>
        <w:spacing w:after="80"/>
      </w:pPr>
      <w:r>
        <w:rPr>
          <w:sz w:val="20"/>
        </w:rPr>
        <w:t xml:space="preserve">[47] S. Loewe and H. Muischnek,</w:t>
      </w:r>
      <w:r>
        <w:rPr>
          <w:sz w:val="20"/>
        </w:rPr>
        <w:t xml:space="preserve"> </w:t>
      </w:r>
      <w:r>
        <w:rPr>
          <w:sz w:val="20"/>
        </w:rPr>
        <w:t xml:space="preserve">“</w:t>
      </w:r>
      <w:r>
        <w:rPr>
          <w:sz w:val="20"/>
        </w:rPr>
        <w:t xml:space="preserve">Über Kombinationswirkungen: 1. Mitteilung: Hilfsmittel der Fragestellung,</w:t>
      </w:r>
      <w:r>
        <w:rPr>
          <w:sz w:val="20"/>
        </w:rPr>
        <w:t xml:space="preserve">”</w:t>
      </w:r>
      <w:r>
        <w:rPr>
          <w:sz w:val="20"/>
        </w:rPr>
        <w:t xml:space="preserve"> </w:t>
      </w:r>
      <w:r>
        <w:rPr>
          <w:iCs/>
          <w:i/>
          <w:sz w:val="20"/>
        </w:rPr>
        <w:t xml:space="preserve">Naunyn-Schmiedebergs Arch. Exp. Pathol. Pharmakol.</w:t>
      </w:r>
      <w:r>
        <w:rPr>
          <w:sz w:val="20"/>
        </w:rPr>
        <w:t xml:space="preserve">, vol. 114, pp. 313–326, 1926. DOI</w:t>
      </w:r>
      <w:r>
        <w:rPr>
          <w:sz w:val="20"/>
        </w:rPr>
        <w:t xml:space="preserve"> </w:t>
      </w:r>
      <w:hyperlink r:id="rId91">
        <w:r>
          <w:rPr>
            <w:rStyle w:val="Hyperlink"/>
          </w:rPr>
          <w:t xml:space="preserve">10.1007/BF01952257</w:t>
        </w:r>
      </w:hyperlink>
      <w:r>
        <w:rPr>
          <w:sz w:val="20"/>
        </w:rPr>
        <w:t xml:space="preserve">.</w:t>
      </w:r>
    </w:p>
    <w:p>
      <w:pPr>
        <w:pStyle w:val="BodyText"/>
        <w:widowControl/>
        <w:spacing w:after="80"/>
      </w:pPr>
      <w:r>
        <w:rPr>
          <w:sz w:val="20"/>
        </w:rPr>
        <w:t xml:space="preserve">[48] S. Loewe,</w:t>
      </w:r>
      <w:r>
        <w:rPr>
          <w:sz w:val="20"/>
        </w:rPr>
        <w:t xml:space="preserve"> </w:t>
      </w:r>
      <w:r>
        <w:rPr>
          <w:sz w:val="20"/>
        </w:rPr>
        <w:t xml:space="preserve">“</w:t>
      </w:r>
      <w:r>
        <w:rPr>
          <w:sz w:val="20"/>
        </w:rPr>
        <w:t xml:space="preserve">The problem of synergism and antagonism of combined drugs,</w:t>
      </w:r>
      <w:r>
        <w:rPr>
          <w:sz w:val="20"/>
        </w:rPr>
        <w:t xml:space="preserve">”</w:t>
      </w:r>
      <w:r>
        <w:rPr>
          <w:sz w:val="20"/>
        </w:rPr>
        <w:t xml:space="preserve"> </w:t>
      </w:r>
      <w:r>
        <w:rPr>
          <w:iCs/>
          <w:i/>
          <w:sz w:val="20"/>
        </w:rPr>
        <w:t xml:space="preserve">Arzneimittelforschung</w:t>
      </w:r>
      <w:r>
        <w:rPr>
          <w:sz w:val="20"/>
        </w:rPr>
        <w:t xml:space="preserve">, vol. 3, no. 6, pp. 285–290, 1953. PMID 13081480.</w:t>
      </w:r>
    </w:p>
    <w:p>
      <w:pPr>
        <w:pStyle w:val="BodyText"/>
        <w:widowControl/>
        <w:spacing w:after="80"/>
      </w:pPr>
      <w:r>
        <w:rPr>
          <w:sz w:val="20"/>
        </w:rPr>
        <w:t xml:space="preserve">[49] D. Philippou, V. Borzatta, E. Capparella</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The use of substituted alkynyl phenoxy derivatives of piperonyl butoxide to control insecticide-resistant pests,</w:t>
      </w:r>
      <w:r>
        <w:rPr>
          <w:sz w:val="20"/>
        </w:rPr>
        <w:t xml:space="preserve">”</w:t>
      </w:r>
      <w:r>
        <w:rPr>
          <w:sz w:val="20"/>
        </w:rPr>
        <w:t xml:space="preserve"> </w:t>
      </w:r>
      <w:r>
        <w:rPr>
          <w:iCs/>
          <w:i/>
          <w:sz w:val="20"/>
        </w:rPr>
        <w:t xml:space="preserve">Pest Manag. Sci.</w:t>
      </w:r>
      <w:r>
        <w:rPr>
          <w:sz w:val="20"/>
        </w:rPr>
        <w:t xml:space="preserve">, vol. 72, no. 10, pp. 1946–1950, 2016. DOI</w:t>
      </w:r>
      <w:r>
        <w:rPr>
          <w:sz w:val="20"/>
        </w:rPr>
        <w:t xml:space="preserve"> </w:t>
      </w:r>
      <w:hyperlink r:id="rId92">
        <w:r>
          <w:rPr>
            <w:rStyle w:val="Hyperlink"/>
          </w:rPr>
          <w:t xml:space="preserve">10.1002/ps.4234</w:t>
        </w:r>
      </w:hyperlink>
      <w:r>
        <w:rPr>
          <w:sz w:val="20"/>
        </w:rPr>
        <w:t xml:space="preserve">. PMID 26800141.</w:t>
      </w:r>
    </w:p>
    <w:p>
      <w:pPr>
        <w:pStyle w:val="BodyText"/>
        <w:widowControl/>
        <w:spacing w:after="80"/>
      </w:pPr>
      <w:r>
        <w:rPr>
          <w:sz w:val="20"/>
        </w:rPr>
        <w:t xml:space="preserve">[50] Y. C. Zhu, J. Yao, J. Adamczyk and R. Luttrell,</w:t>
      </w:r>
      <w:r>
        <w:rPr>
          <w:sz w:val="20"/>
        </w:rPr>
        <w:t xml:space="preserve"> </w:t>
      </w:r>
      <w:r>
        <w:rPr>
          <w:sz w:val="20"/>
        </w:rPr>
        <w:t xml:space="preserve">“</w:t>
      </w:r>
      <w:r>
        <w:rPr>
          <w:sz w:val="20"/>
        </w:rPr>
        <w:t xml:space="preserve">Synergistic toxicity and physiological impact of imidacloprid alone and binary mixtures with seven representative pesticides on honey bee (</w:t>
      </w:r>
      <w:r>
        <w:rPr>
          <w:iCs/>
          <w:i/>
          <w:sz w:val="20"/>
        </w:rPr>
        <w:t xml:space="preserve">Apis mellifera</w:t>
      </w:r>
      <w:r>
        <w:rPr>
          <w:sz w:val="20"/>
        </w:rPr>
        <w:t xml:space="preserve">),</w:t>
      </w:r>
      <w:r>
        <w:rPr>
          <w:sz w:val="20"/>
        </w:rPr>
        <w:t xml:space="preserve">”</w:t>
      </w:r>
      <w:r>
        <w:rPr>
          <w:sz w:val="20"/>
        </w:rPr>
        <w:t xml:space="preserve"> </w:t>
      </w:r>
      <w:r>
        <w:rPr>
          <w:iCs/>
          <w:i/>
          <w:sz w:val="20"/>
        </w:rPr>
        <w:t xml:space="preserve">PLoS ONE</w:t>
      </w:r>
      <w:r>
        <w:rPr>
          <w:sz w:val="20"/>
        </w:rPr>
        <w:t xml:space="preserve">, vol. 12, no. 5, art. e0176837, 2017. DOI</w:t>
      </w:r>
      <w:r>
        <w:rPr>
          <w:sz w:val="20"/>
        </w:rPr>
        <w:t xml:space="preserve"> </w:t>
      </w:r>
      <w:hyperlink r:id="rId93">
        <w:r>
          <w:rPr>
            <w:rStyle w:val="Hyperlink"/>
          </w:rPr>
          <w:t xml:space="preserve">10.1371/journal.pone.0176837</w:t>
        </w:r>
      </w:hyperlink>
      <w:r>
        <w:rPr>
          <w:sz w:val="20"/>
        </w:rPr>
        <w:t xml:space="preserve">. PMID 28467462.</w:t>
      </w:r>
    </w:p>
    <w:p>
      <w:pPr>
        <w:pStyle w:val="BodyText"/>
        <w:widowControl/>
        <w:spacing w:after="80"/>
      </w:pPr>
      <w:r>
        <w:rPr>
          <w:sz w:val="20"/>
        </w:rPr>
        <w:t xml:space="preserve">[51] P. J. Daborn, J. L. Yen, M. R. Bogwitz</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A single P450 allele associated with insecticide resistance in</w:t>
      </w:r>
      <w:r>
        <w:rPr>
          <w:sz w:val="20"/>
        </w:rPr>
        <w:t xml:space="preserve"> </w:t>
      </w:r>
      <w:r>
        <w:rPr>
          <w:iCs/>
          <w:i/>
          <w:sz w:val="20"/>
        </w:rPr>
        <w:t xml:space="preserve">Drosophila</w:t>
      </w:r>
      <w:r>
        <w:rPr>
          <w:sz w:val="20"/>
        </w:rPr>
        <w:t xml:space="preserve">,</w:t>
      </w:r>
      <w:r>
        <w:rPr>
          <w:sz w:val="20"/>
        </w:rPr>
        <w:t xml:space="preserve">”</w:t>
      </w:r>
      <w:r>
        <w:rPr>
          <w:sz w:val="20"/>
        </w:rPr>
        <w:t xml:space="preserve"> </w:t>
      </w:r>
      <w:r>
        <w:rPr>
          <w:iCs/>
          <w:i/>
          <w:sz w:val="20"/>
        </w:rPr>
        <w:t xml:space="preserve">Science</w:t>
      </w:r>
      <w:r>
        <w:rPr>
          <w:sz w:val="20"/>
        </w:rPr>
        <w:t xml:space="preserve">, vol. 297, no. 5590, pp. 2253–2256, 2002. DOI</w:t>
      </w:r>
      <w:r>
        <w:rPr>
          <w:sz w:val="20"/>
        </w:rPr>
        <w:t xml:space="preserve"> </w:t>
      </w:r>
      <w:hyperlink r:id="rId94">
        <w:r>
          <w:rPr>
            <w:rStyle w:val="Hyperlink"/>
          </w:rPr>
          <w:t xml:space="preserve">10.1126/science.1074170</w:t>
        </w:r>
      </w:hyperlink>
      <w:r>
        <w:rPr>
          <w:sz w:val="20"/>
        </w:rPr>
        <w:t xml:space="preserve">. PMID 12351787.</w:t>
      </w:r>
    </w:p>
    <w:p>
      <w:pPr>
        <w:pStyle w:val="BodyText"/>
        <w:widowControl/>
        <w:spacing w:after="80"/>
      </w:pPr>
      <w:r>
        <w:rPr>
          <w:sz w:val="20"/>
        </w:rPr>
        <w:t xml:space="preserve">[52] D. G. Folk, C. Han and T. J. Bradley,</w:t>
      </w:r>
      <w:r>
        <w:rPr>
          <w:sz w:val="20"/>
        </w:rPr>
        <w:t xml:space="preserve"> </w:t>
      </w:r>
      <w:r>
        <w:rPr>
          <w:sz w:val="20"/>
        </w:rPr>
        <w:t xml:space="preserve">“</w:t>
      </w:r>
      <w:r>
        <w:rPr>
          <w:sz w:val="20"/>
        </w:rPr>
        <w:t xml:space="preserve">Water acquisition and partitioning in</w:t>
      </w:r>
      <w:r>
        <w:rPr>
          <w:sz w:val="20"/>
        </w:rPr>
        <w:t xml:space="preserve"> </w:t>
      </w:r>
      <w:r>
        <w:rPr>
          <w:iCs/>
          <w:i/>
          <w:sz w:val="20"/>
        </w:rPr>
        <w:t xml:space="preserve">Drosophila melanogaster</w:t>
      </w:r>
      <w:r>
        <w:rPr>
          <w:sz w:val="20"/>
        </w:rPr>
        <w:t xml:space="preserve">: effects of selection for desiccation-resistance,</w:t>
      </w:r>
      <w:r>
        <w:rPr>
          <w:sz w:val="20"/>
        </w:rPr>
        <w:t xml:space="preserve">”</w:t>
      </w:r>
      <w:r>
        <w:rPr>
          <w:sz w:val="20"/>
        </w:rPr>
        <w:t xml:space="preserve"> </w:t>
      </w:r>
      <w:r>
        <w:rPr>
          <w:iCs/>
          <w:i/>
          <w:sz w:val="20"/>
        </w:rPr>
        <w:t xml:space="preserve">J. Exp. Biol.</w:t>
      </w:r>
      <w:r>
        <w:rPr>
          <w:sz w:val="20"/>
        </w:rPr>
        <w:t xml:space="preserve">, vol. 204, no. 19, pp. 3323–3331, 2001. DOI</w:t>
      </w:r>
      <w:r>
        <w:rPr>
          <w:sz w:val="20"/>
        </w:rPr>
        <w:t xml:space="preserve"> </w:t>
      </w:r>
      <w:hyperlink r:id="rId95">
        <w:r>
          <w:rPr>
            <w:rStyle w:val="Hyperlink"/>
          </w:rPr>
          <w:t xml:space="preserve">10.1242/jeb.204.19.3323</w:t>
        </w:r>
      </w:hyperlink>
      <w:r>
        <w:rPr>
          <w:sz w:val="20"/>
        </w:rPr>
        <w:t xml:space="preserve">. PMID 11606606.</w:t>
      </w:r>
    </w:p>
    <w:p>
      <w:pPr>
        <w:pStyle w:val="BodyText"/>
        <w:widowControl/>
        <w:spacing w:after="80"/>
      </w:pPr>
      <w:r>
        <w:rPr>
          <w:sz w:val="20"/>
        </w:rPr>
        <w:t xml:space="preserve">[53] R. Fusetto, S. Denecke, T. Perry, R. A. J. O’Hair and P. Batterham,</w:t>
      </w:r>
      <w:r>
        <w:rPr>
          <w:sz w:val="20"/>
        </w:rPr>
        <w:t xml:space="preserve"> </w:t>
      </w:r>
      <w:r>
        <w:rPr>
          <w:sz w:val="20"/>
        </w:rPr>
        <w:t xml:space="preserve">“</w:t>
      </w:r>
      <w:r>
        <w:rPr>
          <w:sz w:val="20"/>
        </w:rPr>
        <w:t xml:space="preserve">Partitioning the roles of CYP6G1 and gut microbes in the metabolism of the insecticide imidacloprid in</w:t>
      </w:r>
      <w:r>
        <w:rPr>
          <w:sz w:val="20"/>
        </w:rPr>
        <w:t xml:space="preserve"> </w:t>
      </w:r>
      <w:r>
        <w:rPr>
          <w:iCs/>
          <w:i/>
          <w:sz w:val="20"/>
        </w:rPr>
        <w:t xml:space="preserve">Drosophila melanogaster</w:t>
      </w:r>
      <w:r>
        <w:rPr>
          <w:sz w:val="20"/>
        </w:rPr>
        <w:t xml:space="preserve">,</w:t>
      </w:r>
      <w:r>
        <w:rPr>
          <w:sz w:val="20"/>
        </w:rPr>
        <w:t xml:space="preserve">”</w:t>
      </w:r>
      <w:r>
        <w:rPr>
          <w:sz w:val="20"/>
        </w:rPr>
        <w:t xml:space="preserve"> </w:t>
      </w:r>
      <w:r>
        <w:rPr>
          <w:iCs/>
          <w:i/>
          <w:sz w:val="20"/>
        </w:rPr>
        <w:t xml:space="preserve">Sci. Rep.</w:t>
      </w:r>
      <w:r>
        <w:rPr>
          <w:sz w:val="20"/>
        </w:rPr>
        <w:t xml:space="preserve">, vol. 7, art. 11339, 2017. DOI</w:t>
      </w:r>
      <w:r>
        <w:rPr>
          <w:sz w:val="20"/>
        </w:rPr>
        <w:t xml:space="preserve"> </w:t>
      </w:r>
      <w:hyperlink r:id="rId96">
        <w:r>
          <w:rPr>
            <w:rStyle w:val="Hyperlink"/>
          </w:rPr>
          <w:t xml:space="preserve">10.1038/s41598-017-09800-2</w:t>
        </w:r>
      </w:hyperlink>
      <w:r>
        <w:rPr>
          <w:sz w:val="20"/>
        </w:rPr>
        <w:t xml:space="preserve">. PMID 28900131.</w:t>
      </w:r>
    </w:p>
    <w:p>
      <w:pPr>
        <w:pStyle w:val="BodyText"/>
        <w:widowControl/>
        <w:spacing w:after="80"/>
      </w:pPr>
      <w:r>
        <w:rPr>
          <w:sz w:val="20"/>
        </w:rPr>
        <w:t xml:space="preserve">[54] N. Joußen, D. G. Heckel, M. Haas, I. Schuphan and B. Schmidt,</w:t>
      </w:r>
      <w:r>
        <w:rPr>
          <w:sz w:val="20"/>
        </w:rPr>
        <w:t xml:space="preserve"> </w:t>
      </w:r>
      <w:r>
        <w:rPr>
          <w:sz w:val="20"/>
        </w:rPr>
        <w:t xml:space="preserve">“</w:t>
      </w:r>
      <w:r>
        <w:rPr>
          <w:sz w:val="20"/>
        </w:rPr>
        <w:t xml:space="preserve">Metabolism of imidacloprid and DDT by P450 CYP6G1 expressed in cell cultures of</w:t>
      </w:r>
      <w:r>
        <w:rPr>
          <w:sz w:val="20"/>
        </w:rPr>
        <w:t xml:space="preserve"> </w:t>
      </w:r>
      <w:r>
        <w:rPr>
          <w:iCs/>
          <w:i/>
          <w:sz w:val="20"/>
        </w:rPr>
        <w:t xml:space="preserve">Nicotiana tabacum</w:t>
      </w:r>
      <w:r>
        <w:rPr>
          <w:sz w:val="20"/>
        </w:rPr>
        <w:t xml:space="preserve">,</w:t>
      </w:r>
      <w:r>
        <w:rPr>
          <w:sz w:val="20"/>
        </w:rPr>
        <w:t xml:space="preserve">”</w:t>
      </w:r>
      <w:r>
        <w:rPr>
          <w:sz w:val="20"/>
        </w:rPr>
        <w:t xml:space="preserve"> </w:t>
      </w:r>
      <w:r>
        <w:rPr>
          <w:iCs/>
          <w:i/>
          <w:sz w:val="20"/>
        </w:rPr>
        <w:t xml:space="preserve">Pest Manag. Sci.</w:t>
      </w:r>
      <w:r>
        <w:rPr>
          <w:sz w:val="20"/>
        </w:rPr>
        <w:t xml:space="preserve">, vol. 64, no. 1, pp. 65–73, 2008. DOI</w:t>
      </w:r>
      <w:r>
        <w:rPr>
          <w:sz w:val="20"/>
        </w:rPr>
        <w:t xml:space="preserve"> </w:t>
      </w:r>
      <w:hyperlink r:id="rId97">
        <w:r>
          <w:rPr>
            <w:rStyle w:val="Hyperlink"/>
          </w:rPr>
          <w:t xml:space="preserve">10.1002/ps.1472</w:t>
        </w:r>
      </w:hyperlink>
      <w:r>
        <w:rPr>
          <w:sz w:val="20"/>
        </w:rPr>
        <w:t xml:space="preserve">. PMID 17912692.</w:t>
      </w:r>
    </w:p>
    <w:p>
      <w:pPr>
        <w:pStyle w:val="BodyText"/>
        <w:widowControl/>
        <w:spacing w:after="80"/>
      </w:pPr>
      <w:r>
        <w:rPr>
          <w:sz w:val="20"/>
        </w:rPr>
        <w:t xml:space="preserve">[55] S. C. Piyankarage, H. Augustin, Y. Grosjean, D. E. Featherstone and S. A. Shippy,</w:t>
      </w:r>
      <w:r>
        <w:rPr>
          <w:sz w:val="20"/>
        </w:rPr>
        <w:t xml:space="preserve"> </w:t>
      </w:r>
      <w:r>
        <w:rPr>
          <w:sz w:val="20"/>
        </w:rPr>
        <w:t xml:space="preserve">“</w:t>
      </w:r>
      <w:r>
        <w:rPr>
          <w:sz w:val="20"/>
        </w:rPr>
        <w:t xml:space="preserve">Hemolymph amino acid analysis of individual</w:t>
      </w:r>
      <w:r>
        <w:rPr>
          <w:sz w:val="20"/>
        </w:rPr>
        <w:t xml:space="preserve"> </w:t>
      </w:r>
      <w:r>
        <w:rPr>
          <w:iCs/>
          <w:i/>
          <w:sz w:val="20"/>
        </w:rPr>
        <w:t xml:space="preserve">Drosophila</w:t>
      </w:r>
      <w:r>
        <w:rPr>
          <w:sz w:val="20"/>
        </w:rPr>
        <w:t xml:space="preserve"> </w:t>
      </w:r>
      <w:r>
        <w:rPr>
          <w:sz w:val="20"/>
        </w:rPr>
        <w:t xml:space="preserve">larvae,</w:t>
      </w:r>
      <w:r>
        <w:rPr>
          <w:sz w:val="20"/>
        </w:rPr>
        <w:t xml:space="preserve">”</w:t>
      </w:r>
      <w:r>
        <w:rPr>
          <w:sz w:val="20"/>
        </w:rPr>
        <w:t xml:space="preserve"> </w:t>
      </w:r>
      <w:r>
        <w:rPr>
          <w:iCs/>
          <w:i/>
          <w:sz w:val="20"/>
        </w:rPr>
        <w:t xml:space="preserve">Anal. Chem.</w:t>
      </w:r>
      <w:r>
        <w:rPr>
          <w:sz w:val="20"/>
        </w:rPr>
        <w:t xml:space="preserve">, vol. 80, no. 4, pp. 1201–1207, 2008. DOI</w:t>
      </w:r>
      <w:r>
        <w:rPr>
          <w:sz w:val="20"/>
        </w:rPr>
        <w:t xml:space="preserve"> </w:t>
      </w:r>
      <w:hyperlink r:id="rId98">
        <w:r>
          <w:rPr>
            <w:rStyle w:val="Hyperlink"/>
          </w:rPr>
          <w:t xml:space="preserve">10.1021/ac701785z</w:t>
        </w:r>
      </w:hyperlink>
      <w:r>
        <w:rPr>
          <w:sz w:val="20"/>
        </w:rPr>
        <w:t xml:space="preserve">.</w:t>
      </w:r>
    </w:p>
    <w:p>
      <w:pPr>
        <w:pStyle w:val="BodyText"/>
        <w:widowControl/>
        <w:spacing w:after="80"/>
      </w:pPr>
      <w:r>
        <w:rPr>
          <w:sz w:val="20"/>
        </w:rPr>
        <w:t xml:space="preserve">[56] S. C. Piyankarage, D. E. Featherstone and S. A. Shippy,</w:t>
      </w:r>
      <w:r>
        <w:rPr>
          <w:sz w:val="20"/>
        </w:rPr>
        <w:t xml:space="preserve"> </w:t>
      </w:r>
      <w:r>
        <w:rPr>
          <w:sz w:val="20"/>
        </w:rPr>
        <w:t xml:space="preserve">“</w:t>
      </w:r>
      <w:r>
        <w:rPr>
          <w:sz w:val="20"/>
        </w:rPr>
        <w:t xml:space="preserve">Nanoliter hemolymph sampling and analysis of individual adult</w:t>
      </w:r>
      <w:r>
        <w:rPr>
          <w:sz w:val="20"/>
        </w:rPr>
        <w:t xml:space="preserve"> </w:t>
      </w:r>
      <w:r>
        <w:rPr>
          <w:iCs/>
          <w:i/>
          <w:sz w:val="20"/>
        </w:rPr>
        <w:t xml:space="preserve">Drosophila melanogaster</w:t>
      </w:r>
      <w:r>
        <w:rPr>
          <w:sz w:val="20"/>
        </w:rPr>
        <w:t xml:space="preserve">,</w:t>
      </w:r>
      <w:r>
        <w:rPr>
          <w:sz w:val="20"/>
        </w:rPr>
        <w:t xml:space="preserve">”</w:t>
      </w:r>
      <w:r>
        <w:rPr>
          <w:sz w:val="20"/>
        </w:rPr>
        <w:t xml:space="preserve"> </w:t>
      </w:r>
      <w:r>
        <w:rPr>
          <w:iCs/>
          <w:i/>
          <w:sz w:val="20"/>
        </w:rPr>
        <w:t xml:space="preserve">Anal. Chem.</w:t>
      </w:r>
      <w:r>
        <w:rPr>
          <w:sz w:val="20"/>
        </w:rPr>
        <w:t xml:space="preserve">, vol. 84, no. 10, pp. 4460–4466, 2012. DOI</w:t>
      </w:r>
      <w:r>
        <w:rPr>
          <w:sz w:val="20"/>
        </w:rPr>
        <w:t xml:space="preserve"> </w:t>
      </w:r>
      <w:hyperlink r:id="rId99">
        <w:r>
          <w:rPr>
            <w:rStyle w:val="Hyperlink"/>
          </w:rPr>
          <w:t xml:space="preserve">10.1021/ac3002319</w:t>
        </w:r>
      </w:hyperlink>
      <w:r>
        <w:rPr>
          <w:sz w:val="20"/>
        </w:rPr>
        <w:t xml:space="preserve">.</w:t>
      </w:r>
    </w:p>
    <w:p>
      <w:pPr>
        <w:pStyle w:val="BodyText"/>
        <w:widowControl/>
        <w:spacing w:after="80"/>
      </w:pPr>
      <w:r>
        <w:rPr>
          <w:sz w:val="20"/>
        </w:rPr>
        <w:t xml:space="preserve">[57] S. Suchail, L. Debrauwer and L. P. Belzunces,</w:t>
      </w:r>
      <w:r>
        <w:rPr>
          <w:sz w:val="20"/>
        </w:rPr>
        <w:t xml:space="preserve"> </w:t>
      </w:r>
      <w:r>
        <w:rPr>
          <w:sz w:val="20"/>
        </w:rPr>
        <w:t xml:space="preserve">“</w:t>
      </w:r>
      <w:r>
        <w:rPr>
          <w:sz w:val="20"/>
        </w:rPr>
        <w:t xml:space="preserve">Metabolism of imidacloprid in</w:t>
      </w:r>
      <w:r>
        <w:rPr>
          <w:sz w:val="20"/>
        </w:rPr>
        <w:t xml:space="preserve"> </w:t>
      </w:r>
      <w:r>
        <w:rPr>
          <w:iCs/>
          <w:i/>
          <w:sz w:val="20"/>
        </w:rPr>
        <w:t xml:space="preserve">Apis mellifera</w:t>
      </w:r>
      <w:r>
        <w:rPr>
          <w:sz w:val="20"/>
        </w:rPr>
        <w:t xml:space="preserve">,</w:t>
      </w:r>
      <w:r>
        <w:rPr>
          <w:sz w:val="20"/>
        </w:rPr>
        <w:t xml:space="preserve">”</w:t>
      </w:r>
      <w:r>
        <w:rPr>
          <w:sz w:val="20"/>
        </w:rPr>
        <w:t xml:space="preserve"> </w:t>
      </w:r>
      <w:r>
        <w:rPr>
          <w:iCs/>
          <w:i/>
          <w:sz w:val="20"/>
        </w:rPr>
        <w:t xml:space="preserve">Pest Manag. Sci.</w:t>
      </w:r>
      <w:r>
        <w:rPr>
          <w:sz w:val="20"/>
        </w:rPr>
        <w:t xml:space="preserve">, vol. 60, no. 3, pp. 291–296, 2004. DOI</w:t>
      </w:r>
      <w:r>
        <w:rPr>
          <w:sz w:val="20"/>
        </w:rPr>
        <w:t xml:space="preserve"> </w:t>
      </w:r>
      <w:hyperlink r:id="rId100">
        <w:r>
          <w:rPr>
            <w:rStyle w:val="Hyperlink"/>
          </w:rPr>
          <w:t xml:space="preserve">10.1002/ps.772</w:t>
        </w:r>
      </w:hyperlink>
      <w:r>
        <w:rPr>
          <w:sz w:val="20"/>
        </w:rPr>
        <w:t xml:space="preserve">. PMID 15025241.</w:t>
      </w:r>
    </w:p>
    <w:p>
      <w:pPr>
        <w:pStyle w:val="BodyText"/>
        <w:widowControl/>
        <w:spacing w:after="80"/>
      </w:pPr>
      <w:r>
        <w:rPr>
          <w:sz w:val="20"/>
        </w:rPr>
        <w:t xml:space="preserve">[58] S. Suchail, G. De Sousa, R. Rahmani and L. P. Belzunces,</w:t>
      </w:r>
      <w:r>
        <w:rPr>
          <w:sz w:val="20"/>
        </w:rPr>
        <w:t xml:space="preserve"> </w:t>
      </w:r>
      <w:r>
        <w:rPr>
          <w:sz w:val="20"/>
        </w:rPr>
        <w:t xml:space="preserve">“</w:t>
      </w:r>
      <w:r>
        <w:rPr>
          <w:sz w:val="20"/>
        </w:rPr>
        <w:t xml:space="preserve">In vivo distribution and metabolisation of ¹⁴C-imidacloprid in different compartments of</w:t>
      </w:r>
      <w:r>
        <w:rPr>
          <w:sz w:val="20"/>
        </w:rPr>
        <w:t xml:space="preserve"> </w:t>
      </w:r>
      <w:r>
        <w:rPr>
          <w:iCs/>
          <w:i/>
          <w:sz w:val="20"/>
        </w:rPr>
        <w:t xml:space="preserve">Apis mellifera</w:t>
      </w:r>
      <w:r>
        <w:rPr>
          <w:sz w:val="20"/>
        </w:rPr>
        <w:t xml:space="preserve"> </w:t>
      </w:r>
      <w:r>
        <w:rPr>
          <w:sz w:val="20"/>
        </w:rPr>
        <w:t xml:space="preserve">L.,</w:t>
      </w:r>
      <w:r>
        <w:rPr>
          <w:sz w:val="20"/>
        </w:rPr>
        <w:t xml:space="preserve">”</w:t>
      </w:r>
      <w:r>
        <w:rPr>
          <w:sz w:val="20"/>
        </w:rPr>
        <w:t xml:space="preserve"> </w:t>
      </w:r>
      <w:r>
        <w:rPr>
          <w:iCs/>
          <w:i/>
          <w:sz w:val="20"/>
        </w:rPr>
        <w:t xml:space="preserve">Pest Manag. Sci.</w:t>
      </w:r>
      <w:r>
        <w:rPr>
          <w:sz w:val="20"/>
        </w:rPr>
        <w:t xml:space="preserve">, vol. 60, no. 11, pp. 1056–1062, 2004. DOI</w:t>
      </w:r>
      <w:r>
        <w:rPr>
          <w:sz w:val="20"/>
        </w:rPr>
        <w:t xml:space="preserve"> </w:t>
      </w:r>
      <w:hyperlink r:id="rId101">
        <w:r>
          <w:rPr>
            <w:rStyle w:val="Hyperlink"/>
          </w:rPr>
          <w:t xml:space="preserve">10.1002/ps.895</w:t>
        </w:r>
      </w:hyperlink>
      <w:r>
        <w:rPr>
          <w:sz w:val="20"/>
        </w:rPr>
        <w:t xml:space="preserve">.</w:t>
      </w:r>
    </w:p>
    <w:p>
      <w:pPr>
        <w:pStyle w:val="BodyText"/>
        <w:widowControl/>
        <w:spacing w:after="80"/>
      </w:pPr>
      <w:r>
        <w:rPr>
          <w:sz w:val="20"/>
        </w:rPr>
        <w:t xml:space="preserve">[59] W. Cao, L. Song, J. Cheng</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An automated rapid iterative negative geotaxis assay for analyzing adult climbing behavior in a</w:t>
      </w:r>
      <w:r>
        <w:rPr>
          <w:sz w:val="20"/>
        </w:rPr>
        <w:t xml:space="preserve"> </w:t>
      </w:r>
      <w:r>
        <w:rPr>
          <w:iCs/>
          <w:i/>
          <w:sz w:val="20"/>
        </w:rPr>
        <w:t xml:space="preserve">Drosophila</w:t>
      </w:r>
      <w:r>
        <w:rPr>
          <w:sz w:val="20"/>
        </w:rPr>
        <w:t xml:space="preserve"> </w:t>
      </w:r>
      <w:r>
        <w:rPr>
          <w:sz w:val="20"/>
        </w:rPr>
        <w:t xml:space="preserve">model of neurodegeneration,</w:t>
      </w:r>
      <w:r>
        <w:rPr>
          <w:sz w:val="20"/>
        </w:rPr>
        <w:t xml:space="preserve">”</w:t>
      </w:r>
      <w:r>
        <w:rPr>
          <w:sz w:val="20"/>
        </w:rPr>
        <w:t xml:space="preserve"> </w:t>
      </w:r>
      <w:r>
        <w:rPr>
          <w:iCs/>
          <w:i/>
          <w:sz w:val="20"/>
        </w:rPr>
        <w:t xml:space="preserve">J. Vis. Exp.</w:t>
      </w:r>
      <w:r>
        <w:rPr>
          <w:sz w:val="20"/>
        </w:rPr>
        <w:t xml:space="preserve">, no. 127, art. 56507, 2017. DOI</w:t>
      </w:r>
      <w:r>
        <w:rPr>
          <w:sz w:val="20"/>
        </w:rPr>
        <w:t xml:space="preserve"> </w:t>
      </w:r>
      <w:hyperlink r:id="rId102">
        <w:r>
          <w:rPr>
            <w:rStyle w:val="Hyperlink"/>
          </w:rPr>
          <w:t xml:space="preserve">10.3791/56507</w:t>
        </w:r>
      </w:hyperlink>
      <w:r>
        <w:rPr>
          <w:sz w:val="20"/>
        </w:rPr>
        <w:t xml:space="preserve">. PMID 28931001.</w:t>
      </w:r>
    </w:p>
    <w:p>
      <w:pPr>
        <w:pStyle w:val="BodyText"/>
        <w:widowControl/>
        <w:spacing w:after="80"/>
      </w:pPr>
      <w:r>
        <w:rPr>
          <w:sz w:val="20"/>
        </w:rPr>
        <w:t xml:space="preserve">[60] M. Ö. Çevik and A. Erden,</w:t>
      </w:r>
      <w:r>
        <w:rPr>
          <w:sz w:val="20"/>
        </w:rPr>
        <w:t xml:space="preserve"> </w:t>
      </w:r>
      <w:r>
        <w:rPr>
          <w:sz w:val="20"/>
        </w:rPr>
        <w:t xml:space="preserve">“</w:t>
      </w:r>
      <w:r>
        <w:rPr>
          <w:sz w:val="20"/>
        </w:rPr>
        <w:t xml:space="preserve">The course of habituation of the proboscis extension reflex can be predicted by sucrose responsiveness in</w:t>
      </w:r>
      <w:r>
        <w:rPr>
          <w:sz w:val="20"/>
        </w:rPr>
        <w:t xml:space="preserve"> </w:t>
      </w:r>
      <w:r>
        <w:rPr>
          <w:iCs/>
          <w:i/>
          <w:sz w:val="20"/>
        </w:rPr>
        <w:t xml:space="preserve">Drosophila</w:t>
      </w:r>
      <w:r>
        <w:rPr>
          <w:sz w:val="20"/>
        </w:rPr>
        <w:t xml:space="preserve">,</w:t>
      </w:r>
      <w:r>
        <w:rPr>
          <w:sz w:val="20"/>
        </w:rPr>
        <w:t xml:space="preserve">”</w:t>
      </w:r>
      <w:r>
        <w:rPr>
          <w:sz w:val="20"/>
        </w:rPr>
        <w:t xml:space="preserve"> </w:t>
      </w:r>
      <w:r>
        <w:rPr>
          <w:iCs/>
          <w:i/>
          <w:sz w:val="20"/>
        </w:rPr>
        <w:t xml:space="preserve">PLoS ONE</w:t>
      </w:r>
      <w:r>
        <w:rPr>
          <w:sz w:val="20"/>
        </w:rPr>
        <w:t xml:space="preserve">, vol. 7, no. 6, art. e39863, 2012. DOI</w:t>
      </w:r>
      <w:r>
        <w:rPr>
          <w:sz w:val="20"/>
        </w:rPr>
        <w:t xml:space="preserve"> </w:t>
      </w:r>
      <w:hyperlink r:id="rId103">
        <w:r>
          <w:rPr>
            <w:rStyle w:val="Hyperlink"/>
          </w:rPr>
          <w:t xml:space="preserve">10.1371/journal.pone.0039863</w:t>
        </w:r>
      </w:hyperlink>
      <w:r>
        <w:rPr>
          <w:sz w:val="20"/>
        </w:rPr>
        <w:t xml:space="preserve">. PMID 22761915.</w:t>
      </w:r>
    </w:p>
    <w:p>
      <w:pPr>
        <w:pStyle w:val="BodyText"/>
        <w:widowControl/>
        <w:spacing w:after="80"/>
      </w:pPr>
      <w:r>
        <w:rPr>
          <w:sz w:val="20"/>
        </w:rPr>
        <w:t xml:space="preserve">[61] W. Chen, X. Gu, Y. T. Yang, P. Batterham and T. Perry,</w:t>
      </w:r>
      <w:r>
        <w:rPr>
          <w:sz w:val="20"/>
        </w:rPr>
        <w:t xml:space="preserve"> </w:t>
      </w:r>
      <w:r>
        <w:rPr>
          <w:sz w:val="20"/>
        </w:rPr>
        <w:t xml:space="preserve">“</w:t>
      </w:r>
      <w:r>
        <w:rPr>
          <w:sz w:val="20"/>
        </w:rPr>
        <w:t xml:space="preserve">Dual nicotinic acetylcholine receptor subunit gene knockouts reveal limits to functional redundancy,</w:t>
      </w:r>
      <w:r>
        <w:rPr>
          <w:sz w:val="20"/>
        </w:rPr>
        <w:t xml:space="preserve">”</w:t>
      </w:r>
      <w:r>
        <w:rPr>
          <w:sz w:val="20"/>
        </w:rPr>
        <w:t xml:space="preserve"> </w:t>
      </w:r>
      <w:r>
        <w:rPr>
          <w:iCs/>
          <w:i/>
          <w:sz w:val="20"/>
        </w:rPr>
        <w:t xml:space="preserve">Pestic. Biochem. Physiol.</w:t>
      </w:r>
      <w:r>
        <w:rPr>
          <w:sz w:val="20"/>
        </w:rPr>
        <w:t xml:space="preserve">, vol. 184, art. 105118, 2022. DOI</w:t>
      </w:r>
      <w:r>
        <w:rPr>
          <w:sz w:val="20"/>
        </w:rPr>
        <w:t xml:space="preserve"> </w:t>
      </w:r>
      <w:hyperlink r:id="rId104">
        <w:r>
          <w:rPr>
            <w:rStyle w:val="Hyperlink"/>
          </w:rPr>
          <w:t xml:space="preserve">10.1016/j.pestbp.2022.105118</w:t>
        </w:r>
      </w:hyperlink>
      <w:r>
        <w:rPr>
          <w:sz w:val="20"/>
        </w:rPr>
        <w:t xml:space="preserve">. PMID 35715057.</w:t>
      </w:r>
    </w:p>
    <w:p>
      <w:pPr>
        <w:pStyle w:val="BodyText"/>
        <w:widowControl/>
        <w:spacing w:after="80"/>
      </w:pPr>
      <w:r>
        <w:rPr>
          <w:sz w:val="20"/>
        </w:rPr>
        <w:t xml:space="preserve">[62] A. S. French, M. J. Sellier, M. Ali Agha</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Dual mechanism for bitter avoidance in</w:t>
      </w:r>
      <w:r>
        <w:rPr>
          <w:sz w:val="20"/>
        </w:rPr>
        <w:t xml:space="preserve"> </w:t>
      </w:r>
      <w:r>
        <w:rPr>
          <w:iCs/>
          <w:i/>
          <w:sz w:val="20"/>
        </w:rPr>
        <w:t xml:space="preserve">Drosophila</w:t>
      </w:r>
      <w:r>
        <w:rPr>
          <w:sz w:val="20"/>
        </w:rPr>
        <w:t xml:space="preserve">,</w:t>
      </w:r>
      <w:r>
        <w:rPr>
          <w:sz w:val="20"/>
        </w:rPr>
        <w:t xml:space="preserve">”</w:t>
      </w:r>
      <w:r>
        <w:rPr>
          <w:sz w:val="20"/>
        </w:rPr>
        <w:t xml:space="preserve"> </w:t>
      </w:r>
      <w:r>
        <w:rPr>
          <w:iCs/>
          <w:i/>
          <w:sz w:val="20"/>
        </w:rPr>
        <w:t xml:space="preserve">J. Neurosci.</w:t>
      </w:r>
      <w:r>
        <w:rPr>
          <w:sz w:val="20"/>
        </w:rPr>
        <w:t xml:space="preserve">, vol. 35, no. 9, pp. 3990–4004, 2015. DOI</w:t>
      </w:r>
      <w:r>
        <w:rPr>
          <w:sz w:val="20"/>
        </w:rPr>
        <w:t xml:space="preserve"> </w:t>
      </w:r>
      <w:hyperlink r:id="rId105">
        <w:r>
          <w:rPr>
            <w:rStyle w:val="Hyperlink"/>
          </w:rPr>
          <w:t xml:space="preserve">10.1523/JNEUROSCI.1312-14.2015</w:t>
        </w:r>
      </w:hyperlink>
      <w:r>
        <w:rPr>
          <w:sz w:val="20"/>
        </w:rPr>
        <w:t xml:space="preserve">. PMID 25740527.</w:t>
      </w:r>
    </w:p>
    <w:p>
      <w:pPr>
        <w:pStyle w:val="BodyText"/>
        <w:widowControl/>
        <w:spacing w:after="80"/>
      </w:pPr>
      <w:r>
        <w:rPr>
          <w:sz w:val="20"/>
        </w:rPr>
        <w:t xml:space="preserve">[63] J. W. Gargano, I. Martin, P. Bhandari and M. S. Grotewiel,</w:t>
      </w:r>
      <w:r>
        <w:rPr>
          <w:sz w:val="20"/>
        </w:rPr>
        <w:t xml:space="preserve"> </w:t>
      </w:r>
      <w:r>
        <w:rPr>
          <w:sz w:val="20"/>
        </w:rPr>
        <w:t xml:space="preserve">“</w:t>
      </w:r>
      <w:r>
        <w:rPr>
          <w:sz w:val="20"/>
        </w:rPr>
        <w:t xml:space="preserve">Rapid iterative negative geotaxis (RING): a new method for assessing age-related locomotor decline in</w:t>
      </w:r>
      <w:r>
        <w:rPr>
          <w:sz w:val="20"/>
        </w:rPr>
        <w:t xml:space="preserve"> </w:t>
      </w:r>
      <w:r>
        <w:rPr>
          <w:iCs/>
          <w:i/>
          <w:sz w:val="20"/>
        </w:rPr>
        <w:t xml:space="preserve">Drosophila</w:t>
      </w:r>
      <w:r>
        <w:rPr>
          <w:sz w:val="20"/>
        </w:rPr>
        <w:t xml:space="preserve">,</w:t>
      </w:r>
      <w:r>
        <w:rPr>
          <w:sz w:val="20"/>
        </w:rPr>
        <w:t xml:space="preserve">”</w:t>
      </w:r>
      <w:r>
        <w:rPr>
          <w:sz w:val="20"/>
        </w:rPr>
        <w:t xml:space="preserve"> </w:t>
      </w:r>
      <w:r>
        <w:rPr>
          <w:iCs/>
          <w:i/>
          <w:sz w:val="20"/>
        </w:rPr>
        <w:t xml:space="preserve">Exp. Gerontol.</w:t>
      </w:r>
      <w:r>
        <w:rPr>
          <w:sz w:val="20"/>
        </w:rPr>
        <w:t xml:space="preserve">, vol. 40, no. 5, pp. 386–395, 2005. DOI</w:t>
      </w:r>
      <w:r>
        <w:rPr>
          <w:sz w:val="20"/>
        </w:rPr>
        <w:t xml:space="preserve"> </w:t>
      </w:r>
      <w:hyperlink r:id="rId106">
        <w:r>
          <w:rPr>
            <w:rStyle w:val="Hyperlink"/>
          </w:rPr>
          <w:t xml:space="preserve">10.1016/j.exger.2005.02.005</w:t>
        </w:r>
      </w:hyperlink>
      <w:r>
        <w:rPr>
          <w:sz w:val="20"/>
        </w:rPr>
        <w:t xml:space="preserve">. PMID 15919590.</w:t>
      </w:r>
    </w:p>
    <w:p>
      <w:pPr>
        <w:pStyle w:val="BodyText"/>
        <w:widowControl/>
        <w:spacing w:after="80"/>
      </w:pPr>
      <w:r>
        <w:rPr>
          <w:sz w:val="20"/>
        </w:rPr>
        <w:t xml:space="preserve">[64] H. Y. Lee, L. Zhou, S. Ghanta</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Mechanisms of naturally evolved ethanol resistance in</w:t>
      </w:r>
      <w:r>
        <w:rPr>
          <w:sz w:val="20"/>
        </w:rPr>
        <w:t xml:space="preserve"> </w:t>
      </w:r>
      <w:r>
        <w:rPr>
          <w:iCs/>
          <w:i/>
          <w:sz w:val="20"/>
        </w:rPr>
        <w:t xml:space="preserve">Drosophila melanogaster</w:t>
      </w:r>
      <w:r>
        <w:rPr>
          <w:sz w:val="20"/>
        </w:rPr>
        <w:t xml:space="preserve">,</w:t>
      </w:r>
      <w:r>
        <w:rPr>
          <w:sz w:val="20"/>
        </w:rPr>
        <w:t xml:space="preserve">”</w:t>
      </w:r>
      <w:r>
        <w:rPr>
          <w:sz w:val="20"/>
        </w:rPr>
        <w:t xml:space="preserve"> </w:t>
      </w:r>
      <w:r>
        <w:rPr>
          <w:iCs/>
          <w:i/>
          <w:sz w:val="20"/>
        </w:rPr>
        <w:t xml:space="preserve">J. Exp. Biol.</w:t>
      </w:r>
      <w:r>
        <w:rPr>
          <w:sz w:val="20"/>
        </w:rPr>
        <w:t xml:space="preserve">, 2014. DOI</w:t>
      </w:r>
      <w:r>
        <w:rPr>
          <w:sz w:val="20"/>
        </w:rPr>
        <w:t xml:space="preserve"> </w:t>
      </w:r>
      <w:hyperlink r:id="rId107">
        <w:r>
          <w:rPr>
            <w:rStyle w:val="Hyperlink"/>
          </w:rPr>
          <w:t xml:space="preserve">10.1242/jeb.110510</w:t>
        </w:r>
      </w:hyperlink>
      <w:r>
        <w:rPr>
          <w:sz w:val="20"/>
        </w:rPr>
        <w:t xml:space="preserve">.</w:t>
      </w:r>
    </w:p>
    <w:p>
      <w:pPr>
        <w:pStyle w:val="BodyText"/>
        <w:widowControl/>
        <w:spacing w:after="80"/>
      </w:pPr>
      <w:r>
        <w:rPr>
          <w:sz w:val="20"/>
        </w:rPr>
        <w:t xml:space="preserve">[65] F. Martelli, Z. Zhongyuan, J. Wang</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Low doses of the neonicotinoid insecticide imidacloprid induce ROS triggering neurological and metabolic impairments in</w:t>
      </w:r>
      <w:r>
        <w:rPr>
          <w:sz w:val="20"/>
        </w:rPr>
        <w:t xml:space="preserve"> </w:t>
      </w:r>
      <w:r>
        <w:rPr>
          <w:iCs/>
          <w:i/>
          <w:sz w:val="20"/>
        </w:rPr>
        <w:t xml:space="preserve">Drosophila</w:t>
      </w:r>
      <w:r>
        <w:rPr>
          <w:sz w:val="20"/>
        </w:rPr>
        <w:t xml:space="preserve">,</w:t>
      </w:r>
      <w:r>
        <w:rPr>
          <w:sz w:val="20"/>
        </w:rPr>
        <w:t xml:space="preserve">”</w:t>
      </w:r>
      <w:r>
        <w:rPr>
          <w:sz w:val="20"/>
        </w:rPr>
        <w:t xml:space="preserve"> </w:t>
      </w:r>
      <w:r>
        <w:rPr>
          <w:iCs/>
          <w:i/>
          <w:sz w:val="20"/>
        </w:rPr>
        <w:t xml:space="preserve">Proc. Natl. Acad. Sci. USA</w:t>
      </w:r>
      <w:r>
        <w:rPr>
          <w:sz w:val="20"/>
        </w:rPr>
        <w:t xml:space="preserve">, vol. 117, no. 41, pp. 25840–25850, 2020. DOI</w:t>
      </w:r>
      <w:r>
        <w:rPr>
          <w:sz w:val="20"/>
        </w:rPr>
        <w:t xml:space="preserve"> </w:t>
      </w:r>
      <w:hyperlink r:id="rId108">
        <w:r>
          <w:rPr>
            <w:rStyle w:val="Hyperlink"/>
          </w:rPr>
          <w:t xml:space="preserve">10.1073/pnas.2011828117</w:t>
        </w:r>
      </w:hyperlink>
      <w:r>
        <w:rPr>
          <w:sz w:val="20"/>
        </w:rPr>
        <w:t xml:space="preserve">. PMID 32989137.</w:t>
      </w:r>
    </w:p>
    <w:p>
      <w:pPr>
        <w:pStyle w:val="BodyText"/>
        <w:widowControl/>
        <w:spacing w:after="80"/>
      </w:pPr>
      <w:r>
        <w:rPr>
          <w:sz w:val="20"/>
        </w:rPr>
        <w:t xml:space="preserve">[66] M. J. Burton, I. R. Mellor, I. R. Duce</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Differential resistance of insect sodium channels with kdr mutations to deltamethrin, permethrin and DDT,</w:t>
      </w:r>
      <w:r>
        <w:rPr>
          <w:sz w:val="20"/>
        </w:rPr>
        <w:t xml:space="preserve">”</w:t>
      </w:r>
      <w:r>
        <w:rPr>
          <w:sz w:val="20"/>
        </w:rPr>
        <w:t xml:space="preserve"> </w:t>
      </w:r>
      <w:r>
        <w:rPr>
          <w:iCs/>
          <w:i/>
          <w:sz w:val="20"/>
        </w:rPr>
        <w:t xml:space="preserve">Insect Biochem. Mol. Biol.</w:t>
      </w:r>
      <w:r>
        <w:rPr>
          <w:sz w:val="20"/>
        </w:rPr>
        <w:t xml:space="preserve">, vol. 41, no. 9, pp. 723–732, 2011. DOI</w:t>
      </w:r>
      <w:r>
        <w:rPr>
          <w:sz w:val="20"/>
        </w:rPr>
        <w:t xml:space="preserve"> </w:t>
      </w:r>
      <w:hyperlink r:id="rId109">
        <w:r>
          <w:rPr>
            <w:rStyle w:val="Hyperlink"/>
          </w:rPr>
          <w:t xml:space="preserve">10.1016/j.ibmb.2011.05.004</w:t>
        </w:r>
      </w:hyperlink>
      <w:r>
        <w:rPr>
          <w:sz w:val="20"/>
        </w:rPr>
        <w:t xml:space="preserve">.</w:t>
      </w:r>
    </w:p>
    <w:p>
      <w:pPr>
        <w:pStyle w:val="BodyText"/>
        <w:widowControl/>
        <w:spacing w:after="80"/>
      </w:pPr>
      <w:r>
        <w:rPr>
          <w:sz w:val="20"/>
        </w:rPr>
        <w:t xml:space="preserve">[67] A. A. Lazar, T. Liu, M. K. Turkcan and Y. Zhou,</w:t>
      </w:r>
      <w:r>
        <w:rPr>
          <w:sz w:val="20"/>
        </w:rPr>
        <w:t xml:space="preserve"> </w:t>
      </w:r>
      <w:r>
        <w:rPr>
          <w:sz w:val="20"/>
        </w:rPr>
        <w:t xml:space="preserve">“</w:t>
      </w:r>
      <w:r>
        <w:rPr>
          <w:sz w:val="20"/>
        </w:rPr>
        <w:t xml:space="preserve">Accelerating with FlyBrainLab the discovery of the functional logic of the</w:t>
      </w:r>
      <w:r>
        <w:rPr>
          <w:sz w:val="20"/>
        </w:rPr>
        <w:t xml:space="preserve"> </w:t>
      </w:r>
      <w:r>
        <w:rPr>
          <w:iCs/>
          <w:i/>
          <w:sz w:val="20"/>
        </w:rPr>
        <w:t xml:space="preserve">Drosophila</w:t>
      </w:r>
      <w:r>
        <w:rPr>
          <w:sz w:val="20"/>
        </w:rPr>
        <w:t xml:space="preserve"> </w:t>
      </w:r>
      <w:r>
        <w:rPr>
          <w:sz w:val="20"/>
        </w:rPr>
        <w:t xml:space="preserve">brain in the connectomic and synaptomic era,</w:t>
      </w:r>
      <w:r>
        <w:rPr>
          <w:sz w:val="20"/>
        </w:rPr>
        <w:t xml:space="preserve">”</w:t>
      </w:r>
      <w:r>
        <w:rPr>
          <w:sz w:val="20"/>
        </w:rPr>
        <w:t xml:space="preserve"> </w:t>
      </w:r>
      <w:r>
        <w:rPr>
          <w:iCs/>
          <w:i/>
          <w:sz w:val="20"/>
        </w:rPr>
        <w:t xml:space="preserve">eLife</w:t>
      </w:r>
      <w:r>
        <w:rPr>
          <w:sz w:val="20"/>
        </w:rPr>
        <w:t xml:space="preserve">, vol. 10, art. e62362, 2021. DOI</w:t>
      </w:r>
      <w:r>
        <w:rPr>
          <w:sz w:val="20"/>
        </w:rPr>
        <w:t xml:space="preserve"> </w:t>
      </w:r>
      <w:hyperlink r:id="rId110">
        <w:r>
          <w:rPr>
            <w:rStyle w:val="Hyperlink"/>
          </w:rPr>
          <w:t xml:space="preserve">10.7554/eLife.62362</w:t>
        </w:r>
      </w:hyperlink>
      <w:r>
        <w:rPr>
          <w:sz w:val="20"/>
        </w:rPr>
        <w:t xml:space="preserve">. PMID 33616035.</w:t>
      </w:r>
    </w:p>
    <w:p>
      <w:pPr>
        <w:pStyle w:val="BodyText"/>
        <w:widowControl/>
        <w:spacing w:after="80"/>
      </w:pPr>
      <w:r>
        <w:rPr>
          <w:sz w:val="20"/>
        </w:rPr>
        <w:t xml:space="preserve">[68] I. Mindlin, R. Herzog, L. Belloli</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Whole brain modelling for simulating pharmacological interventions on patients with disorders of consciousness,</w:t>
      </w:r>
      <w:r>
        <w:rPr>
          <w:sz w:val="20"/>
        </w:rPr>
        <w:t xml:space="preserve">”</w:t>
      </w:r>
      <w:r>
        <w:rPr>
          <w:sz w:val="20"/>
        </w:rPr>
        <w:t xml:space="preserve"> </w:t>
      </w:r>
      <w:r>
        <w:rPr>
          <w:iCs/>
          <w:i/>
          <w:sz w:val="20"/>
        </w:rPr>
        <w:t xml:space="preserve">Commun. Biol.</w:t>
      </w:r>
      <w:r>
        <w:rPr>
          <w:sz w:val="20"/>
        </w:rPr>
        <w:t xml:space="preserve">, vol. 7, art. 1176, 2024. DOI</w:t>
      </w:r>
      <w:r>
        <w:rPr>
          <w:sz w:val="20"/>
        </w:rPr>
        <w:t xml:space="preserve"> </w:t>
      </w:r>
      <w:hyperlink r:id="rId111">
        <w:r>
          <w:rPr>
            <w:rStyle w:val="Hyperlink"/>
          </w:rPr>
          <w:t xml:space="preserve">10.1038/s42003-024-06852-9</w:t>
        </w:r>
      </w:hyperlink>
      <w:r>
        <w:rPr>
          <w:sz w:val="20"/>
        </w:rPr>
        <w:t xml:space="preserve">. PMID 39300281.</w:t>
      </w:r>
    </w:p>
    <w:p>
      <w:pPr>
        <w:pStyle w:val="BodyText"/>
        <w:widowControl/>
        <w:spacing w:after="80"/>
      </w:pPr>
      <w:r>
        <w:rPr>
          <w:sz w:val="20"/>
        </w:rPr>
        <w:t xml:space="preserve">[69] G. Deco, J. Cruzat, J. Cabral</w:t>
      </w:r>
      <w:r>
        <w:rPr>
          <w:sz w:val="20"/>
        </w:rPr>
        <w:t xml:space="preserve"> </w:t>
      </w:r>
      <w:r>
        <w:rPr>
          <w:iCs/>
          <w:i/>
          <w:sz w:val="20"/>
        </w:rPr>
        <w:t xml:space="preserve">et al.</w:t>
      </w:r>
      <w:r>
        <w:rPr>
          <w:sz w:val="20"/>
        </w:rPr>
        <w:t xml:space="preserve">,</w:t>
      </w:r>
      <w:r>
        <w:rPr>
          <w:sz w:val="20"/>
        </w:rPr>
        <w:t xml:space="preserve"> </w:t>
      </w:r>
      <w:r>
        <w:rPr>
          <w:sz w:val="20"/>
        </w:rPr>
        <w:t xml:space="preserve">“</w:t>
      </w:r>
      <w:r>
        <w:rPr>
          <w:sz w:val="20"/>
        </w:rPr>
        <w:t xml:space="preserve">Whole-brain multimodal neuroimaging model using serotonin receptor maps explains non-linear functional effects of LSD,</w:t>
      </w:r>
      <w:r>
        <w:rPr>
          <w:sz w:val="20"/>
        </w:rPr>
        <w:t xml:space="preserve">”</w:t>
      </w:r>
      <w:r>
        <w:rPr>
          <w:sz w:val="20"/>
        </w:rPr>
        <w:t xml:space="preserve"> </w:t>
      </w:r>
      <w:r>
        <w:rPr>
          <w:iCs/>
          <w:i/>
          <w:sz w:val="20"/>
        </w:rPr>
        <w:t xml:space="preserve">Curr. Biol.</w:t>
      </w:r>
      <w:r>
        <w:rPr>
          <w:sz w:val="20"/>
        </w:rPr>
        <w:t xml:space="preserve">, vol. 28, no. 19, pp. 3065–3074.e6, 2018. DOI</w:t>
      </w:r>
      <w:r>
        <w:rPr>
          <w:sz w:val="20"/>
        </w:rPr>
        <w:t xml:space="preserve"> </w:t>
      </w:r>
      <w:hyperlink r:id="rId112">
        <w:r>
          <w:rPr>
            <w:rStyle w:val="Hyperlink"/>
          </w:rPr>
          <w:t xml:space="preserve">10.1016/j.cub.2018.07.083</w:t>
        </w:r>
      </w:hyperlink>
      <w:r>
        <w:rPr>
          <w:sz w:val="20"/>
        </w:rPr>
        <w:t xml:space="preserve">. PMID 30270185.</w:t>
      </w:r>
    </w:p>
    <w:p>
      <w:pPr>
        <w:pStyle w:val="BodyText"/>
        <w:widowControl/>
        <w:spacing w:after="80"/>
      </w:pPr>
      <w:r>
        <w:rPr>
          <w:sz w:val="20"/>
        </w:rPr>
        <w:t xml:space="preserve">[70] A. Saltelli, P. Annoni, I. Azzini, F. Campolongo, M. Ratto and S. Tarantola,</w:t>
      </w:r>
      <w:r>
        <w:rPr>
          <w:sz w:val="20"/>
        </w:rPr>
        <w:t xml:space="preserve"> </w:t>
      </w:r>
      <w:r>
        <w:rPr>
          <w:sz w:val="20"/>
        </w:rPr>
        <w:t xml:space="preserve">“</w:t>
      </w:r>
      <w:r>
        <w:rPr>
          <w:sz w:val="20"/>
        </w:rPr>
        <w:t xml:space="preserve">Variance based sensitivity analysis of model output: design and estimator for the total sensitivity index,</w:t>
      </w:r>
      <w:r>
        <w:rPr>
          <w:sz w:val="20"/>
        </w:rPr>
        <w:t xml:space="preserve">”</w:t>
      </w:r>
      <w:r>
        <w:rPr>
          <w:sz w:val="20"/>
        </w:rPr>
        <w:t xml:space="preserve"> </w:t>
      </w:r>
      <w:r>
        <w:rPr>
          <w:iCs/>
          <w:i/>
          <w:sz w:val="20"/>
        </w:rPr>
        <w:t xml:space="preserve">Comput. Phys. Commun.</w:t>
      </w:r>
      <w:r>
        <w:rPr>
          <w:sz w:val="20"/>
        </w:rPr>
        <w:t xml:space="preserve">, vol. 181, no. 2, pp. 259–270, 2010. DOI</w:t>
      </w:r>
      <w:r>
        <w:rPr>
          <w:sz w:val="20"/>
        </w:rPr>
        <w:t xml:space="preserve"> </w:t>
      </w:r>
      <w:hyperlink r:id="rId113">
        <w:r>
          <w:rPr>
            <w:rStyle w:val="Hyperlink"/>
          </w:rPr>
          <w:t xml:space="preserve">10.1016/j.cpc.2009.09.018</w:t>
        </w:r>
      </w:hyperlink>
      <w:r>
        <w:rPr>
          <w:sz w:val="20"/>
        </w:rPr>
        <w:t xml:space="preserve">.</w:t>
      </w:r>
    </w:p>
    <w:p>
      <w:pPr>
        <w:pStyle w:val="BodyText"/>
        <w:widowControl/>
        <w:spacing w:after="80"/>
      </w:pPr>
      <w:r>
        <w:rPr>
          <w:sz w:val="20"/>
        </w:rPr>
        <w:t xml:space="preserve">[71] M. J. W. Jansen,</w:t>
      </w:r>
      <w:r>
        <w:rPr>
          <w:sz w:val="20"/>
        </w:rPr>
        <w:t xml:space="preserve"> </w:t>
      </w:r>
      <w:r>
        <w:rPr>
          <w:sz w:val="20"/>
        </w:rPr>
        <w:t xml:space="preserve">“</w:t>
      </w:r>
      <w:r>
        <w:rPr>
          <w:sz w:val="20"/>
        </w:rPr>
        <w:t xml:space="preserve">Analysis of variance designs for model output,</w:t>
      </w:r>
      <w:r>
        <w:rPr>
          <w:sz w:val="20"/>
        </w:rPr>
        <w:t xml:space="preserve">”</w:t>
      </w:r>
      <w:r>
        <w:rPr>
          <w:sz w:val="20"/>
        </w:rPr>
        <w:t xml:space="preserve"> </w:t>
      </w:r>
      <w:r>
        <w:rPr>
          <w:iCs/>
          <w:i/>
          <w:sz w:val="20"/>
        </w:rPr>
        <w:t xml:space="preserve">Comput. Phys. Commun.</w:t>
      </w:r>
      <w:r>
        <w:rPr>
          <w:sz w:val="20"/>
        </w:rPr>
        <w:t xml:space="preserve">, vol. 117, no. 1–2, pp. 35–43, 1999. DOI</w:t>
      </w:r>
      <w:r>
        <w:rPr>
          <w:sz w:val="20"/>
        </w:rPr>
        <w:t xml:space="preserve"> </w:t>
      </w:r>
      <w:hyperlink r:id="rId114">
        <w:r>
          <w:rPr>
            <w:rStyle w:val="Hyperlink"/>
          </w:rPr>
          <w:t xml:space="preserve">10.1016/S0010-4655(98)00154-4</w:t>
        </w:r>
      </w:hyperlink>
      <w:r>
        <w:rPr>
          <w:sz w:val="20"/>
        </w:rPr>
        <w:t xml:space="preserve">.</w:t>
      </w:r>
    </w:p>
    <w:p>
      <w:pPr>
        <w:pStyle w:val="BodyText"/>
        <w:widowControl/>
        <w:spacing w:after="80"/>
      </w:pPr>
      <w:r>
        <w:rPr>
          <w:sz w:val="20"/>
        </w:rPr>
        <w:t xml:space="preserve">[72] T. Ishigami and T. Homma,</w:t>
      </w:r>
      <w:r>
        <w:rPr>
          <w:sz w:val="20"/>
        </w:rPr>
        <w:t xml:space="preserve"> </w:t>
      </w:r>
      <w:r>
        <w:rPr>
          <w:sz w:val="20"/>
        </w:rPr>
        <w:t xml:space="preserve">“</w:t>
      </w:r>
      <w:r>
        <w:rPr>
          <w:sz w:val="20"/>
        </w:rPr>
        <w:t xml:space="preserve">An importance quantification technique in uncertainty analysis for computer models,</w:t>
      </w:r>
      <w:r>
        <w:rPr>
          <w:sz w:val="20"/>
        </w:rPr>
        <w:t xml:space="preserve">”</w:t>
      </w:r>
      <w:r>
        <w:rPr>
          <w:sz w:val="20"/>
        </w:rPr>
        <w:t xml:space="preserve"> </w:t>
      </w:r>
      <w:r>
        <w:rPr>
          <w:sz w:val="20"/>
        </w:rPr>
        <w:t xml:space="preserve">in</w:t>
      </w:r>
      <w:r>
        <w:rPr>
          <w:sz w:val="20"/>
        </w:rPr>
        <w:t xml:space="preserve"> </w:t>
      </w:r>
      <w:r>
        <w:rPr>
          <w:iCs/>
          <w:i/>
          <w:sz w:val="20"/>
        </w:rPr>
        <w:t xml:space="preserve">Proc. 1st Int. Symp. Uncertainty Modeling and Analysis (ISUMA)</w:t>
      </w:r>
      <w:r>
        <w:rPr>
          <w:sz w:val="20"/>
        </w:rPr>
        <w:t xml:space="preserve">, 1990, pp. 398–403. DOI</w:t>
      </w:r>
      <w:r>
        <w:rPr>
          <w:sz w:val="20"/>
        </w:rPr>
        <w:t xml:space="preserve"> </w:t>
      </w:r>
      <w:hyperlink r:id="rId115">
        <w:r>
          <w:rPr>
            <w:rStyle w:val="Hyperlink"/>
          </w:rPr>
          <w:t xml:space="preserve">10.1109/ISUMA.1990.151285</w:t>
        </w:r>
      </w:hyperlink>
      <w:r>
        <w:rPr>
          <w:sz w:val="20"/>
        </w:rPr>
        <w:t xml:space="preserve">.</w:t>
      </w:r>
    </w:p>
    <w:p>
      <w:pPr>
        <w:pStyle w:val="BodyText"/>
        <w:widowControl/>
        <w:spacing w:after="80"/>
      </w:pPr>
      <w:r>
        <w:rPr>
          <w:sz w:val="20"/>
        </w:rPr>
        <w:t xml:space="preserve">[73] S. Steegen, F. Tuerlinckx, A. Gelman and W. Vanpaemel,</w:t>
      </w:r>
      <w:r>
        <w:rPr>
          <w:sz w:val="20"/>
        </w:rPr>
        <w:t xml:space="preserve"> </w:t>
      </w:r>
      <w:r>
        <w:rPr>
          <w:sz w:val="20"/>
        </w:rPr>
        <w:t xml:space="preserve">“</w:t>
      </w:r>
      <w:r>
        <w:rPr>
          <w:sz w:val="20"/>
        </w:rPr>
        <w:t xml:space="preserve">Increasing transparency through a multiverse analysis,</w:t>
      </w:r>
      <w:r>
        <w:rPr>
          <w:sz w:val="20"/>
        </w:rPr>
        <w:t xml:space="preserve">”</w:t>
      </w:r>
      <w:r>
        <w:rPr>
          <w:sz w:val="20"/>
        </w:rPr>
        <w:t xml:space="preserve"> </w:t>
      </w:r>
      <w:r>
        <w:rPr>
          <w:iCs/>
          <w:i/>
          <w:sz w:val="20"/>
        </w:rPr>
        <w:t xml:space="preserve">Perspect. Psychol. Sci.</w:t>
      </w:r>
      <w:r>
        <w:rPr>
          <w:sz w:val="20"/>
        </w:rPr>
        <w:t xml:space="preserve">, vol. 11, no. 5, pp. 702–712, 2016. DOI</w:t>
      </w:r>
      <w:r>
        <w:rPr>
          <w:sz w:val="20"/>
        </w:rPr>
        <w:t xml:space="preserve"> </w:t>
      </w:r>
      <w:hyperlink r:id="rId116">
        <w:r>
          <w:rPr>
            <w:rStyle w:val="Hyperlink"/>
          </w:rPr>
          <w:t xml:space="preserve">10.1177/1745691616658637</w:t>
        </w:r>
      </w:hyperlink>
      <w:r>
        <w:rPr>
          <w:sz w:val="20"/>
        </w:rPr>
        <w:t xml:space="preserve">. PMID 27694465.</w:t>
      </w:r>
    </w:p>
    <w:p>
      <w:pPr>
        <w:pStyle w:val="BodyText"/>
        <w:widowControl/>
        <w:spacing w:after="80"/>
      </w:pPr>
      <w:r>
        <w:rPr>
          <w:sz w:val="20"/>
        </w:rPr>
        <w:t xml:space="preserve">[74] U. Simonsohn, J. P. Simmons and L. D. Nelson,</w:t>
      </w:r>
      <w:r>
        <w:rPr>
          <w:sz w:val="20"/>
        </w:rPr>
        <w:t xml:space="preserve"> </w:t>
      </w:r>
      <w:r>
        <w:rPr>
          <w:sz w:val="20"/>
        </w:rPr>
        <w:t xml:space="preserve">“</w:t>
      </w:r>
      <w:r>
        <w:rPr>
          <w:sz w:val="20"/>
        </w:rPr>
        <w:t xml:space="preserve">Specification curve analysis,</w:t>
      </w:r>
      <w:r>
        <w:rPr>
          <w:sz w:val="20"/>
        </w:rPr>
        <w:t xml:space="preserve">”</w:t>
      </w:r>
      <w:r>
        <w:rPr>
          <w:sz w:val="20"/>
        </w:rPr>
        <w:t xml:space="preserve"> </w:t>
      </w:r>
      <w:r>
        <w:rPr>
          <w:iCs/>
          <w:i/>
          <w:sz w:val="20"/>
        </w:rPr>
        <w:t xml:space="preserve">Nat. Hum. Behav.</w:t>
      </w:r>
      <w:r>
        <w:rPr>
          <w:sz w:val="20"/>
        </w:rPr>
        <w:t xml:space="preserve">, vol. 4, pp. 1208–1214, 2020. DOI</w:t>
      </w:r>
      <w:r>
        <w:rPr>
          <w:sz w:val="20"/>
        </w:rPr>
        <w:t xml:space="preserve"> </w:t>
      </w:r>
      <w:hyperlink r:id="rId117">
        <w:r>
          <w:rPr>
            <w:rStyle w:val="Hyperlink"/>
          </w:rPr>
          <w:t xml:space="preserve">10.1038/s41562-020-0912-z</w:t>
        </w:r>
      </w:hyperlink>
      <w:r>
        <w:rPr>
          <w:sz w:val="20"/>
        </w:rPr>
        <w:t xml:space="preserve">. PMID 32719546.</w:t>
      </w:r>
    </w:p>
    <w:p>
      <w:pPr>
        <w:pStyle w:val="BodyText"/>
        <w:widowControl/>
        <w:spacing w:after="80"/>
      </w:pPr>
      <w:r>
        <w:rPr>
          <w:sz w:val="20"/>
        </w:rPr>
        <w:t xml:space="preserve">[75] R. A. Howard,</w:t>
      </w:r>
      <w:r>
        <w:rPr>
          <w:sz w:val="20"/>
        </w:rPr>
        <w:t xml:space="preserve"> </w:t>
      </w:r>
      <w:r>
        <w:rPr>
          <w:sz w:val="20"/>
        </w:rPr>
        <w:t xml:space="preserve">“</w:t>
      </w:r>
      <w:r>
        <w:rPr>
          <w:sz w:val="20"/>
        </w:rPr>
        <w:t xml:space="preserve">Information value theory,</w:t>
      </w:r>
      <w:r>
        <w:rPr>
          <w:sz w:val="20"/>
        </w:rPr>
        <w:t xml:space="preserve">”</w:t>
      </w:r>
      <w:r>
        <w:rPr>
          <w:sz w:val="20"/>
        </w:rPr>
        <w:t xml:space="preserve"> </w:t>
      </w:r>
      <w:r>
        <w:rPr>
          <w:iCs/>
          <w:i/>
          <w:sz w:val="20"/>
        </w:rPr>
        <w:t xml:space="preserve">IEEE Trans. Syst. Sci. Cybern.</w:t>
      </w:r>
      <w:r>
        <w:rPr>
          <w:sz w:val="20"/>
        </w:rPr>
        <w:t xml:space="preserve">, vol. 2, no. 1, pp. 22–26, 1966. DOI</w:t>
      </w:r>
      <w:r>
        <w:rPr>
          <w:sz w:val="20"/>
        </w:rPr>
        <w:t xml:space="preserve"> </w:t>
      </w:r>
      <w:hyperlink r:id="rId118">
        <w:r>
          <w:rPr>
            <w:rStyle w:val="Hyperlink"/>
          </w:rPr>
          <w:t xml:space="preserve">10.1109/TSSC.1966.300074</w:t>
        </w:r>
      </w:hyperlink>
      <w:r>
        <w:rPr>
          <w:sz w:val="20"/>
        </w:rPr>
        <w:t xml:space="preserve">.</w:t>
      </w:r>
    </w:p>
    <w:p>
      <w:pPr>
        <w:pStyle w:val="BodyText"/>
        <w:widowControl/>
        <w:spacing w:after="80"/>
      </w:pPr>
      <w:r>
        <w:rPr>
          <w:sz w:val="20"/>
        </w:rPr>
        <w:t xml:space="preserve">[76] M. Tomizawa, B. Latli and J. E. Casida,</w:t>
      </w:r>
      <w:r>
        <w:rPr>
          <w:sz w:val="20"/>
        </w:rPr>
        <w:t xml:space="preserve"> </w:t>
      </w:r>
      <w:r>
        <w:rPr>
          <w:sz w:val="20"/>
        </w:rPr>
        <w:t xml:space="preserve">“</w:t>
      </w:r>
      <w:r>
        <w:rPr>
          <w:sz w:val="20"/>
        </w:rPr>
        <w:t xml:space="preserve">Novel neonicotinoid-agarose affinity column for</w:t>
      </w:r>
      <w:r>
        <w:rPr>
          <w:sz w:val="20"/>
        </w:rPr>
        <w:t xml:space="preserve"> </w:t>
      </w:r>
      <w:r>
        <w:rPr>
          <w:iCs/>
          <w:i/>
          <w:sz w:val="20"/>
        </w:rPr>
        <w:t xml:space="preserve">Drosophila</w:t>
      </w:r>
      <w:r>
        <w:rPr>
          <w:sz w:val="20"/>
        </w:rPr>
        <w:t xml:space="preserve"> </w:t>
      </w:r>
      <w:r>
        <w:rPr>
          <w:sz w:val="20"/>
        </w:rPr>
        <w:t xml:space="preserve">and</w:t>
      </w:r>
      <w:r>
        <w:rPr>
          <w:sz w:val="20"/>
        </w:rPr>
        <w:t xml:space="preserve"> </w:t>
      </w:r>
      <w:r>
        <w:rPr>
          <w:iCs/>
          <w:i/>
          <w:sz w:val="20"/>
        </w:rPr>
        <w:t xml:space="preserve">Musca</w:t>
      </w:r>
      <w:r>
        <w:rPr>
          <w:sz w:val="20"/>
        </w:rPr>
        <w:t xml:space="preserve"> </w:t>
      </w:r>
      <w:r>
        <w:rPr>
          <w:sz w:val="20"/>
        </w:rPr>
        <w:t xml:space="preserve">nicotinic acetylcholine receptors,</w:t>
      </w:r>
      <w:r>
        <w:rPr>
          <w:sz w:val="20"/>
        </w:rPr>
        <w:t xml:space="preserve">”</w:t>
      </w:r>
      <w:r>
        <w:rPr>
          <w:sz w:val="20"/>
        </w:rPr>
        <w:t xml:space="preserve"> </w:t>
      </w:r>
      <w:r>
        <w:rPr>
          <w:iCs/>
          <w:i/>
          <w:sz w:val="20"/>
        </w:rPr>
        <w:t xml:space="preserve">J. Neurochem.</w:t>
      </w:r>
      <w:r>
        <w:rPr>
          <w:sz w:val="20"/>
        </w:rPr>
        <w:t xml:space="preserve">, vol. 67, no. 4, pp. 1669–1676, 1996. DOI</w:t>
      </w:r>
      <w:r>
        <w:rPr>
          <w:sz w:val="20"/>
        </w:rPr>
        <w:t xml:space="preserve"> </w:t>
      </w:r>
      <w:hyperlink r:id="rId119">
        <w:r>
          <w:rPr>
            <w:rStyle w:val="Hyperlink"/>
          </w:rPr>
          <w:t xml:space="preserve">10.1046/j.1471-4159.1996.67041669.x</w:t>
        </w:r>
      </w:hyperlink>
      <w:r>
        <w:rPr>
          <w:sz w:val="20"/>
        </w:rPr>
        <w:t xml:space="preserve">. PMID 8858952.</w:t>
      </w:r>
    </w:p>
    <w:bookmarkEnd w:id="120"/>
    <w:bookmarkEnd w:id="121"/>
    <w:sectPr>
      <w:pgSz w:w="11906" w:h="16838"/>
      <w:pgMar w:top="1134" w:bottom="1134"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20"/>
    </w:pPr>
    <w:rPr>
      <w:rFonts w:ascii="Times New Roman" w:hAnsi="Times New Roman"/>
      <w:color w:val="000000"/>
      <w:sz w:val="22"/>
    </w:rPr>
  </w:style>
  <w:style w:styleId="BodyText" w:type="paragraph">
    <w:name w:val="Body Text"/>
    <w:basedOn w:val="Normal"/>
    <w:link w:val="BodyTextChar"/>
    <w:pPr>
      <w:spacing w:after="180" w:before="180"/>
    </w:pPr>
    <w:qFormat/>
    <w:rPr>
      <w:rFonts w:ascii="Times New Roman" w:hAnsi="Times New Roman"/>
      <w:color w:val="000000"/>
    </w:rPr>
  </w:style>
  <w:style w:customStyle="1" w:styleId="FirstParagraph" w:type="paragraph">
    <w:name w:val="First Paragraph"/>
    <w:basedOn w:val="BodyText"/>
    <w:next w:val="BodyText"/>
    <w:qFormat/>
    <w:rPr>
      <w:rFonts w:ascii="Times New Roman" w:hAnsi="Times New Roman"/>
      <w:color w:val="000000"/>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240"/>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color w:val="000000"/>
      <w:sz w:val="30"/>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40"/>
      <w:outlineLvl w:val="0"/>
    </w:pPr>
    <w:rPr>
      <w:rFonts w:asciiTheme="majorHAnsi" w:cstheme="majorBidi" w:eastAsiaTheme="majorEastAsia" w:hAnsiTheme="majorHAnsi" w:ascii="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Times New Roman" w:hAnsi="Times New Roman"/>
      <w:b/>
      <w:bCs/>
      <w:color w:val="000000"/>
      <w:sz w:val="24"/>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ascii="Times New Roman" w:hAnsi="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DejaVu Sans Mono" w:hAnsi="DejaVu Sans Mono"/>
      <w:color w:val="000000"/>
      <w:sz w:val="18"/>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val="000000"/>
    </w:rPr>
  </w:style>
  <w:style w:type="paragraph" w:customStyle="1" w:styleId="SourceCode">
    <w:name w:val="Source Code"/>
    <w:basedOn w:val="Normal"/>
    <w:link w:val="VerbatimChar"/>
    <w:pPr>
      <w:wordWrap w:val="off"/>
    </w:pPr>
    <w:rPr>
      <w:rFonts w:ascii="DejaVu Sans Mono" w:hAnsi="DejaVu Sans Mono"/>
      <w:color w:val="000000"/>
      <w:sz w:val="18"/>
    </w:rPr>
  </w:style>
  <w:style w:type="character" w:customStyle="1" w:styleId="KeywordTok">
    <w:name w:val="KeywordTok"/>
    <w:basedOn w:val="VerbatimChar"/>
    <w:rPr>
      <w:rFonts w:ascii="Times New Roman" w:hAnsi="Times New Roman"/>
      <w:b/>
      <w:color w:val="000000"/>
    </w:rPr>
  </w:style>
  <w:style w:type="character" w:customStyle="1" w:styleId="DataTypeTok">
    <w:name w:val="DataTypeTok"/>
    <w:basedOn w:val="VerbatimChar"/>
    <w:rPr>
      <w:rFonts w:ascii="Times New Roman" w:hAnsi="Times New Roman"/>
      <w:color w:val="000000"/>
    </w:rPr>
  </w:style>
  <w:style w:type="character" w:customStyle="1" w:styleId="DecValTok">
    <w:name w:val="DecValTok"/>
    <w:basedOn w:val="VerbatimChar"/>
    <w:rPr>
      <w:rFonts w:ascii="Times New Roman" w:hAnsi="Times New Roman"/>
      <w:color w:val="000000"/>
    </w:rPr>
  </w:style>
  <w:style w:type="character" w:customStyle="1" w:styleId="BaseNTok">
    <w:name w:val="BaseNTok"/>
    <w:basedOn w:val="VerbatimChar"/>
    <w:rPr>
      <w:rFonts w:ascii="Times New Roman" w:hAnsi="Times New Roman"/>
      <w:color w:val="000000"/>
    </w:rPr>
  </w:style>
  <w:style w:type="character" w:customStyle="1" w:styleId="FloatTok">
    <w:name w:val="FloatTok"/>
    <w:basedOn w:val="VerbatimChar"/>
    <w:rPr>
      <w:rFonts w:ascii="Times New Roman" w:hAnsi="Times New Roman"/>
      <w:color w:val="000000"/>
    </w:rPr>
  </w:style>
  <w:style w:type="character" w:customStyle="1" w:styleId="ConstantTok">
    <w:name w:val="ConstantTok"/>
    <w:basedOn w:val="VerbatimChar"/>
    <w:rPr>
      <w:rFonts w:ascii="Times New Roman" w:hAnsi="Times New Roman"/>
      <w:color w:val="000000"/>
    </w:rPr>
  </w:style>
  <w:style w:type="character" w:customStyle="1" w:styleId="CharTok">
    <w:name w:val="CharTok"/>
    <w:basedOn w:val="VerbatimChar"/>
    <w:rPr>
      <w:rFonts w:ascii="Times New Roman" w:hAnsi="Times New Roman"/>
      <w:color w:val="000000"/>
    </w:rPr>
  </w:style>
  <w:style w:type="character" w:customStyle="1" w:styleId="SpecialCharTok">
    <w:name w:val="SpecialCharTok"/>
    <w:basedOn w:val="VerbatimChar"/>
    <w:rPr>
      <w:rFonts w:ascii="Times New Roman" w:hAnsi="Times New Roman"/>
      <w:color w:val="000000"/>
    </w:rPr>
  </w:style>
  <w:style w:type="character" w:customStyle="1" w:styleId="StringTok">
    <w:name w:val="StringTok"/>
    <w:basedOn w:val="VerbatimChar"/>
    <w:rPr>
      <w:rFonts w:ascii="Times New Roman" w:hAnsi="Times New Roman"/>
      <w:color w:val="000000"/>
    </w:rPr>
  </w:style>
  <w:style w:type="character" w:customStyle="1" w:styleId="VerbatimStringTok">
    <w:name w:val="VerbatimStringTok"/>
    <w:basedOn w:val="VerbatimChar"/>
    <w:rPr>
      <w:rFonts w:ascii="Times New Roman" w:hAnsi="Times New Roman"/>
      <w:color w:val="000000"/>
    </w:rPr>
  </w:style>
  <w:style w:type="character" w:customStyle="1" w:styleId="SpecialStringTok">
    <w:name w:val="SpecialStringTok"/>
    <w:basedOn w:val="VerbatimChar"/>
    <w:rPr>
      <w:rFonts w:ascii="Times New Roman" w:hAnsi="Times New Roman"/>
      <w:color w:val="000000"/>
    </w:rPr>
  </w:style>
  <w:style w:type="character" w:customStyle="1" w:styleId="ImportTok">
    <w:name w:val="ImportTok"/>
    <w:basedOn w:val="VerbatimChar"/>
    <w:rPr>
      <w:rFonts w:ascii="Times New Roman" w:hAnsi="Times New Roman"/>
      <w:b/>
      <w:color w:val="000000"/>
    </w:rPr>
  </w:style>
  <w:style w:type="character" w:customStyle="1" w:styleId="CommentTok">
    <w:name w:val="CommentTok"/>
    <w:basedOn w:val="VerbatimChar"/>
    <w:rPr>
      <w:rFonts w:ascii="Times New Roman" w:hAnsi="Times New Roman"/>
      <w:i/>
      <w:color w:val="000000"/>
    </w:rPr>
  </w:style>
  <w:style w:type="character" w:customStyle="1" w:styleId="DocumentationTok">
    <w:name w:val="DocumentationTok"/>
    <w:basedOn w:val="VerbatimChar"/>
    <w:rPr>
      <w:rFonts w:ascii="Times New Roman" w:hAnsi="Times New Roman"/>
      <w:i/>
      <w:color w:val="000000"/>
    </w:rPr>
  </w:style>
  <w:style w:type="character" w:customStyle="1" w:styleId="AnnotationTok">
    <w:name w:val="AnnotationTok"/>
    <w:basedOn w:val="VerbatimChar"/>
    <w:rPr>
      <w:rFonts w:ascii="Times New Roman" w:hAnsi="Times New Roman"/>
      <w:b/>
      <w:i/>
      <w:color w:val="000000"/>
    </w:rPr>
  </w:style>
  <w:style w:type="character" w:customStyle="1" w:styleId="CommentVarTok">
    <w:name w:val="CommentVarTok"/>
    <w:basedOn w:val="VerbatimChar"/>
    <w:rPr>
      <w:rFonts w:ascii="Times New Roman" w:hAnsi="Times New Roman"/>
      <w:b/>
      <w:i/>
      <w:color w:val="000000"/>
    </w:rPr>
  </w:style>
  <w:style w:type="character" w:customStyle="1" w:styleId="OtherTok">
    <w:name w:val="OtherTok"/>
    <w:basedOn w:val="VerbatimChar"/>
    <w:rPr>
      <w:rFonts w:ascii="Times New Roman" w:hAnsi="Times New Roman"/>
      <w:color w:val="000000"/>
    </w:rPr>
  </w:style>
  <w:style w:type="character" w:customStyle="1" w:styleId="FunctionTok">
    <w:name w:val="FunctionTok"/>
    <w:basedOn w:val="VerbatimChar"/>
    <w:rPr>
      <w:rFonts w:ascii="Times New Roman" w:hAnsi="Times New Roman"/>
      <w:color w:val="000000"/>
    </w:rPr>
  </w:style>
  <w:style w:type="character" w:customStyle="1" w:styleId="VariableTok">
    <w:name w:val="VariableTok"/>
    <w:basedOn w:val="VerbatimChar"/>
    <w:rPr>
      <w:rFonts w:ascii="Times New Roman" w:hAnsi="Times New Roman"/>
      <w:color w:val="000000"/>
    </w:rPr>
  </w:style>
  <w:style w:type="character" w:customStyle="1" w:styleId="ControlFlowTok">
    <w:name w:val="ControlFlowTok"/>
    <w:basedOn w:val="VerbatimChar"/>
    <w:rPr>
      <w:rFonts w:ascii="Times New Roman" w:hAnsi="Times New Roman"/>
      <w:b/>
      <w:color w:val="000000"/>
    </w:rPr>
  </w:style>
  <w:style w:type="character" w:customStyle="1" w:styleId="OperatorTok">
    <w:name w:val="OperatorTok"/>
    <w:basedOn w:val="VerbatimChar"/>
    <w:rPr>
      <w:rFonts w:ascii="Times New Roman" w:hAnsi="Times New Roman"/>
      <w:color w:val="000000"/>
    </w:rPr>
  </w:style>
  <w:style w:type="character" w:customStyle="1" w:styleId="BuiltInTok">
    <w:name w:val="BuiltInTok"/>
    <w:basedOn w:val="VerbatimChar"/>
    <w:rPr>
      <w:rFonts w:ascii="Times New Roman" w:hAnsi="Times New Roman"/>
      <w:color w:val="000000"/>
    </w:rPr>
  </w:style>
  <w:style w:type="character" w:customStyle="1" w:styleId="ExtensionTok">
    <w:name w:val="ExtensionTok"/>
    <w:basedOn w:val="VerbatimChar"/>
    <w:rPr>
      <w:rFonts w:ascii="Times New Roman" w:hAnsi="Times New Roman"/>
      <w:color w:val="000000"/>
    </w:rPr>
  </w:style>
  <w:style w:type="character" w:customStyle="1" w:styleId="PreprocessorTok">
    <w:name w:val="PreprocessorTok"/>
    <w:basedOn w:val="VerbatimChar"/>
    <w:rPr>
      <w:rFonts w:ascii="Times New Roman" w:hAnsi="Times New Roman"/>
      <w:color w:val="000000"/>
    </w:rPr>
  </w:style>
  <w:style w:type="character" w:customStyle="1" w:styleId="AttributeTok">
    <w:name w:val="AttributeTok"/>
    <w:basedOn w:val="VerbatimChar"/>
    <w:rPr>
      <w:rFonts w:ascii="Times New Roman" w:hAnsi="Times New Roman"/>
      <w:color w:val="000000"/>
    </w:rPr>
  </w:style>
  <w:style w:type="character" w:customStyle="1" w:styleId="RegionMarkerTok">
    <w:name w:val="RegionMarkerTok"/>
    <w:basedOn w:val="VerbatimChar"/>
    <w:rPr>
      <w:rFonts w:ascii="Times New Roman" w:hAnsi="Times New Roman"/>
      <w:color w:val="000000"/>
    </w:rPr>
  </w:style>
  <w:style w:type="character" w:customStyle="1" w:styleId="InformationTok">
    <w:name w:val="InformationTok"/>
    <w:basedOn w:val="VerbatimChar"/>
    <w:rPr>
      <w:rFonts w:ascii="Times New Roman" w:hAnsi="Times New Roman"/>
      <w:b/>
      <w:i/>
      <w:color w:val="000000"/>
    </w:rPr>
  </w:style>
  <w:style w:type="character" w:customStyle="1" w:styleId="WarningTok">
    <w:name w:val="WarningTok"/>
    <w:basedOn w:val="VerbatimChar"/>
    <w:rPr>
      <w:rFonts w:ascii="Times New Roman" w:hAnsi="Times New Roman"/>
      <w:b/>
      <w:i/>
      <w:color w:val="000000"/>
    </w:rPr>
  </w:style>
  <w:style w:type="character" w:customStyle="1" w:styleId="AlertTok">
    <w:name w:val="AlertTok"/>
    <w:basedOn w:val="VerbatimChar"/>
    <w:rPr>
      <w:rFonts w:ascii="Times New Roman" w:hAnsi="Times New Roman"/>
      <w:b/>
      <w:color w:val="000000"/>
    </w:rPr>
  </w:style>
  <w:style w:type="character" w:customStyle="1" w:styleId="ErrorTok">
    <w:name w:val="ErrorTok"/>
    <w:basedOn w:val="VerbatimChar"/>
    <w:rPr>
      <w:rFonts w:ascii="Times New Roman" w:hAnsi="Times New Roman"/>
      <w:b/>
      <w:color w:val="000000"/>
    </w:rPr>
  </w:style>
  <w:style w:type="character" w:customStyle="1" w:styleId="NormalTok">
    <w:name w:val="NormalTok"/>
    <w:basedOn w:val="VerbatimChar"/>
    <w:rPr>
      <w:rFonts w:ascii="Times New Roman" w:hAnsi="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4" Type="http://schemas.openxmlformats.org/officeDocument/2006/relationships/image" Target="media/rId44.png"/><Relationship Id="rId35" Type="http://schemas.openxmlformats.org/officeDocument/2006/relationships/image" Target="media/rId35.png"/><Relationship Id="rId39" Type="http://schemas.openxmlformats.org/officeDocument/2006/relationships/image" Target="media/rId39.png"/><Relationship Id="rId31" Type="http://schemas.openxmlformats.org/officeDocument/2006/relationships/image" Target="media/rId31.png"/><Relationship Id="rId86" Type="http://schemas.openxmlformats.org/officeDocument/2006/relationships/hyperlink" Target="https://doi.org/10.1002/cne.21472" TargetMode="External"/><Relationship Id="rId97" Type="http://schemas.openxmlformats.org/officeDocument/2006/relationships/hyperlink" Target="https://doi.org/10.1002/ps.1472" TargetMode="External"/><Relationship Id="rId92" Type="http://schemas.openxmlformats.org/officeDocument/2006/relationships/hyperlink" Target="https://doi.org/10.1002/ps.4234" TargetMode="External"/><Relationship Id="rId100" Type="http://schemas.openxmlformats.org/officeDocument/2006/relationships/hyperlink" Target="https://doi.org/10.1002/ps.772" TargetMode="External"/><Relationship Id="rId101" Type="http://schemas.openxmlformats.org/officeDocument/2006/relationships/hyperlink" Target="https://doi.org/10.1002/ps.895" TargetMode="External"/><Relationship Id="rId72" Type="http://schemas.openxmlformats.org/officeDocument/2006/relationships/hyperlink" Target="https://doi.org/10.1006/pest.1993.1035" TargetMode="External"/><Relationship Id="rId76" Type="http://schemas.openxmlformats.org/officeDocument/2006/relationships/hyperlink" Target="https://doi.org/10.1006/taap.2001.9154" TargetMode="External"/><Relationship Id="rId91" Type="http://schemas.openxmlformats.org/officeDocument/2006/relationships/hyperlink" Target="https://doi.org/10.1007/BF01952257" TargetMode="External"/><Relationship Id="rId114" Type="http://schemas.openxmlformats.org/officeDocument/2006/relationships/hyperlink" Target="https://doi.org/10.1016/S0010-4655(98)00154-4" TargetMode="External"/><Relationship Id="rId87" Type="http://schemas.openxmlformats.org/officeDocument/2006/relationships/hyperlink" Target="https://doi.org/10.1016/j.cell.2018.05.021" TargetMode="External"/><Relationship Id="rId85" Type="http://schemas.openxmlformats.org/officeDocument/2006/relationships/hyperlink" Target="https://doi.org/10.1016/j.cell.2018.05.057" TargetMode="External"/><Relationship Id="rId57" Type="http://schemas.openxmlformats.org/officeDocument/2006/relationships/hyperlink" Target="https://doi.org/10.1016/j.cell.2024.03.016" TargetMode="External"/><Relationship Id="rId113" Type="http://schemas.openxmlformats.org/officeDocument/2006/relationships/hyperlink" Target="https://doi.org/10.1016/j.cpc.2009.09.018" TargetMode="External"/><Relationship Id="rId112" Type="http://schemas.openxmlformats.org/officeDocument/2006/relationships/hyperlink" Target="https://doi.org/10.1016/j.cub.2018.07.083" TargetMode="External"/><Relationship Id="rId54" Type="http://schemas.openxmlformats.org/officeDocument/2006/relationships/hyperlink" Target="https://doi.org/10.1016/j.ejphar.2025.177618" TargetMode="External"/><Relationship Id="rId106" Type="http://schemas.openxmlformats.org/officeDocument/2006/relationships/hyperlink" Target="https://doi.org/10.1016/j.exger.2005.02.005" TargetMode="External"/><Relationship Id="rId67" Type="http://schemas.openxmlformats.org/officeDocument/2006/relationships/hyperlink" Target="https://doi.org/10.1016/j.febslet.2005.09.096" TargetMode="External"/><Relationship Id="rId109" Type="http://schemas.openxmlformats.org/officeDocument/2006/relationships/hyperlink" Target="https://doi.org/10.1016/j.ibmb.2011.05.004" TargetMode="External"/><Relationship Id="rId69" Type="http://schemas.openxmlformats.org/officeDocument/2006/relationships/hyperlink" Target="https://doi.org/10.1016/j.ibmb.2017.05.006" TargetMode="External"/><Relationship Id="rId74" Type="http://schemas.openxmlformats.org/officeDocument/2006/relationships/hyperlink" Target="https://doi.org/10.1016/j.pestbp.2011.10.010" TargetMode="External"/><Relationship Id="rId60" Type="http://schemas.openxmlformats.org/officeDocument/2006/relationships/hyperlink" Target="https://doi.org/10.1016/j.pestbp.2017.01.007" TargetMode="External"/><Relationship Id="rId104" Type="http://schemas.openxmlformats.org/officeDocument/2006/relationships/hyperlink" Target="https://doi.org/10.1016/j.pestbp.2022.105118" TargetMode="External"/><Relationship Id="rId75" Type="http://schemas.openxmlformats.org/officeDocument/2006/relationships/hyperlink" Target="https://doi.org/10.1016/s0378-4274(01)00366-6" TargetMode="External"/><Relationship Id="rId99" Type="http://schemas.openxmlformats.org/officeDocument/2006/relationships/hyperlink" Target="https://doi.org/10.1021/ac3002319" TargetMode="External"/><Relationship Id="rId98" Type="http://schemas.openxmlformats.org/officeDocument/2006/relationships/hyperlink" Target="https://doi.org/10.1021/ac701785z" TargetMode="External"/><Relationship Id="rId81" Type="http://schemas.openxmlformats.org/officeDocument/2006/relationships/hyperlink" Target="https://doi.org/10.1021/jf000873c" TargetMode="External"/><Relationship Id="rId59" Type="http://schemas.openxmlformats.org/officeDocument/2006/relationships/hyperlink" Target="https://doi.org/10.1038/363449a0" TargetMode="External"/><Relationship Id="rId117" Type="http://schemas.openxmlformats.org/officeDocument/2006/relationships/hyperlink" Target="https://doi.org/10.1038/s41562-020-0912-z" TargetMode="External"/><Relationship Id="rId56" Type="http://schemas.openxmlformats.org/officeDocument/2006/relationships/hyperlink" Target="https://doi.org/10.1038/s41586-024-07558-y" TargetMode="External"/><Relationship Id="rId96" Type="http://schemas.openxmlformats.org/officeDocument/2006/relationships/hyperlink" Target="https://doi.org/10.1038/s41598-017-09800-2" TargetMode="External"/><Relationship Id="rId111" Type="http://schemas.openxmlformats.org/officeDocument/2006/relationships/hyperlink" Target="https://doi.org/10.1038/s42003-024-06852-9" TargetMode="External"/><Relationship Id="rId119" Type="http://schemas.openxmlformats.org/officeDocument/2006/relationships/hyperlink" Target="https://doi.org/10.1046/j.1471-4159.1996.67041669.x" TargetMode="External"/><Relationship Id="rId108" Type="http://schemas.openxmlformats.org/officeDocument/2006/relationships/hyperlink" Target="https://doi.org/10.1073/pnas.2011828117" TargetMode="External"/><Relationship Id="rId66" Type="http://schemas.openxmlformats.org/officeDocument/2006/relationships/hyperlink" Target="https://doi.org/10.1073/pnas.91.13.5922" TargetMode="External"/><Relationship Id="rId77" Type="http://schemas.openxmlformats.org/officeDocument/2006/relationships/hyperlink" Target="https://doi.org/10.1074/jbc.M011264200" TargetMode="External"/><Relationship Id="rId82" Type="http://schemas.openxmlformats.org/officeDocument/2006/relationships/hyperlink" Target="https://doi.org/10.1074/jbc.R112.406280" TargetMode="External"/><Relationship Id="rId68" Type="http://schemas.openxmlformats.org/officeDocument/2006/relationships/hyperlink" Target="https://doi.org/10.1085/jgp.115.3.305" TargetMode="External"/><Relationship Id="rId115" Type="http://schemas.openxmlformats.org/officeDocument/2006/relationships/hyperlink" Target="https://doi.org/10.1109/ISUMA.1990.151285" TargetMode="External"/><Relationship Id="rId118" Type="http://schemas.openxmlformats.org/officeDocument/2006/relationships/hyperlink" Target="https://doi.org/10.1109/TSSC.1966.300074" TargetMode="External"/><Relationship Id="rId71" Type="http://schemas.openxmlformats.org/officeDocument/2006/relationships/hyperlink" Target="https://doi.org/10.1111/bph.14018" TargetMode="External"/><Relationship Id="rId63" Type="http://schemas.openxmlformats.org/officeDocument/2006/relationships/hyperlink" Target="https://doi.org/10.1111/j.1365-2583.2010.01017.x" TargetMode="External"/><Relationship Id="rId64" Type="http://schemas.openxmlformats.org/officeDocument/2006/relationships/hyperlink" Target="https://doi.org/10.1111/j.1471-4159.2004.02922.x" TargetMode="External"/><Relationship Id="rId61" Type="http://schemas.openxmlformats.org/officeDocument/2006/relationships/hyperlink" Target="https://doi.org/10.1111/j.1476-5381.1995.tb15896.x" TargetMode="External"/><Relationship Id="rId62" Type="http://schemas.openxmlformats.org/officeDocument/2006/relationships/hyperlink" Target="https://doi.org/10.1111/j.1476-5381.1996.tb16720.x" TargetMode="External"/><Relationship Id="rId89" Type="http://schemas.openxmlformats.org/officeDocument/2006/relationships/hyperlink" Target="https://doi.org/10.1111/j.1744-7348.1939.tb06990.x" TargetMode="External"/><Relationship Id="rId70" Type="http://schemas.openxmlformats.org/officeDocument/2006/relationships/hyperlink" Target="https://doi.org/10.1113/jphysiol.1994.sp020278" TargetMode="External"/><Relationship Id="rId94" Type="http://schemas.openxmlformats.org/officeDocument/2006/relationships/hyperlink" Target="https://doi.org/10.1126/science.1074170" TargetMode="External"/><Relationship Id="rId88" Type="http://schemas.openxmlformats.org/officeDocument/2006/relationships/hyperlink" Target="https://doi.org/10.1126/science.abk2432" TargetMode="External"/><Relationship Id="rId79" Type="http://schemas.openxmlformats.org/officeDocument/2006/relationships/hyperlink" Target="https://doi.org/10.1146/annurev.ento.48.091801.112731" TargetMode="External"/><Relationship Id="rId80" Type="http://schemas.openxmlformats.org/officeDocument/2006/relationships/hyperlink" Target="https://doi.org/10.1146/annurev.pharmtox.45.120403.095930" TargetMode="External"/><Relationship Id="rId116" Type="http://schemas.openxmlformats.org/officeDocument/2006/relationships/hyperlink" Target="https://doi.org/10.1177/1745691616658637" TargetMode="External"/><Relationship Id="rId65" Type="http://schemas.openxmlformats.org/officeDocument/2006/relationships/hyperlink" Target="https://doi.org/10.1186/1471-2148-4-4" TargetMode="External"/><Relationship Id="rId58" Type="http://schemas.openxmlformats.org/officeDocument/2006/relationships/hyperlink" Target="https://doi.org/10.1186/1471-2202-12-51" TargetMode="External"/><Relationship Id="rId107" Type="http://schemas.openxmlformats.org/officeDocument/2006/relationships/hyperlink" Target="https://doi.org/10.1242/jeb.110510" TargetMode="External"/><Relationship Id="rId95" Type="http://schemas.openxmlformats.org/officeDocument/2006/relationships/hyperlink" Target="https://doi.org/10.1242/jeb.204.19.3323" TargetMode="External"/><Relationship Id="rId103" Type="http://schemas.openxmlformats.org/officeDocument/2006/relationships/hyperlink" Target="https://doi.org/10.1371/journal.pone.0039863" TargetMode="External"/><Relationship Id="rId73" Type="http://schemas.openxmlformats.org/officeDocument/2006/relationships/hyperlink" Target="https://doi.org/10.1371/journal.pone.0097468" TargetMode="External"/><Relationship Id="rId93" Type="http://schemas.openxmlformats.org/officeDocument/2006/relationships/hyperlink" Target="https://doi.org/10.1371/journal.pone.0176837" TargetMode="External"/><Relationship Id="rId105" Type="http://schemas.openxmlformats.org/officeDocument/2006/relationships/hyperlink" Target="https://doi.org/10.1523/JNEUROSCI.1312-14.2015" TargetMode="External"/><Relationship Id="rId90" Type="http://schemas.openxmlformats.org/officeDocument/2006/relationships/hyperlink" Target="https://doi.org/10.1673/031.010.14142" TargetMode="External"/><Relationship Id="rId55" Type="http://schemas.openxmlformats.org/officeDocument/2006/relationships/hyperlink" Target="https://doi.org/10.20944/preprints202507.0959.v1" TargetMode="External"/><Relationship Id="rId78" Type="http://schemas.openxmlformats.org/officeDocument/2006/relationships/hyperlink" Target="https://doi.org/10.3389/fphys.2021.659440" TargetMode="External"/><Relationship Id="rId102" Type="http://schemas.openxmlformats.org/officeDocument/2006/relationships/hyperlink" Target="https://doi.org/10.3791/56507" TargetMode="External"/><Relationship Id="rId84" Type="http://schemas.openxmlformats.org/officeDocument/2006/relationships/hyperlink" Target="https://doi.org/10.7554/eLife.34550" TargetMode="External"/><Relationship Id="rId83" Type="http://schemas.openxmlformats.org/officeDocument/2006/relationships/hyperlink" Target="https://doi.org/10.7554/eLife.54074" TargetMode="External"/><Relationship Id="rId110" Type="http://schemas.openxmlformats.org/officeDocument/2006/relationships/hyperlink" Target="https://doi.org/10.7554/eLife.62362" TargetMode="External"/><Relationship Id="rId52" Type="http://schemas.openxmlformats.org/officeDocument/2006/relationships/hyperlink" Target="https://github.com/pinkysworld/FlyLab/tree/codex/flylab-reviewed-manuscript/papers" TargetMode="External"/></Relationships>
</file>

<file path=word/_rels/footnotes.xml.rels><?xml version='1.0' encoding='UTF-8' standalone='yes'?>
<Relationships xmlns="http://schemas.openxmlformats.org/package/2006/relationships"><Relationship Id="rId86" Type="http://schemas.openxmlformats.org/officeDocument/2006/relationships/hyperlink" Target="https://doi.org/10.1002/cne.21472" TargetMode="External"/><Relationship Id="rId97" Type="http://schemas.openxmlformats.org/officeDocument/2006/relationships/hyperlink" Target="https://doi.org/10.1002/ps.1472" TargetMode="External"/><Relationship Id="rId92" Type="http://schemas.openxmlformats.org/officeDocument/2006/relationships/hyperlink" Target="https://doi.org/10.1002/ps.4234" TargetMode="External"/><Relationship Id="rId100" Type="http://schemas.openxmlformats.org/officeDocument/2006/relationships/hyperlink" Target="https://doi.org/10.1002/ps.772" TargetMode="External"/><Relationship Id="rId101" Type="http://schemas.openxmlformats.org/officeDocument/2006/relationships/hyperlink" Target="https://doi.org/10.1002/ps.895" TargetMode="External"/><Relationship Id="rId72" Type="http://schemas.openxmlformats.org/officeDocument/2006/relationships/hyperlink" Target="https://doi.org/10.1006/pest.1993.1035" TargetMode="External"/><Relationship Id="rId76" Type="http://schemas.openxmlformats.org/officeDocument/2006/relationships/hyperlink" Target="https://doi.org/10.1006/taap.2001.9154" TargetMode="External"/><Relationship Id="rId91" Type="http://schemas.openxmlformats.org/officeDocument/2006/relationships/hyperlink" Target="https://doi.org/10.1007/BF01952257" TargetMode="External"/><Relationship Id="rId114" Type="http://schemas.openxmlformats.org/officeDocument/2006/relationships/hyperlink" Target="https://doi.org/10.1016/S0010-4655(98)00154-4" TargetMode="External"/><Relationship Id="rId87" Type="http://schemas.openxmlformats.org/officeDocument/2006/relationships/hyperlink" Target="https://doi.org/10.1016/j.cell.2018.05.021" TargetMode="External"/><Relationship Id="rId85" Type="http://schemas.openxmlformats.org/officeDocument/2006/relationships/hyperlink" Target="https://doi.org/10.1016/j.cell.2018.05.057" TargetMode="External"/><Relationship Id="rId57" Type="http://schemas.openxmlformats.org/officeDocument/2006/relationships/hyperlink" Target="https://doi.org/10.1016/j.cell.2024.03.016" TargetMode="External"/><Relationship Id="rId113" Type="http://schemas.openxmlformats.org/officeDocument/2006/relationships/hyperlink" Target="https://doi.org/10.1016/j.cpc.2009.09.018" TargetMode="External"/><Relationship Id="rId112" Type="http://schemas.openxmlformats.org/officeDocument/2006/relationships/hyperlink" Target="https://doi.org/10.1016/j.cub.2018.07.083" TargetMode="External"/><Relationship Id="rId54" Type="http://schemas.openxmlformats.org/officeDocument/2006/relationships/hyperlink" Target="https://doi.org/10.1016/j.ejphar.2025.177618" TargetMode="External"/><Relationship Id="rId106" Type="http://schemas.openxmlformats.org/officeDocument/2006/relationships/hyperlink" Target="https://doi.org/10.1016/j.exger.2005.02.005" TargetMode="External"/><Relationship Id="rId67" Type="http://schemas.openxmlformats.org/officeDocument/2006/relationships/hyperlink" Target="https://doi.org/10.1016/j.febslet.2005.09.096" TargetMode="External"/><Relationship Id="rId109" Type="http://schemas.openxmlformats.org/officeDocument/2006/relationships/hyperlink" Target="https://doi.org/10.1016/j.ibmb.2011.05.004" TargetMode="External"/><Relationship Id="rId69" Type="http://schemas.openxmlformats.org/officeDocument/2006/relationships/hyperlink" Target="https://doi.org/10.1016/j.ibmb.2017.05.006" TargetMode="External"/><Relationship Id="rId74" Type="http://schemas.openxmlformats.org/officeDocument/2006/relationships/hyperlink" Target="https://doi.org/10.1016/j.pestbp.2011.10.010" TargetMode="External"/><Relationship Id="rId60" Type="http://schemas.openxmlformats.org/officeDocument/2006/relationships/hyperlink" Target="https://doi.org/10.1016/j.pestbp.2017.01.007" TargetMode="External"/><Relationship Id="rId104" Type="http://schemas.openxmlformats.org/officeDocument/2006/relationships/hyperlink" Target="https://doi.org/10.1016/j.pestbp.2022.105118" TargetMode="External"/><Relationship Id="rId75" Type="http://schemas.openxmlformats.org/officeDocument/2006/relationships/hyperlink" Target="https://doi.org/10.1016/s0378-4274(01)00366-6" TargetMode="External"/><Relationship Id="rId99" Type="http://schemas.openxmlformats.org/officeDocument/2006/relationships/hyperlink" Target="https://doi.org/10.1021/ac3002319" TargetMode="External"/><Relationship Id="rId98" Type="http://schemas.openxmlformats.org/officeDocument/2006/relationships/hyperlink" Target="https://doi.org/10.1021/ac701785z" TargetMode="External"/><Relationship Id="rId81" Type="http://schemas.openxmlformats.org/officeDocument/2006/relationships/hyperlink" Target="https://doi.org/10.1021/jf000873c" TargetMode="External"/><Relationship Id="rId59" Type="http://schemas.openxmlformats.org/officeDocument/2006/relationships/hyperlink" Target="https://doi.org/10.1038/363449a0" TargetMode="External"/><Relationship Id="rId117" Type="http://schemas.openxmlformats.org/officeDocument/2006/relationships/hyperlink" Target="https://doi.org/10.1038/s41562-020-0912-z" TargetMode="External"/><Relationship Id="rId56" Type="http://schemas.openxmlformats.org/officeDocument/2006/relationships/hyperlink" Target="https://doi.org/10.1038/s41586-024-07558-y" TargetMode="External"/><Relationship Id="rId96" Type="http://schemas.openxmlformats.org/officeDocument/2006/relationships/hyperlink" Target="https://doi.org/10.1038/s41598-017-09800-2" TargetMode="External"/><Relationship Id="rId111" Type="http://schemas.openxmlformats.org/officeDocument/2006/relationships/hyperlink" Target="https://doi.org/10.1038/s42003-024-06852-9" TargetMode="External"/><Relationship Id="rId119" Type="http://schemas.openxmlformats.org/officeDocument/2006/relationships/hyperlink" Target="https://doi.org/10.1046/j.1471-4159.1996.67041669.x" TargetMode="External"/><Relationship Id="rId108" Type="http://schemas.openxmlformats.org/officeDocument/2006/relationships/hyperlink" Target="https://doi.org/10.1073/pnas.2011828117" TargetMode="External"/><Relationship Id="rId66" Type="http://schemas.openxmlformats.org/officeDocument/2006/relationships/hyperlink" Target="https://doi.org/10.1073/pnas.91.13.5922" TargetMode="External"/><Relationship Id="rId77" Type="http://schemas.openxmlformats.org/officeDocument/2006/relationships/hyperlink" Target="https://doi.org/10.1074/jbc.M011264200" TargetMode="External"/><Relationship Id="rId82" Type="http://schemas.openxmlformats.org/officeDocument/2006/relationships/hyperlink" Target="https://doi.org/10.1074/jbc.R112.406280" TargetMode="External"/><Relationship Id="rId68" Type="http://schemas.openxmlformats.org/officeDocument/2006/relationships/hyperlink" Target="https://doi.org/10.1085/jgp.115.3.305" TargetMode="External"/><Relationship Id="rId115" Type="http://schemas.openxmlformats.org/officeDocument/2006/relationships/hyperlink" Target="https://doi.org/10.1109/ISUMA.1990.151285" TargetMode="External"/><Relationship Id="rId118" Type="http://schemas.openxmlformats.org/officeDocument/2006/relationships/hyperlink" Target="https://doi.org/10.1109/TSSC.1966.300074" TargetMode="External"/><Relationship Id="rId71" Type="http://schemas.openxmlformats.org/officeDocument/2006/relationships/hyperlink" Target="https://doi.org/10.1111/bph.14018" TargetMode="External"/><Relationship Id="rId63" Type="http://schemas.openxmlformats.org/officeDocument/2006/relationships/hyperlink" Target="https://doi.org/10.1111/j.1365-2583.2010.01017.x" TargetMode="External"/><Relationship Id="rId64" Type="http://schemas.openxmlformats.org/officeDocument/2006/relationships/hyperlink" Target="https://doi.org/10.1111/j.1471-4159.2004.02922.x" TargetMode="External"/><Relationship Id="rId61" Type="http://schemas.openxmlformats.org/officeDocument/2006/relationships/hyperlink" Target="https://doi.org/10.1111/j.1476-5381.1995.tb15896.x" TargetMode="External"/><Relationship Id="rId62" Type="http://schemas.openxmlformats.org/officeDocument/2006/relationships/hyperlink" Target="https://doi.org/10.1111/j.1476-5381.1996.tb16720.x" TargetMode="External"/><Relationship Id="rId89" Type="http://schemas.openxmlformats.org/officeDocument/2006/relationships/hyperlink" Target="https://doi.org/10.1111/j.1744-7348.1939.tb06990.x" TargetMode="External"/><Relationship Id="rId70" Type="http://schemas.openxmlformats.org/officeDocument/2006/relationships/hyperlink" Target="https://doi.org/10.1113/jphysiol.1994.sp020278" TargetMode="External"/><Relationship Id="rId94" Type="http://schemas.openxmlformats.org/officeDocument/2006/relationships/hyperlink" Target="https://doi.org/10.1126/science.1074170" TargetMode="External"/><Relationship Id="rId88" Type="http://schemas.openxmlformats.org/officeDocument/2006/relationships/hyperlink" Target="https://doi.org/10.1126/science.abk2432" TargetMode="External"/><Relationship Id="rId79" Type="http://schemas.openxmlformats.org/officeDocument/2006/relationships/hyperlink" Target="https://doi.org/10.1146/annurev.ento.48.091801.112731" TargetMode="External"/><Relationship Id="rId80" Type="http://schemas.openxmlformats.org/officeDocument/2006/relationships/hyperlink" Target="https://doi.org/10.1146/annurev.pharmtox.45.120403.095930" TargetMode="External"/><Relationship Id="rId116" Type="http://schemas.openxmlformats.org/officeDocument/2006/relationships/hyperlink" Target="https://doi.org/10.1177/1745691616658637" TargetMode="External"/><Relationship Id="rId65" Type="http://schemas.openxmlformats.org/officeDocument/2006/relationships/hyperlink" Target="https://doi.org/10.1186/1471-2148-4-4" TargetMode="External"/><Relationship Id="rId58" Type="http://schemas.openxmlformats.org/officeDocument/2006/relationships/hyperlink" Target="https://doi.org/10.1186/1471-2202-12-51" TargetMode="External"/><Relationship Id="rId107" Type="http://schemas.openxmlformats.org/officeDocument/2006/relationships/hyperlink" Target="https://doi.org/10.1242/jeb.110510" TargetMode="External"/><Relationship Id="rId95" Type="http://schemas.openxmlformats.org/officeDocument/2006/relationships/hyperlink" Target="https://doi.org/10.1242/jeb.204.19.3323" TargetMode="External"/><Relationship Id="rId103" Type="http://schemas.openxmlformats.org/officeDocument/2006/relationships/hyperlink" Target="https://doi.org/10.1371/journal.pone.0039863" TargetMode="External"/><Relationship Id="rId73" Type="http://schemas.openxmlformats.org/officeDocument/2006/relationships/hyperlink" Target="https://doi.org/10.1371/journal.pone.0097468" TargetMode="External"/><Relationship Id="rId93" Type="http://schemas.openxmlformats.org/officeDocument/2006/relationships/hyperlink" Target="https://doi.org/10.1371/journal.pone.0176837" TargetMode="External"/><Relationship Id="rId105" Type="http://schemas.openxmlformats.org/officeDocument/2006/relationships/hyperlink" Target="https://doi.org/10.1523/JNEUROSCI.1312-14.2015" TargetMode="External"/><Relationship Id="rId90" Type="http://schemas.openxmlformats.org/officeDocument/2006/relationships/hyperlink" Target="https://doi.org/10.1673/031.010.14142" TargetMode="External"/><Relationship Id="rId55" Type="http://schemas.openxmlformats.org/officeDocument/2006/relationships/hyperlink" Target="https://doi.org/10.20944/preprints202507.0959.v1" TargetMode="External"/><Relationship Id="rId78" Type="http://schemas.openxmlformats.org/officeDocument/2006/relationships/hyperlink" Target="https://doi.org/10.3389/fphys.2021.659440" TargetMode="External"/><Relationship Id="rId102" Type="http://schemas.openxmlformats.org/officeDocument/2006/relationships/hyperlink" Target="https://doi.org/10.3791/56507" TargetMode="External"/><Relationship Id="rId84" Type="http://schemas.openxmlformats.org/officeDocument/2006/relationships/hyperlink" Target="https://doi.org/10.7554/eLife.34550" TargetMode="External"/><Relationship Id="rId83" Type="http://schemas.openxmlformats.org/officeDocument/2006/relationships/hyperlink" Target="https://doi.org/10.7554/eLife.54074" TargetMode="External"/><Relationship Id="rId110" Type="http://schemas.openxmlformats.org/officeDocument/2006/relationships/hyperlink" Target="https://doi.org/10.7554/eLife.62362" TargetMode="External"/><Relationship Id="rId52" Type="http://schemas.openxmlformats.org/officeDocument/2006/relationships/hyperlink" Target="https://github.com/pinkysworld/FlyLab/tree/codex/flylab-reviewed-manuscript/pap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 Input Dependence in Literature Parameterised Network Simulations</dc:title>
  <dc:creator>Michél Nguyen</dc:creator>
  <cp:keywords/>
  <dcterms:created xsi:type="dcterms:W3CDTF">2026-09-23T04:42:59Z</dcterms:created>
  <dcterms:modified xsi:type="dcterms:W3CDTF">2026-09-23T04:42:59Z</dcterms:modified>
  <cp:lastModifiedBy>Michél Nguyen</cp:lastModifiedBy>
  <dc:description/>
</cp:coreProperties>
</file>

<file path=docProps/custom.xml><?xml version="1.0" encoding="utf-8"?>
<Properties xmlns="http://schemas.openxmlformats.org/officeDocument/2006/custom-properties" xmlns:vt="http://schemas.openxmlformats.org/officeDocument/2006/docPropsVTypes"/>
</file>