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trace of real package upgrades, a formal security analysis of the reference-authentication construction, and a measured shared-bottleneck path emulation whose result sharpens the claim boundary: byte savings do not automatically shorten completion time for small repair-bearing transfers competing on a constrained path.</w:t>
      </w:r>
    </w:p>
    <w:p>
      <w:pPr>
        <w:spacing w:after="80" w:before="0"/>
      </w:pPr>
      <w:r>
        <w:rPr>
          <w:sz w:val="20"/>
        </w:rPr>
        <w:t>Quantitatively, on object-aligned public release transfers ReduLink reaches 1.94x to 9.70x effective stream-payload reduction (and 21.37x on a layer-like positive case), within a few percent of an idealized fixed-object-reuse baseline, while the authenticated variant stays within a few additional percent; on ordinary source-tree updates rsync wins by up to 73x, which we report rather than hide.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22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artifact uses conservative accounting overheads of 24 bytes for FULL metadata and 32 bytes for REF metadata; these are accounting inputs, not a final QUIC wire encoding, which would recompute overhead from varint lengths and authentication-tag choice.</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The artifact derives inner authentication keys with an HKDF exporter-style schedule keyed by an explicit experiment secret plus ALPN, epoch, scope, connection, and stream context; tests confirm that the derived secret changes when any of these inputs changes. A production profile should instead key this schedule from QUIC TLS exporter bytes.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the implementation rejects tampered tags and replayed nonces in its own HMAC model, which shows the design behaves as specified, not that it withstands a defined adversary. There is no formal model or reduction, and production keying and replay-window policy are unimplemented.</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recomputes the tag, checks the epoch, scope, stream, and offset against the expected values, rejects any previously seen nonce, and reconstructs or admits bytes only on success.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context fails because the nonce is rejected once seen. The expansion bound holds because the receiver delivers exactly length bytes from the identified dictionary entry.</w:t>
      </w:r>
    </w:p>
    <w:p>
      <w:pPr>
        <w:spacing w:after="80" w:before="0"/>
      </w:pPr>
      <w:r>
        <w:rPr>
          <w:sz w:val="20"/>
        </w:rPr>
        <w:t>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independent captured positive trace of real package upgrades is added in Section 7.5.</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the effective multiplier is bounded by roughly one over one minus the unchanged fraction,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only a few additional percent.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Independent package-upgrade trace</w:t>
      </w:r>
    </w:p>
    <w:p>
      <w:pPr>
        <w:spacing w:after="80" w:before="0"/>
      </w:pPr>
      <w:r>
        <w:rPr>
          <w:sz w:val="20"/>
        </w:rPr>
        <w:t>The fixtures of Section 7 and the object-aligned experiment use bytes the author selected; to obtain a positive case from fully independent data, Table 11 reports a captured trace of real package upgrades.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neither the corpus nor the overlap was chosen by the author; the overlap is whatever the real releases happened to share.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Independent captured positive trace: real PyPI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12 compares raw and ReduLink stream mapping at zero and periodic datagram loss, and Table 13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w:t>
      </w:r>
    </w:p>
    <w:p>
      <w:pPr>
        <w:spacing w:after="40" w:before="120"/>
      </w:pPr>
      <w:r>
        <w:rPr>
          <w:b/>
          <w:sz w:val="18"/>
        </w:rPr>
        <w:t>Table 12.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13.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14 reports three repeated trials of the native demo workload. The multiplier is deterministic for fixed bytes, while elapsed times vary modestly across runs; reporting both avoids cherry-picking a single favorable QUIC run; with only three trials these are run-to-run stability indicators rather than a statistically powered variance estimate. Table 15 then scales the payload from 96 to 16,384 blocks (96 KiB to 16 MiB): the stream multiplier rises from 3.19x to 3.94x as more reusable chunks accumulate, and reconstruction remains byte-exact at every scale. The 16 MiB rows expose an operating constraint that smaller runs cannot show: with the artifact's default dictionary budget of 8,192 chunks, a 16,384-chunk warm set overflows the LRU, sequential FULL admissions cascade-evict the remaining warm entries, and ReduLink degrades to a FULL-only stream (0.92x, pure framing overhead) while still reconstructing byte-exactly, i.e. it fails safe rather than wrong. Raising the budget to 24,576 chunks restores 3.96x and roughly halves completion time. Dictionary sizing relative to the warm working set is therefore a hard provisioning requirement, not a tuning nicety.</w:t>
      </w:r>
    </w:p>
    <w:p>
      <w:pPr>
        <w:spacing w:after="40" w:before="120"/>
      </w:pPr>
      <w:r>
        <w:rPr>
          <w:b/>
          <w:sz w:val="18"/>
        </w:rPr>
        <w:t>Table 14.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40" w:before="120"/>
      </w:pPr>
      <w:r>
        <w:rPr>
          <w:b/>
          <w:sz w:val="18"/>
        </w:rPr>
        <w:t>Table 15. Payload scaling of the native aioquic stream mapping, including the dictionary-budget overflow and recovery at 16 MiB.</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296"/>
            <w:vAlign w:val="top"/>
            <w:tcMar>
              <w:top w:w="40" w:type="dxa"/>
              <w:left w:w="40" w:type="dxa"/>
              <w:bottom w:w="40" w:type="dxa"/>
              <w:right w:w="40" w:type="dxa"/>
            </w:tcMar>
          </w:tcPr>
          <w:p>
            <w:pPr>
              <w:spacing w:after="0"/>
            </w:pPr>
            <w:r/>
            <w:r>
              <w:rPr>
                <w:b/>
                <w:sz w:val="14"/>
              </w:rPr>
              <w:t>Blocks</w:t>
            </w:r>
          </w:p>
        </w:tc>
        <w:tc>
          <w:tcPr>
            <w:tcW w:type="dxa" w:w="1584"/>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Dict budget</w:t>
            </w:r>
          </w:p>
        </w:tc>
        <w:tc>
          <w:tcPr>
            <w:tcW w:type="dxa" w:w="1152"/>
            <w:vAlign w:val="top"/>
            <w:tcMar>
              <w:top w:w="40" w:type="dxa"/>
              <w:left w:w="40" w:type="dxa"/>
              <w:bottom w:w="40" w:type="dxa"/>
              <w:right w:w="40" w:type="dxa"/>
            </w:tcMar>
          </w:tcPr>
          <w:p>
            <w:pPr>
              <w:spacing w:after="0"/>
            </w:pPr>
            <w:r/>
            <w:r>
              <w:rPr>
                <w:b/>
                <w:sz w:val="14"/>
              </w:rPr>
              <w:t>Stream x</w:t>
            </w:r>
          </w:p>
        </w:tc>
        <w:tc>
          <w:tcPr>
            <w:tcW w:type="dxa" w:w="1152"/>
            <w:vAlign w:val="top"/>
            <w:tcMar>
              <w:top w:w="40" w:type="dxa"/>
              <w:left w:w="40" w:type="dxa"/>
              <w:bottom w:w="40" w:type="dxa"/>
              <w:right w:w="40" w:type="dxa"/>
            </w:tcMar>
          </w:tcPr>
          <w:p>
            <w:pPr>
              <w:spacing w:after="0"/>
            </w:pPr>
            <w:r/>
            <w:r>
              <w:rPr>
                <w:b/>
                <w:sz w:val="14"/>
              </w:rPr>
              <w:t>Misses</w:t>
            </w:r>
          </w:p>
        </w:tc>
        <w:tc>
          <w:tcPr>
            <w:tcW w:type="dxa" w:w="1296"/>
            <w:vAlign w:val="top"/>
            <w:tcMar>
              <w:top w:w="40" w:type="dxa"/>
              <w:left w:w="40" w:type="dxa"/>
              <w:bottom w:w="40" w:type="dxa"/>
              <w:right w:w="40" w:type="dxa"/>
            </w:tcMar>
          </w:tcPr>
          <w:p>
            <w:pPr>
              <w:spacing w:after="0"/>
            </w:pPr>
            <w:r/>
            <w:r>
              <w:rPr>
                <w:b/>
                <w:sz w:val="14"/>
              </w:rPr>
              <w:t>Client ms</w:t>
            </w:r>
          </w:p>
        </w:tc>
        <w:tc>
          <w:tcPr>
            <w:tcW w:type="dxa" w:w="1008"/>
            <w:vAlign w:val="top"/>
            <w:tcMar>
              <w:top w:w="40" w:type="dxa"/>
              <w:left w:w="40" w:type="dxa"/>
              <w:bottom w:w="40" w:type="dxa"/>
              <w:right w:w="40" w:type="dxa"/>
            </w:tcMar>
          </w:tcPr>
          <w:p>
            <w:pPr>
              <w:spacing w:after="0"/>
            </w:pPr>
            <w:r/>
            <w:r>
              <w:rPr>
                <w:b/>
                <w:sz w:val="14"/>
              </w:rPr>
              <w:t>Recon.</w:t>
            </w:r>
          </w:p>
        </w:tc>
      </w:tr>
      <w:tr>
        <w:tc>
          <w:tcPr>
            <w:tcW w:type="dxa" w:w="1296"/>
            <w:vAlign w:val="top"/>
            <w:tcMar>
              <w:top w:w="40" w:type="dxa"/>
              <w:left w:w="40" w:type="dxa"/>
              <w:bottom w:w="40" w:type="dxa"/>
              <w:right w:w="40" w:type="dxa"/>
            </w:tcMar>
          </w:tcPr>
          <w:p>
            <w:pPr>
              <w:spacing w:after="0"/>
            </w:pPr>
            <w:r/>
            <w:r>
              <w:rPr>
                <w:b w:val="0"/>
                <w:sz w:val="14"/>
              </w:rPr>
              <w:t>96</w:t>
            </w:r>
          </w:p>
        </w:tc>
        <w:tc>
          <w:tcPr>
            <w:tcW w:type="dxa" w:w="1584"/>
            <w:vAlign w:val="top"/>
            <w:tcMar>
              <w:top w:w="40" w:type="dxa"/>
              <w:left w:w="40" w:type="dxa"/>
              <w:bottom w:w="40" w:type="dxa"/>
              <w:right w:w="40" w:type="dxa"/>
            </w:tcMar>
          </w:tcPr>
          <w:p>
            <w:pPr>
              <w:spacing w:after="0"/>
            </w:pPr>
            <w:r/>
            <w:r>
              <w:rPr>
                <w:b w:val="0"/>
                <w:sz w:val="14"/>
              </w:rPr>
              <w:t>98,304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3.19x</w:t>
            </w:r>
          </w:p>
        </w:tc>
        <w:tc>
          <w:tcPr>
            <w:tcW w:type="dxa" w:w="1152"/>
            <w:vAlign w:val="top"/>
            <w:tcMar>
              <w:top w:w="40" w:type="dxa"/>
              <w:left w:w="40" w:type="dxa"/>
              <w:bottom w:w="40" w:type="dxa"/>
              <w:right w:w="40" w:type="dxa"/>
            </w:tcMar>
          </w:tcPr>
          <w:p>
            <w:pPr>
              <w:spacing w:after="0"/>
            </w:pPr>
            <w:r/>
            <w:r>
              <w:rPr>
                <w:b w:val="0"/>
                <w:sz w:val="14"/>
              </w:rPr>
              <w:t>13</w:t>
            </w:r>
          </w:p>
        </w:tc>
        <w:tc>
          <w:tcPr>
            <w:tcW w:type="dxa" w:w="1296"/>
            <w:vAlign w:val="top"/>
            <w:tcMar>
              <w:top w:w="40" w:type="dxa"/>
              <w:left w:w="40" w:type="dxa"/>
              <w:bottom w:w="40" w:type="dxa"/>
              <w:right w:w="40" w:type="dxa"/>
            </w:tcMar>
          </w:tcPr>
          <w:p>
            <w:pPr>
              <w:spacing w:after="0"/>
            </w:pPr>
            <w:r/>
            <w:r>
              <w:rPr>
                <w:b w:val="0"/>
                <w:sz w:val="14"/>
              </w:rPr>
              <w:t>98.4</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512</w:t>
            </w:r>
          </w:p>
        </w:tc>
        <w:tc>
          <w:tcPr>
            <w:tcW w:type="dxa" w:w="1584"/>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3.77x</w:t>
            </w:r>
          </w:p>
        </w:tc>
        <w:tc>
          <w:tcPr>
            <w:tcW w:type="dxa" w:w="1152"/>
            <w:vAlign w:val="top"/>
            <w:tcMar>
              <w:top w:w="40" w:type="dxa"/>
              <w:left w:w="40" w:type="dxa"/>
              <w:bottom w:w="40" w:type="dxa"/>
              <w:right w:w="40" w:type="dxa"/>
            </w:tcMar>
          </w:tcPr>
          <w:p>
            <w:pPr>
              <w:spacing w:after="0"/>
            </w:pPr>
            <w:r/>
            <w:r>
              <w:rPr>
                <w:b w:val="0"/>
                <w:sz w:val="14"/>
              </w:rPr>
              <w:t>73</w:t>
            </w:r>
          </w:p>
        </w:tc>
        <w:tc>
          <w:tcPr>
            <w:tcW w:type="dxa" w:w="1296"/>
            <w:vAlign w:val="top"/>
            <w:tcMar>
              <w:top w:w="40" w:type="dxa"/>
              <w:left w:w="40" w:type="dxa"/>
              <w:bottom w:w="40" w:type="dxa"/>
              <w:right w:w="40" w:type="dxa"/>
            </w:tcMar>
          </w:tcPr>
          <w:p>
            <w:pPr>
              <w:spacing w:after="0"/>
            </w:pPr>
            <w:r/>
            <w:r>
              <w:rPr>
                <w:b w:val="0"/>
                <w:sz w:val="14"/>
              </w:rPr>
              <w:t>123.7</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1024</w:t>
            </w:r>
          </w:p>
        </w:tc>
        <w:tc>
          <w:tcPr>
            <w:tcW w:type="dxa" w:w="1584"/>
            <w:vAlign w:val="top"/>
            <w:tcMar>
              <w:top w:w="40" w:type="dxa"/>
              <w:left w:w="40" w:type="dxa"/>
              <w:bottom w:w="40" w:type="dxa"/>
              <w:right w:w="40" w:type="dxa"/>
            </w:tcMar>
          </w:tcPr>
          <w:p>
            <w:pPr>
              <w:spacing w:after="0"/>
            </w:pPr>
            <w:r/>
            <w:r>
              <w:rPr>
                <w:b w:val="0"/>
                <w:sz w:val="14"/>
              </w:rPr>
              <w:t>1,048,576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3.87x</w:t>
            </w:r>
          </w:p>
        </w:tc>
        <w:tc>
          <w:tcPr>
            <w:tcW w:type="dxa" w:w="1152"/>
            <w:vAlign w:val="top"/>
            <w:tcMar>
              <w:top w:w="40" w:type="dxa"/>
              <w:left w:w="40" w:type="dxa"/>
              <w:bottom w:w="40" w:type="dxa"/>
              <w:right w:w="40" w:type="dxa"/>
            </w:tcMar>
          </w:tcPr>
          <w:p>
            <w:pPr>
              <w:spacing w:after="0"/>
            </w:pPr>
            <w:r/>
            <w:r>
              <w:rPr>
                <w:b w:val="0"/>
                <w:sz w:val="14"/>
              </w:rPr>
              <w:t>146</w:t>
            </w:r>
          </w:p>
        </w:tc>
        <w:tc>
          <w:tcPr>
            <w:tcW w:type="dxa" w:w="1296"/>
            <w:vAlign w:val="top"/>
            <w:tcMar>
              <w:top w:w="40" w:type="dxa"/>
              <w:left w:w="40" w:type="dxa"/>
              <w:bottom w:w="40" w:type="dxa"/>
              <w:right w:w="40" w:type="dxa"/>
            </w:tcMar>
          </w:tcPr>
          <w:p>
            <w:pPr>
              <w:spacing w:after="0"/>
            </w:pPr>
            <w:r/>
            <w:r>
              <w:rPr>
                <w:b w:val="0"/>
                <w:sz w:val="14"/>
              </w:rPr>
              <w:t>145.8</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4096</w:t>
            </w:r>
          </w:p>
        </w:tc>
        <w:tc>
          <w:tcPr>
            <w:tcW w:type="dxa" w:w="1584"/>
            <w:vAlign w:val="top"/>
            <w:tcMar>
              <w:top w:w="40" w:type="dxa"/>
              <w:left w:w="40" w:type="dxa"/>
              <w:bottom w:w="40" w:type="dxa"/>
              <w:right w:w="40" w:type="dxa"/>
            </w:tcMar>
          </w:tcPr>
          <w:p>
            <w:pPr>
              <w:spacing w:after="0"/>
            </w:pPr>
            <w:r/>
            <w:r>
              <w:rPr>
                <w:b w:val="0"/>
                <w:sz w:val="14"/>
              </w:rPr>
              <w:t>4,194,304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3.94x</w:t>
            </w:r>
          </w:p>
        </w:tc>
        <w:tc>
          <w:tcPr>
            <w:tcW w:type="dxa" w:w="1152"/>
            <w:vAlign w:val="top"/>
            <w:tcMar>
              <w:top w:w="40" w:type="dxa"/>
              <w:left w:w="40" w:type="dxa"/>
              <w:bottom w:w="40" w:type="dxa"/>
              <w:right w:w="40" w:type="dxa"/>
            </w:tcMar>
          </w:tcPr>
          <w:p>
            <w:pPr>
              <w:spacing w:after="0"/>
            </w:pPr>
            <w:r/>
            <w:r>
              <w:rPr>
                <w:b w:val="0"/>
                <w:sz w:val="14"/>
              </w:rPr>
              <w:t>585</w:t>
            </w:r>
          </w:p>
        </w:tc>
        <w:tc>
          <w:tcPr>
            <w:tcW w:type="dxa" w:w="1296"/>
            <w:vAlign w:val="top"/>
            <w:tcMar>
              <w:top w:w="40" w:type="dxa"/>
              <w:left w:w="40" w:type="dxa"/>
              <w:bottom w:w="40" w:type="dxa"/>
              <w:right w:w="40" w:type="dxa"/>
            </w:tcMar>
          </w:tcPr>
          <w:p>
            <w:pPr>
              <w:spacing w:after="0"/>
            </w:pPr>
            <w:r/>
            <w:r>
              <w:rPr>
                <w:b w:val="0"/>
                <w:sz w:val="14"/>
              </w:rPr>
              <w:t>229.1</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0.92x</w:t>
            </w:r>
          </w:p>
        </w:tc>
        <w:tc>
          <w:tcPr>
            <w:tcW w:type="dxa" w:w="1152"/>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1305.3</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24,576</w:t>
            </w:r>
          </w:p>
        </w:tc>
        <w:tc>
          <w:tcPr>
            <w:tcW w:type="dxa" w:w="1152"/>
            <w:vAlign w:val="top"/>
            <w:tcMar>
              <w:top w:w="40" w:type="dxa"/>
              <w:left w:w="40" w:type="dxa"/>
              <w:bottom w:w="40" w:type="dxa"/>
              <w:right w:w="40" w:type="dxa"/>
            </w:tcMar>
          </w:tcPr>
          <w:p>
            <w:pPr>
              <w:spacing w:after="0"/>
            </w:pPr>
            <w:r/>
            <w:r>
              <w:rPr>
                <w:b w:val="0"/>
                <w:sz w:val="14"/>
              </w:rPr>
              <w:t>3.96x</w:t>
            </w:r>
          </w:p>
        </w:tc>
        <w:tc>
          <w:tcPr>
            <w:tcW w:type="dxa" w:w="1152"/>
            <w:vAlign w:val="top"/>
            <w:tcMar>
              <w:top w:w="40" w:type="dxa"/>
              <w:left w:w="40" w:type="dxa"/>
              <w:bottom w:w="40" w:type="dxa"/>
              <w:right w:w="40" w:type="dxa"/>
            </w:tcMar>
          </w:tcPr>
          <w:p>
            <w:pPr>
              <w:spacing w:after="0"/>
            </w:pPr>
            <w:r/>
            <w:r>
              <w:rPr>
                <w:b w:val="0"/>
                <w:sz w:val="14"/>
              </w:rPr>
              <w:t>2340</w:t>
            </w:r>
          </w:p>
        </w:tc>
        <w:tc>
          <w:tcPr>
            <w:tcW w:type="dxa" w:w="1296"/>
            <w:vAlign w:val="top"/>
            <w:tcMar>
              <w:top w:w="40" w:type="dxa"/>
              <w:left w:w="40" w:type="dxa"/>
              <w:bottom w:w="40" w:type="dxa"/>
              <w:right w:w="40" w:type="dxa"/>
            </w:tcMar>
          </w:tcPr>
          <w:p>
            <w:pPr>
              <w:spacing w:after="0"/>
            </w:pPr>
            <w:r/>
            <w:r>
              <w:rPr>
                <w:b w:val="0"/>
                <w:sz w:val="14"/>
              </w:rPr>
              <w:t>592.0</w:t>
            </w:r>
          </w:p>
        </w:tc>
        <w:tc>
          <w:tcPr>
            <w:tcW w:type="dxa" w:w="1008"/>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9. Component Costs</w:t>
      </w:r>
    </w:p>
    <w:p>
      <w:pPr>
        <w:spacing w:after="80" w:before="0"/>
      </w:pPr>
      <w:r>
        <w:rPr>
          <w:sz w:val="20"/>
        </w:rPr>
        <w:t>Table 16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16.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17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17.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18 reports a measured concurrent competing-flow experiment in which a raw QUIC flow and a ReduLink flow run simultaneously over a shared localhost schedule with periodic datagram loss, repeated over 12 rounds. Across the measured rounds the reconstructed-rate Jain index [25] is 0.923 and the encoded-rate index is 0.722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without rate shaping; Table 19 adds measured rate and delay emulation. Table 20 is an analytic illustration rather than a measurement: it applies a closed-form fluid model, completion time approximately equal to encoded_bytes times 8 divided by rate, plus two times RTT,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the measured emulation of Table 19 shows why it is optimistic, since the fluid model ignores queueing delay and ReduLink's application-level repair round trips, which in measurement reverse the completion-time ordering at 5 Mbps. We retain the model only as a best-case bound on the byte-volume effect.</w:t>
      </w:r>
    </w:p>
    <w:p>
      <w:pPr>
        <w:spacing w:after="40" w:before="120"/>
      </w:pPr>
      <w:r>
        <w:rPr>
          <w:b/>
          <w:sz w:val="18"/>
        </w:rPr>
        <w:t>Table 18. Measured concurrent competing-flow experiment (Jain fairness index, twelve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12 concurrent rounds, ~25.0 Mbps hint,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0.722</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0.923</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80" w:before="0"/>
      </w:pPr>
      <w:r>
        <w:rPr>
          <w:sz w:val="20"/>
        </w:rPr>
        <w:t>Table 19 adds rate and delay to the same harness as a measured emulation: both flows run concurrently through localhost proxies that share a single userspace token-bucket link with one-way propagation delay, sweeping 5 and 20 Mbps against 20 and 80 ms RTT with three rounds per point. This is a real measurement of aioquic traffic through an emulated bottleneck, though userspace shaping is not kernel netem. The result is deliberately unflattering and, we argue, the most important fairness finding in the paper: despite transmitting 3.19x fewer encoded bytes, ReduLink does not complete faster, and at 5 Mbps with 20 ms RTT it completes about 74 percent slower than the competing raw flow (1275 ms versus 731 ms). The instrumented shaper explains the mechanism: at 5 Mbps the shared queue contributes about 24 ms of mean queueing delay (72 ms maximum) behind the raw flow's larger byte volume, and ReduLink's semantic MISS/repair exchange must cross that inflated path more times than a one-way bulk stream, whereas at 20 Mbps, where measured queueing is about 1 ms, the two flows complete within 3 to 10 percent of each other. Reconstruction is byte-exact in every round and encoded-rate Jain indices stay between 0.67 and 0.78. The sharpened claim boundary follows: on constrained shared paths, ReduLink's measured benefit is byte-cost reduction at equal congestion fairness, not single-transfer latency; completion-time benefits require miss-free warm state or pipelined bulk transfers.</w:t>
      </w:r>
    </w:p>
    <w:p>
      <w:pPr>
        <w:spacing w:after="40" w:before="120"/>
      </w:pPr>
      <w:r>
        <w:rPr>
          <w:b/>
          <w:sz w:val="18"/>
        </w:rPr>
        <w:t>Table 19. Measured shared-bottleneck path emulation (userspace token bucket + one-way delay; three rounds per point): completion, queueing, and encoded-rate fairness for competing raw and ReduLink flows.</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152"/>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152"/>
            <w:vAlign w:val="top"/>
            <w:tcMar>
              <w:top w:w="40" w:type="dxa"/>
              <w:left w:w="40" w:type="dxa"/>
              <w:bottom w:w="40" w:type="dxa"/>
              <w:right w:w="40" w:type="dxa"/>
            </w:tcMar>
          </w:tcPr>
          <w:p>
            <w:pPr>
              <w:spacing w:after="0"/>
            </w:pPr>
            <w:r/>
            <w:r>
              <w:rPr>
                <w:b/>
                <w:sz w:val="14"/>
              </w:rPr>
              <w:t>Raw ms</w:t>
            </w:r>
          </w:p>
        </w:tc>
        <w:tc>
          <w:tcPr>
            <w:tcW w:type="dxa" w:w="1440"/>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440"/>
            <w:vAlign w:val="top"/>
            <w:tcMar>
              <w:top w:w="40" w:type="dxa"/>
              <w:left w:w="40" w:type="dxa"/>
              <w:bottom w:w="40" w:type="dxa"/>
              <w:right w:w="40" w:type="dxa"/>
            </w:tcMar>
          </w:tcPr>
          <w:p>
            <w:pPr>
              <w:spacing w:after="0"/>
            </w:pPr>
            <w:r/>
            <w:r>
              <w:rPr>
                <w:b/>
                <w:sz w:val="14"/>
              </w:rPr>
              <w:t>Mean queue ms</w:t>
            </w:r>
          </w:p>
        </w:tc>
        <w:tc>
          <w:tcPr>
            <w:tcW w:type="dxa" w:w="1152"/>
            <w:vAlign w:val="top"/>
            <w:tcMar>
              <w:top w:w="40" w:type="dxa"/>
              <w:left w:w="40" w:type="dxa"/>
              <w:bottom w:w="40" w:type="dxa"/>
              <w:right w:w="40" w:type="dxa"/>
            </w:tcMar>
          </w:tcPr>
          <w:p>
            <w:pPr>
              <w:spacing w:after="0"/>
            </w:pPr>
            <w:r/>
            <w:r>
              <w:rPr>
                <w:b/>
                <w:sz w:val="14"/>
              </w:rPr>
              <w:t>Jain (enc)</w:t>
            </w:r>
          </w:p>
        </w:tc>
        <w:tc>
          <w:tcPr>
            <w:tcW w:type="dxa" w:w="864"/>
            <w:vAlign w:val="top"/>
            <w:tcMar>
              <w:top w:w="40" w:type="dxa"/>
              <w:left w:w="40" w:type="dxa"/>
              <w:bottom w:w="40" w:type="dxa"/>
              <w:right w:w="40" w:type="dxa"/>
            </w:tcMar>
          </w:tcPr>
          <w:p>
            <w:pPr>
              <w:spacing w:after="0"/>
            </w:pPr>
            <w:r/>
            <w:r>
              <w:rPr>
                <w:b/>
                <w:sz w:val="14"/>
              </w:rPr>
              <w:t>Recon.</w:t>
            </w:r>
          </w:p>
        </w:tc>
      </w:tr>
      <w:tr>
        <w:tc>
          <w:tcPr>
            <w:tcW w:type="dxa" w:w="1152"/>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152"/>
            <w:vAlign w:val="top"/>
            <w:tcMar>
              <w:top w:w="40" w:type="dxa"/>
              <w:left w:w="40" w:type="dxa"/>
              <w:bottom w:w="40" w:type="dxa"/>
              <w:right w:w="40" w:type="dxa"/>
            </w:tcMar>
          </w:tcPr>
          <w:p>
            <w:pPr>
              <w:spacing w:after="0"/>
            </w:pPr>
            <w:r/>
            <w:r>
              <w:rPr>
                <w:b w:val="0"/>
                <w:sz w:val="14"/>
              </w:rPr>
              <w:t>731.4</w:t>
            </w:r>
          </w:p>
        </w:tc>
        <w:tc>
          <w:tcPr>
            <w:tcW w:type="dxa" w:w="1440"/>
            <w:vAlign w:val="top"/>
            <w:tcMar>
              <w:top w:w="40" w:type="dxa"/>
              <w:left w:w="40" w:type="dxa"/>
              <w:bottom w:w="40" w:type="dxa"/>
              <w:right w:w="40" w:type="dxa"/>
            </w:tcMar>
          </w:tcPr>
          <w:p>
            <w:pPr>
              <w:spacing w:after="0"/>
            </w:pPr>
            <w:r/>
            <w:r>
              <w:rPr>
                <w:b w:val="0"/>
                <w:sz w:val="14"/>
              </w:rPr>
              <w:t>1274.8</w:t>
            </w:r>
          </w:p>
        </w:tc>
        <w:tc>
          <w:tcPr>
            <w:tcW w:type="dxa" w:w="1008"/>
            <w:vAlign w:val="top"/>
            <w:tcMar>
              <w:top w:w="40" w:type="dxa"/>
              <w:left w:w="40" w:type="dxa"/>
              <w:bottom w:w="40" w:type="dxa"/>
              <w:right w:w="40" w:type="dxa"/>
            </w:tcMar>
          </w:tcPr>
          <w:p>
            <w:pPr>
              <w:spacing w:after="0"/>
            </w:pPr>
            <w:r/>
            <w:r>
              <w:rPr>
                <w:b w:val="0"/>
                <w:sz w:val="14"/>
              </w:rPr>
              <w:t>1.74x</w:t>
            </w:r>
          </w:p>
        </w:tc>
        <w:tc>
          <w:tcPr>
            <w:tcW w:type="dxa" w:w="1440"/>
            <w:vAlign w:val="top"/>
            <w:tcMar>
              <w:top w:w="40" w:type="dxa"/>
              <w:left w:w="40" w:type="dxa"/>
              <w:bottom w:w="40" w:type="dxa"/>
              <w:right w:w="40" w:type="dxa"/>
            </w:tcMar>
          </w:tcPr>
          <w:p>
            <w:pPr>
              <w:spacing w:after="0"/>
            </w:pPr>
            <w:r/>
            <w:r>
              <w:rPr>
                <w:b w:val="0"/>
                <w:sz w:val="14"/>
              </w:rPr>
              <w:t>23.6</w:t>
            </w:r>
          </w:p>
        </w:tc>
        <w:tc>
          <w:tcPr>
            <w:tcW w:type="dxa" w:w="1152"/>
            <w:vAlign w:val="top"/>
            <w:tcMar>
              <w:top w:w="40" w:type="dxa"/>
              <w:left w:w="40" w:type="dxa"/>
              <w:bottom w:w="40" w:type="dxa"/>
              <w:right w:w="40" w:type="dxa"/>
            </w:tcMar>
          </w:tcPr>
          <w:p>
            <w:pPr>
              <w:spacing w:after="0"/>
            </w:pPr>
            <w:r/>
            <w:r>
              <w:rPr>
                <w:b w:val="0"/>
                <w:sz w:val="14"/>
              </w:rPr>
              <w:t>0.674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152"/>
            <w:vAlign w:val="top"/>
            <w:tcMar>
              <w:top w:w="40" w:type="dxa"/>
              <w:left w:w="40" w:type="dxa"/>
              <w:bottom w:w="40" w:type="dxa"/>
              <w:right w:w="40" w:type="dxa"/>
            </w:tcMar>
          </w:tcPr>
          <w:p>
            <w:pPr>
              <w:spacing w:after="0"/>
            </w:pPr>
            <w:r/>
            <w:r>
              <w:rPr>
                <w:b w:val="0"/>
                <w:sz w:val="14"/>
              </w:rPr>
              <w:t>977.9</w:t>
            </w:r>
          </w:p>
        </w:tc>
        <w:tc>
          <w:tcPr>
            <w:tcW w:type="dxa" w:w="1440"/>
            <w:vAlign w:val="top"/>
            <w:tcMar>
              <w:top w:w="40" w:type="dxa"/>
              <w:left w:w="40" w:type="dxa"/>
              <w:bottom w:w="40" w:type="dxa"/>
              <w:right w:w="40" w:type="dxa"/>
            </w:tcMar>
          </w:tcPr>
          <w:p>
            <w:pPr>
              <w:spacing w:after="0"/>
            </w:pPr>
            <w:r/>
            <w:r>
              <w:rPr>
                <w:b w:val="0"/>
                <w:sz w:val="14"/>
              </w:rPr>
              <w:t>1357.6</w:t>
            </w:r>
          </w:p>
        </w:tc>
        <w:tc>
          <w:tcPr>
            <w:tcW w:type="dxa" w:w="1008"/>
            <w:vAlign w:val="top"/>
            <w:tcMar>
              <w:top w:w="40" w:type="dxa"/>
              <w:left w:w="40" w:type="dxa"/>
              <w:bottom w:w="40" w:type="dxa"/>
              <w:right w:w="40" w:type="dxa"/>
            </w:tcMar>
          </w:tcPr>
          <w:p>
            <w:pPr>
              <w:spacing w:after="0"/>
            </w:pPr>
            <w:r/>
            <w:r>
              <w:rPr>
                <w:b w:val="0"/>
                <w:sz w:val="14"/>
              </w:rPr>
              <w:t>1.39x</w:t>
            </w:r>
          </w:p>
        </w:tc>
        <w:tc>
          <w:tcPr>
            <w:tcW w:type="dxa" w:w="1440"/>
            <w:vAlign w:val="top"/>
            <w:tcMar>
              <w:top w:w="40" w:type="dxa"/>
              <w:left w:w="40" w:type="dxa"/>
              <w:bottom w:w="40" w:type="dxa"/>
              <w:right w:w="40" w:type="dxa"/>
            </w:tcMar>
          </w:tcPr>
          <w:p>
            <w:pPr>
              <w:spacing w:after="0"/>
            </w:pPr>
            <w:r/>
            <w:r>
              <w:rPr>
                <w:b w:val="0"/>
                <w:sz w:val="14"/>
              </w:rPr>
              <w:t>10.3</w:t>
            </w:r>
          </w:p>
        </w:tc>
        <w:tc>
          <w:tcPr>
            <w:tcW w:type="dxa" w:w="1152"/>
            <w:vAlign w:val="top"/>
            <w:tcMar>
              <w:top w:w="40" w:type="dxa"/>
              <w:left w:w="40" w:type="dxa"/>
              <w:bottom w:w="40" w:type="dxa"/>
              <w:right w:w="40" w:type="dxa"/>
            </w:tcMar>
          </w:tcPr>
          <w:p>
            <w:pPr>
              <w:spacing w:after="0"/>
            </w:pPr>
            <w:r/>
            <w:r>
              <w:rPr>
                <w:b w:val="0"/>
                <w:sz w:val="14"/>
              </w:rPr>
              <w:t>0.715</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152"/>
            <w:vAlign w:val="top"/>
            <w:tcMar>
              <w:top w:w="40" w:type="dxa"/>
              <w:left w:w="40" w:type="dxa"/>
              <w:bottom w:w="40" w:type="dxa"/>
              <w:right w:w="40" w:type="dxa"/>
            </w:tcMar>
          </w:tcPr>
          <w:p>
            <w:pPr>
              <w:spacing w:after="0"/>
            </w:pPr>
            <w:r/>
            <w:r>
              <w:rPr>
                <w:b w:val="0"/>
                <w:sz w:val="14"/>
              </w:rPr>
              <w:t>318.5</w:t>
            </w:r>
          </w:p>
        </w:tc>
        <w:tc>
          <w:tcPr>
            <w:tcW w:type="dxa" w:w="1440"/>
            <w:vAlign w:val="top"/>
            <w:tcMar>
              <w:top w:w="40" w:type="dxa"/>
              <w:left w:w="40" w:type="dxa"/>
              <w:bottom w:w="40" w:type="dxa"/>
              <w:right w:w="40" w:type="dxa"/>
            </w:tcMar>
          </w:tcPr>
          <w:p>
            <w:pPr>
              <w:spacing w:after="0"/>
            </w:pPr>
            <w:r/>
            <w:r>
              <w:rPr>
                <w:b w:val="0"/>
                <w:sz w:val="14"/>
              </w:rPr>
              <w:t>350.0</w:t>
            </w:r>
          </w:p>
        </w:tc>
        <w:tc>
          <w:tcPr>
            <w:tcW w:type="dxa" w:w="1008"/>
            <w:vAlign w:val="top"/>
            <w:tcMar>
              <w:top w:w="40" w:type="dxa"/>
              <w:left w:w="40" w:type="dxa"/>
              <w:bottom w:w="40" w:type="dxa"/>
              <w:right w:w="40" w:type="dxa"/>
            </w:tcMar>
          </w:tcPr>
          <w:p>
            <w:pPr>
              <w:spacing w:after="0"/>
            </w:pPr>
            <w:r/>
            <w:r>
              <w:rPr>
                <w:b w:val="0"/>
                <w:sz w:val="14"/>
              </w:rPr>
              <w:t>1.10x</w:t>
            </w:r>
          </w:p>
        </w:tc>
        <w:tc>
          <w:tcPr>
            <w:tcW w:type="dxa" w:w="1440"/>
            <w:vAlign w:val="top"/>
            <w:tcMar>
              <w:top w:w="40" w:type="dxa"/>
              <w:left w:w="40" w:type="dxa"/>
              <w:bottom w:w="40" w:type="dxa"/>
              <w:right w:w="40" w:type="dxa"/>
            </w:tcMar>
          </w:tcPr>
          <w:p>
            <w:pPr>
              <w:spacing w:after="0"/>
            </w:pPr>
            <w:r/>
            <w:r>
              <w:rPr>
                <w:b w:val="0"/>
                <w:sz w:val="14"/>
              </w:rPr>
              <w:t>1.4</w:t>
            </w:r>
          </w:p>
        </w:tc>
        <w:tc>
          <w:tcPr>
            <w:tcW w:type="dxa" w:w="1152"/>
            <w:vAlign w:val="top"/>
            <w:tcMar>
              <w:top w:w="40" w:type="dxa"/>
              <w:left w:w="40" w:type="dxa"/>
              <w:bottom w:w="40" w:type="dxa"/>
              <w:right w:w="40" w:type="dxa"/>
            </w:tcMar>
          </w:tcPr>
          <w:p>
            <w:pPr>
              <w:spacing w:after="0"/>
            </w:pPr>
            <w:r/>
            <w:r>
              <w:rPr>
                <w:b w:val="0"/>
                <w:sz w:val="14"/>
              </w:rPr>
              <w:t>0.764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152"/>
            <w:vAlign w:val="top"/>
            <w:tcMar>
              <w:top w:w="40" w:type="dxa"/>
              <w:left w:w="40" w:type="dxa"/>
              <w:bottom w:w="40" w:type="dxa"/>
              <w:right w:w="40" w:type="dxa"/>
            </w:tcMar>
          </w:tcPr>
          <w:p>
            <w:pPr>
              <w:spacing w:after="0"/>
            </w:pPr>
            <w:r/>
            <w:r>
              <w:rPr>
                <w:b w:val="0"/>
                <w:sz w:val="14"/>
              </w:rPr>
              <w:t>794.3</w:t>
            </w:r>
          </w:p>
        </w:tc>
        <w:tc>
          <w:tcPr>
            <w:tcW w:type="dxa" w:w="1440"/>
            <w:vAlign w:val="top"/>
            <w:tcMar>
              <w:top w:w="40" w:type="dxa"/>
              <w:left w:w="40" w:type="dxa"/>
              <w:bottom w:w="40" w:type="dxa"/>
              <w:right w:w="40" w:type="dxa"/>
            </w:tcMar>
          </w:tcPr>
          <w:p>
            <w:pPr>
              <w:spacing w:after="0"/>
            </w:pPr>
            <w:r/>
            <w:r>
              <w:rPr>
                <w:b w:val="0"/>
                <w:sz w:val="14"/>
              </w:rPr>
              <w:t>817.1</w:t>
            </w:r>
          </w:p>
        </w:tc>
        <w:tc>
          <w:tcPr>
            <w:tcW w:type="dxa" w:w="1008"/>
            <w:vAlign w:val="top"/>
            <w:tcMar>
              <w:top w:w="40" w:type="dxa"/>
              <w:left w:w="40" w:type="dxa"/>
              <w:bottom w:w="40" w:type="dxa"/>
              <w:right w:w="40" w:type="dxa"/>
            </w:tcMar>
          </w:tcPr>
          <w:p>
            <w:pPr>
              <w:spacing w:after="0"/>
            </w:pPr>
            <w:r/>
            <w:r>
              <w:rPr>
                <w:b w:val="0"/>
                <w:sz w:val="14"/>
              </w:rPr>
              <w:t>1.03x</w:t>
            </w:r>
          </w:p>
        </w:tc>
        <w:tc>
          <w:tcPr>
            <w:tcW w:type="dxa" w:w="1440"/>
            <w:vAlign w:val="top"/>
            <w:tcMar>
              <w:top w:w="40" w:type="dxa"/>
              <w:left w:w="40" w:type="dxa"/>
              <w:bottom w:w="40" w:type="dxa"/>
              <w:right w:w="40" w:type="dxa"/>
            </w:tcMar>
          </w:tcPr>
          <w:p>
            <w:pPr>
              <w:spacing w:after="0"/>
            </w:pPr>
            <w:r/>
            <w:r>
              <w:rPr>
                <w:b w:val="0"/>
                <w:sz w:val="14"/>
              </w:rPr>
              <w:t>0.5</w:t>
            </w:r>
          </w:p>
        </w:tc>
        <w:tc>
          <w:tcPr>
            <w:tcW w:type="dxa" w:w="1152"/>
            <w:vAlign w:val="top"/>
            <w:tcMar>
              <w:top w:w="40" w:type="dxa"/>
              <w:left w:w="40" w:type="dxa"/>
              <w:bottom w:w="40" w:type="dxa"/>
              <w:right w:w="40" w:type="dxa"/>
            </w:tcMar>
          </w:tcPr>
          <w:p>
            <w:pPr>
              <w:spacing w:after="0"/>
            </w:pPr>
            <w:r/>
            <w:r>
              <w:rPr>
                <w:b w:val="0"/>
                <w:sz w:val="14"/>
              </w:rPr>
              <w:t>0.779</w:t>
            </w:r>
          </w:p>
        </w:tc>
        <w:tc>
          <w:tcPr>
            <w:tcW w:type="dxa" w:w="864"/>
            <w:vAlign w:val="top"/>
            <w:tcMar>
              <w:top w:w="40" w:type="dxa"/>
              <w:left w:w="40" w:type="dxa"/>
              <w:bottom w:w="40" w:type="dxa"/>
              <w:right w:w="40" w:type="dxa"/>
            </w:tcMar>
          </w:tcPr>
          <w:p>
            <w:pPr>
              <w:spacing w:after="0"/>
            </w:pPr>
            <w:r/>
            <w:r>
              <w:rPr>
                <w:b w:val="0"/>
                <w:sz w:val="14"/>
              </w:rPr>
              <w:t>OK</w:t>
            </w:r>
          </w:p>
        </w:tc>
      </w:tr>
    </w:tbl>
    <w:p/>
    <w:p>
      <w:pPr>
        <w:spacing w:after="40" w:before="120"/>
      </w:pPr>
      <w:r>
        <w:rPr>
          <w:b/>
          <w:sz w:val="18"/>
        </w:rPr>
        <w:t>Table 20.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does not include a full tc/netem or Mininet congestion-control study; the competing-flow and bottleneck results are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21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21.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or file object and can run a delta protocol; and HTTP delta or shared-dictionary transport is best when the application is HTTP and a codec-level dictionary suffices.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22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22.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twelve-round competing-flow experiment plus a measured userspace path emulation across a rate/RTT grid (Section 10); userspace shaping is faithful at the studied rates but is not kernel tc/netem or Mininet, which requires a privileged host and remains future work, and all transport experiments run over localhost. Native-QUIC experiments now reach 16 MiB over a single localhost connection, including a demonstrated dictionary-budget overflow and recovery; multi-connection behavior, larger-than-memory dictionaries, and Internet-path dynamics remain out of scope. The independent positive trace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remain future work.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privileged-host tc/netem or Mininet fairness study with competing real flows, packet capture, larger and live-captured registry or backup traces, a machine-checked security proof,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scripts/build_manuscript_v3_5.py and scripts/make_journal_figures_v2_8.py. Each version of this manuscript is accompanied by an annotated git tag and a GitHub release whose assets include the final PDF and DOCX; the SHA-256 hashes of both files are pinned in MANUSCRIPT_SHA256.txt in the tagged tree, so reviewers can verify that the reviewed PDF matches the archived artifact.</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tagged release v3.5-journal-submission, GitHub, 2026. https://github.com/pinkysworld/redulink-deduplex-quic/releases/tag/v3.5-journal-submission</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v3.5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