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ReduLink: Authenticated Reference Substitution for Redundancy-Suppressed Transfers over Encrypted QUIC Streams</w:t>
      </w:r>
    </w:p>
    <w:p>
      <w:pPr>
        <w:jc w:val="center"/>
      </w:pPr>
      <w:r>
        <w:rPr>
          <w:sz w:val="20"/>
        </w:rPr>
        <w:t>Michél Nguyen</w:t>
        <w:br/>
        <w:t>University of the People | ORCID: 0000-0001-6834-4422</w:t>
      </w:r>
    </w:p>
    <w:p>
      <w:pPr>
        <w:pStyle w:val="Heading1"/>
      </w:pPr>
      <w:r>
        <w:rPr>
          <w:rFonts w:ascii="Arial" w:hAnsi="Arial"/>
        </w:rPr>
        <w:t>Abstract</w:t>
      </w:r>
    </w:p>
    <w:p>
      <w:pPr>
        <w:spacing w:after="80" w:before="0"/>
      </w:pPr>
      <w:r>
        <w:rPr>
          <w:sz w:val="20"/>
        </w:rPr>
        <w:t>Encrypted transports such as QUIC deliberately hide payload bytes from the network, which disables the transparent in-network redundancy elimination that wide-area optimizers have historically relied on. ReduLink is an endpoint-controlled representation layer that recovers redundancy savings for receivers that already hold related bytes, without breaking encryption: it replaces repeated payload chunks with compact references that are individually authenticated against epoch, scope, stream identifier, reconstructed offset, length, nonce, and chunk identity. The contribution is not a new chunk-matching algorithm and not a claim of faster physical links; it is authenticated, scoped, QUIC-compatible reference substitution with explicit reconstruction, privacy scoping, and fail-closed semantics.</w:t>
      </w:r>
    </w:p>
    <w:p>
      <w:pPr>
        <w:spacing w:after="80" w:before="0"/>
      </w:pPr>
      <w:r>
        <w:rPr>
          <w:sz w:val="20"/>
        </w:rPr>
        <w:t>The artifact maps bounded compact-binary ReduLink messages into server-authenticated aioquic streams, implements semantic MISS/FULL repair, derives a fresh per-run record key from an exporter surrogate plus random connection context, and independently validates receive sequence and reconstructed offset. It does not expose live QUIC TLS exporter bytes and does not authenticate the client. Exact object experiments reconstruct the ordered mapping of names, boundaries, empty objects, and contents; the secure profile also authenticates object headers. We compare fixed reuse, gzip/zstd, rsync, and a pinned zstd dictionary-delta baseline across deterministic and hash-pinned public bytes, and report local QUIC loss, scale, miss-rate, and path-emulation measurements. The legacy Linux tc/netem run launched raw and ReduLink transfers concurrently, so it is retained only as a contention diagnostic, not isolated single-flow latency or fairness evidence.</w:t>
      </w:r>
    </w:p>
    <w:p>
      <w:pPr>
        <w:spacing w:after="80" w:before="0"/>
      </w:pPr>
      <w:r>
        <w:rPr>
          <w:sz w:val="20"/>
        </w:rPr>
        <w:t>On object-aligned public releases the corrected model reaches 1.92x to 9.31x (1.82x to 7.65x at the 29-byte-scope wire profile), and 21.37x (15.28x wire-priced) on the layer-like case. Baselines delimit the claim: rsync dominates ordinary source-tree updates, while zstd 1.5.7 --patch-from reaches about 66x to 1,801x where an exact prior stream and codec delta are acceptable. This baseline is not RFC 9842 Compression Dictionary Transport; RFC 9842 is an HTTP content-coding protocol with dictionary hashes and origin/availability constraints. QUIC AEAD already protects the on-path channel. ReduLink's additional HMACs instead bind post-TLS reference and dictionary state to epoch, scope, stream, offset, nonce, identifier, and length. The supported result is therefore conditional byte reduction with byte-exact, fail-closed reconstruction, not universal compression, lower latency, or Internet fairness.</w:t>
      </w:r>
    </w:p>
    <w:p>
      <w:pPr>
        <w:spacing w:before="40"/>
      </w:pPr>
      <w:r>
        <w:rPr>
          <w:b/>
          <w:sz w:val="18"/>
        </w:rPr>
        <w:t xml:space="preserve">Keywords: </w:t>
      </w:r>
      <w:r>
        <w:rPr>
          <w:sz w:val="18"/>
        </w:rPr>
        <w:t>QUIC; HTTP/3; redundancy elimination; data deduplication; content-defined chunking; shared dictionaries; authenticated references; encrypted transport; reproducible evaluation.</w:t>
      </w:r>
    </w:p>
    <w:p>
      <w:pPr>
        <w:pStyle w:val="Heading1"/>
      </w:pPr>
      <w:r>
        <w:rPr>
          <w:rFonts w:ascii="Arial" w:hAnsi="Arial"/>
        </w:rPr>
        <w:t>1. Introduction</w:t>
      </w:r>
    </w:p>
    <w:p>
      <w:pPr>
        <w:spacing w:after="80" w:before="0"/>
      </w:pPr>
      <w:r>
        <w:rPr>
          <w:sz w:val="20"/>
        </w:rPr>
        <w:t>Encrypted transports restrict transparent in-network redundancy elimination. QUIC combines UDP transport, TLS security, stream multiplexing, loss recovery, and congestion control, which makes middlebox rewriting of payloads the wrong abstraction for most public or end-to-end encrypted deployments [6-10]. A WAN optimizer can only suppress redundancy that it can see, and a correctly deployed QUIC connection ensures that it sees only ciphertext. The redundancy, however, has not disappeared: registries, content-delivery networks, software-update services, and backup systems still send byte-stable objects to receivers that already hold closely related bytes from a previous transfer.</w:t>
      </w:r>
    </w:p>
    <w:p>
      <w:pPr>
        <w:spacing w:after="80" w:before="0"/>
      </w:pPr>
      <w:r>
        <w:rPr>
          <w:sz w:val="20"/>
        </w:rPr>
        <w:t>The practical question is therefore not whether repeated bytes can be replaced by references. Fixed-block reuse, rsync, and low-bandwidth file systems already demonstrate that repeated bytes can be avoided [1-5], and HTTP delta and shared-dictionary mechanisms show that receiver-held bytes can be reused as a dictionary on the web [19-22]. The question this paper addresses is whether a reference-substitution mechanism can be made explicit, individually authenticated, privacy-scoped, and compatible with encrypted endpoint streams, without claiming a universal accelerator and without asking the application to become a file-tree synchronization protocol. Figure 1 shows the resulting architecture: cooperating endpoints that already control the plaintext decide, per chunk, whether to send bytes or an authenticated reference, and the receiver reconstructs or fails closed.</w:t>
      </w:r>
    </w:p>
    <w:p>
      <w:pPr>
        <w:spacing w:after="80" w:before="0"/>
      </w:pPr>
      <w:r>
        <w:rPr>
          <w:sz w:val="20"/>
        </w:rPr>
        <w:t>We use one accounting vocabulary throughout. The effective multiplier is reconstructed or input bytes divided by encoded bytes at a stated accounting layer. Stream-payload multipliers exclude UDP/IP/link overhead; UDP-estimated multipliers add a local IPv4/UDP estimate; and congestion fairness, where claimed, applies to encoded bytes, not reconstructed bytes. This separation is deliberate: ReduLink changes how many application bytes a given number of wire bytes can reconstruct, not the physical line rate.</w:t>
      </w:r>
    </w:p>
    <w:p>
      <w:pPr>
        <w:spacing w:after="80" w:before="0"/>
      </w:pPr>
      <w:r>
        <w:rPr>
          <w:sz w:val="20"/>
        </w:rPr>
        <w:t>This paper investigates three questions. RQ1: can reference substitution over encrypted QUIC streams be made explicit, authenticated, and privacy-scoped without custom transport-layer changes? RQ2: under which workload shapes does authenticated reference substitution save bytes, and where do simpler fixed-block reuse, compression, or rsync win? RQ3: what is the component-level cost of the authentication and accounting machinery, and how stable and fair are the native QUIC results across repeated runs, scales, and emulated bottlenecks? Section 7 answers RQ2, Sections 8 and 10 answer RQ3, and Sections 4 and 5 answer RQ1.</w:t>
      </w:r>
    </w:p>
    <w:p>
      <w:pPr>
        <w:pStyle w:val="Heading1"/>
      </w:pPr>
      <w:r>
        <w:rPr>
          <w:rFonts w:ascii="Arial" w:hAnsi="Arial"/>
        </w:rPr>
        <w:t>2. Contributions and Claim Boundary</w:t>
      </w:r>
    </w:p>
    <w:p>
      <w:pPr>
        <w:spacing w:after="40"/>
        <w:ind w:left="432" w:hanging="259"/>
      </w:pPr>
      <w:r>
        <w:rPr>
          <w:sz w:val="20"/>
        </w:rPr>
        <w:t>- An authenticated ReduLink reference format and validation model for endpoint-controlled encrypted streams, with per-frame binding of epoch, scope, stream id, reconstructed offset, length, nonce, and chunk identity.</w:t>
      </w:r>
    </w:p>
    <w:p>
      <w:pPr>
        <w:spacing w:after="40"/>
        <w:ind w:left="432" w:hanging="259"/>
      </w:pPr>
      <w:r>
        <w:rPr>
          <w:sz w:val="20"/>
        </w:rPr>
        <w:t>- A compact binary mapping carried inside native aioquic QUIC streams, with byte-exact semantic MISS/FULL repair, repeated trials, and a payload-scaling experiment.</w:t>
      </w:r>
    </w:p>
    <w:p>
      <w:pPr>
        <w:spacing w:after="40"/>
        <w:ind w:left="432" w:hanging="259"/>
      </w:pPr>
      <w:r>
        <w:rPr>
          <w:sz w:val="20"/>
        </w:rPr>
        <w:t>- A server-authenticated native path with fresh per-run exporter-surrogate key input, random connection context, independent receive-state checks, and negative tests for wrong secret, scope, epoch, stream, offset, length, replay, and tampering.</w:t>
      </w:r>
    </w:p>
    <w:p>
      <w:pPr>
        <w:spacing w:after="40"/>
        <w:ind w:left="432" w:hanging="259"/>
      </w:pPr>
      <w:r>
        <w:rPr>
          <w:sz w:val="20"/>
        </w:rPr>
        <w:t>- A comparison against fixed-block reuse, gzip/zstd, and real rsync, including cases where these baselines win decisively, plus an explicit contrast with HTTP delta and shared-dictionary transport.</w:t>
      </w:r>
    </w:p>
    <w:p>
      <w:pPr>
        <w:spacing w:after="40"/>
        <w:ind w:left="432" w:hanging="259"/>
      </w:pPr>
      <w:r>
        <w:rPr>
          <w:sz w:val="20"/>
        </w:rPr>
        <w:t>- External public source-release negative evidence, object-aligned public source-release workloads, and a public Redis-derived layer-like positive case, all hash-pinned and reproducible.</w:t>
      </w:r>
    </w:p>
    <w:p>
      <w:pPr>
        <w:spacing w:after="40"/>
        <w:ind w:left="432" w:hanging="259"/>
      </w:pPr>
      <w:r>
        <w:rPr>
          <w:sz w:val="20"/>
        </w:rPr>
        <w:t>- Block-size sensitivity, component-cost measurements, paired local path-emulation diagnostics, and conservative accounting-layer separation without a production-fairness claim.</w:t>
      </w:r>
    </w:p>
    <w:p>
      <w:pPr>
        <w:spacing w:after="80" w:before="0"/>
      </w:pPr>
      <w:r>
        <w:rPr>
          <w:sz w:val="20"/>
        </w:rPr>
        <w:t>The central claim is conditional. ReduLink helps when byte-stable chunks recur across warm endpoint state and authenticated reference substitution is preferable to a file-oriented delta protocol or local compression. It is not a replacement for rsync or compression, and the artifact is a native QUIC stream mapping rather than a custom QUIC extension-frame implementation. A practical example is a registry, CDN, backup, or update service that repeatedly sends object records to the same endpoint or tenant while preserving end-to-end QUIC encryption. In that setting the server can reference receiver-known objects or chunks without exposing plaintext to a middlebox; the price is authentication and metadata overhead, and the benefit is explicit context binding, safe miss repair, and a stream-compatible representation.</w:t>
      </w:r>
    </w:p>
    <w:p>
      <w:pPr>
        <w:pStyle w:val="Heading1"/>
      </w:pPr>
      <w:r>
        <w:rPr>
          <w:rFonts w:ascii="Arial" w:hAnsi="Arial"/>
        </w:rPr>
        <w:t>3. Background and Related Work</w:t>
      </w:r>
    </w:p>
    <w:p>
      <w:pPr>
        <w:pStyle w:val="Heading2"/>
      </w:pPr>
      <w:r>
        <w:rPr>
          <w:rFonts w:ascii="Arial" w:hAnsi="Arial"/>
        </w:rPr>
        <w:t>3.1 Network redundancy elimination</w:t>
      </w:r>
    </w:p>
    <w:p>
      <w:pPr>
        <w:spacing w:after="80" w:before="0"/>
      </w:pPr>
      <w:r>
        <w:rPr>
          <w:sz w:val="20"/>
        </w:rPr>
        <w:t>Spring and Wetherall introduced protocol-independent redundancy elimination, suppressing repeated byte ranges on a link by caching recently seen content at both ends [1]. Subsequent work generalized this to network-wide and coordinated redundancy elimination (SmartRE) and to enterprise and end-system services (EndRE), and measured how much redundancy real traffic contains [2-4]. These systems are powerful but assume a vantage point that can observe or terminate plaintext. ReduLink targets the opposite regime, where the transport is end-to-end encrypted and only the endpoints can act, so the redundancy decision must move into the endpoint stack.</w:t>
      </w:r>
    </w:p>
    <w:p>
      <w:pPr>
        <w:pStyle w:val="Heading2"/>
      </w:pPr>
      <w:r>
        <w:rPr>
          <w:rFonts w:ascii="Arial" w:hAnsi="Arial"/>
        </w:rPr>
        <w:t>3.2 File-delta and low-bandwidth file systems</w:t>
      </w:r>
    </w:p>
    <w:p>
      <w:pPr>
        <w:spacing w:after="80" w:before="0"/>
      </w:pPr>
      <w:r>
        <w:rPr>
          <w:sz w:val="20"/>
        </w:rPr>
        <w:t>rsync and the Low-Bandwidth File System (LBFS) show the value of transferring only the differences between file objects that both sides can name and compare [5]. They are the right tool when the workload is genuinely a file tree and both endpoints can run a delta protocol. As our negative results in Section 7.1 confirm, ordinary source-tree updates are better served by rsync than by stream-level reference substitution. ReduLink is not aimed at this case; it is aimed at object or stream delivery where a file-tree delta negotiation is not the serving abstraction.</w:t>
      </w:r>
    </w:p>
    <w:p>
      <w:pPr>
        <w:pStyle w:val="Heading2"/>
      </w:pPr>
      <w:r>
        <w:rPr>
          <w:rFonts w:ascii="Arial" w:hAnsi="Arial"/>
        </w:rPr>
        <w:t>3.3 HTTP delta and shared-dictionary transport</w:t>
      </w:r>
    </w:p>
    <w:p>
      <w:pPr>
        <w:spacing w:after="80" w:before="0"/>
      </w:pPr>
      <w:r>
        <w:rPr>
          <w:sz w:val="20"/>
        </w:rPr>
        <w:t>The closest deployed lineage is HTTP receiver-side reuse. RFC 3229 defines delta encoding relative to a prior response, commonly with VCDIFF [19,20]. The 2016 SDCH proposal described shared dictionaries across HTTP responses [21]. RFC 9842 Compression Dictionary Transport lets an HTTPS origin advertise a previously fetched response for Brotli or Zstandard dictionary use [22]. Its dictionary identity is a SHA-256 hash; availability and same-origin constraints govern selection; and decoding failure causes the affected response to be discarded. It therefore has explicit integrity and failure semantics and can operate over HTTP/3 on QUIC.</w:t>
      </w:r>
    </w:p>
    <w:p>
      <w:pPr>
        <w:spacing w:after="80" w:before="0"/>
      </w:pPr>
      <w:r>
        <w:rPr>
          <w:sz w:val="20"/>
        </w:rPr>
        <w:t>ReduLink is not a more secure replacement for RFC 9842. QUIC TLS/AEAD already protects either mechanism against on-path modification, while RFC 9842 validates dictionary identity. ReduLink instead offers a different representation granularity: individually resolved chunk references bound to epoch, scope, stream, reconstructed offset, length, and nonce, with an explicit MISS then FULL state-repair exchange outside HTTP content coding. The per-record HMAC is useful at the post-TLS representation boundary, where implementation bugs, stale or shared dictionary state, and cross-context confusion must fail closed; it is not claimed as a second independent network-adversary barrier. Section 12 therefore compares deployment abstractions, and the zstd --patch-from experiment is labeled a whole-stream dictionary-delta byte baseline rather than an implementation or analog of RFC 9842.</w:t>
      </w:r>
    </w:p>
    <w:p>
      <w:pPr>
        <w:pStyle w:val="Heading2"/>
      </w:pPr>
      <w:r>
        <w:rPr>
          <w:rFonts w:ascii="Arial" w:hAnsi="Arial"/>
        </w:rPr>
        <w:t>3.4 Content-defined chunking and deduplication privacy</w:t>
      </w:r>
    </w:p>
    <w:p>
      <w:pPr>
        <w:spacing w:after="80" w:before="0"/>
      </w:pPr>
      <w:r>
        <w:rPr>
          <w:sz w:val="20"/>
        </w:rPr>
        <w:t>Content-defined chunking determines where chunk boundaries fall and strongly affects deduplication ratio and throughput; recent surveys and fast designs analyze the trade-offs in depth [11,12]. Chunking and deduplication also create content-existence side channels: deduplication can leak whether a receiver already holds particular content, and chunk-boundary parameters can themselves be attacked [13,16,17]. These results directly motivate ReduLink's privacy scoping (Section 4) and its exclusion of global cross-user dictionaries. Modern Ethernet line rates continue to increase [14], which is why the paper avoids physical-rate claims and reports only representation-layer savings.</w:t>
      </w:r>
    </w:p>
    <w:p>
      <w:pPr>
        <w:pStyle w:val="Heading2"/>
      </w:pPr>
      <w:r>
        <w:rPr>
          <w:rFonts w:ascii="Arial" w:hAnsi="Arial"/>
        </w:rPr>
        <w:t>3.5 Deployment model</w:t>
      </w:r>
    </w:p>
    <w:p>
      <w:pPr>
        <w:spacing w:after="80" w:before="0"/>
      </w:pPr>
      <w:r>
        <w:rPr>
          <w:sz w:val="20"/>
        </w:rPr>
        <w:t>The deployment model has three roles: a sender with access to the new byte stream, a receiver with a scoped warm dictionary, and a policy domain that defines whether dictionary state is per connection, per origin, or per tenant. Public Internet mode defaults to per-connection dictionaries. Public artifact mode may use signed or manifest-controlled per-origin dictionaries. Enterprise mode may use per-tenant dictionaries with audit and quota controls. Global private cross-user dictionaries remain out of scope. Table 1 summarizes when ReduLink is and is not the right tool relative to rsync and compression.</w:t>
      </w:r>
    </w:p>
    <w:p>
      <w:pPr>
        <w:keepNext/>
        <w:spacing w:after="40" w:before="120"/>
      </w:pPr>
      <w:r>
        <w:rPr>
          <w:b/>
          <w:sz w:val="18"/>
        </w:rPr>
        <w:t>Table 1. ReduLink deployment modes and dictionary scoping.</w:t>
      </w:r>
    </w:p>
    <w:tbl>
      <w:tblPr>
        <w:tblStyle w:val="TableGrid"/>
        <w:tblW w:type="auto" w:w="0"/>
        <w:jc w:val="center"/>
        <w:tblLook w:firstColumn="1" w:firstRow="1" w:lastColumn="0" w:lastRow="0" w:noHBand="0" w:noVBand="1" w:val="04A0"/>
      </w:tblPr>
      <w:tblGrid>
        <w:gridCol w:w="3504"/>
        <w:gridCol w:w="3504"/>
        <w:gridCol w:w="3504"/>
      </w:tblGrid>
      <w:tr>
        <w:trPr>
          <w:cantSplit/>
          <w:tblHeader w:val="true"/>
        </w:trPr>
        <w:tc>
          <w:tcPr>
            <w:tcW w:type="dxa" w:w="2016"/>
            <w:vAlign w:val="top"/>
            <w:tcMar>
              <w:top w:w="40" w:type="dxa"/>
              <w:left w:w="40" w:type="dxa"/>
              <w:bottom w:w="40" w:type="dxa"/>
              <w:right w:w="40" w:type="dxa"/>
            </w:tcMar>
          </w:tcPr>
          <w:p>
            <w:pPr>
              <w:spacing w:after="0"/>
            </w:pPr>
            <w:r/>
            <w:r>
              <w:rPr>
                <w:b/>
                <w:sz w:val="16"/>
              </w:rPr>
              <w:t>Deployment</w:t>
            </w:r>
          </w:p>
        </w:tc>
        <w:tc>
          <w:tcPr>
            <w:tcW w:type="dxa" w:w="2016"/>
            <w:vAlign w:val="top"/>
            <w:tcMar>
              <w:top w:w="40" w:type="dxa"/>
              <w:left w:w="40" w:type="dxa"/>
              <w:bottom w:w="40" w:type="dxa"/>
              <w:right w:w="40" w:type="dxa"/>
            </w:tcMar>
          </w:tcPr>
          <w:p>
            <w:pPr>
              <w:spacing w:after="0"/>
            </w:pPr>
            <w:r/>
            <w:r>
              <w:rPr>
                <w:b/>
                <w:sz w:val="16"/>
              </w:rPr>
              <w:t>Dictionary scope</w:t>
            </w:r>
          </w:p>
        </w:tc>
        <w:tc>
          <w:tcPr>
            <w:tcW w:type="dxa" w:w="5040"/>
            <w:vAlign w:val="top"/>
            <w:tcMar>
              <w:top w:w="40" w:type="dxa"/>
              <w:left w:w="40" w:type="dxa"/>
              <w:bottom w:w="40" w:type="dxa"/>
              <w:right w:w="40" w:type="dxa"/>
            </w:tcMar>
          </w:tcPr>
          <w:p>
            <w:pPr>
              <w:spacing w:after="0"/>
            </w:pPr>
            <w:r/>
            <w:r>
              <w:rPr>
                <w:b/>
                <w:sz w:val="16"/>
              </w:rPr>
              <w:t>Why ReduLink rather than rsync/compression</w:t>
            </w:r>
          </w:p>
        </w:tc>
      </w:tr>
      <w:tr>
        <w:trPr>
          <w:cantSplit/>
        </w:trPr>
        <w:tc>
          <w:tcPr>
            <w:tcW w:type="dxa" w:w="2016"/>
            <w:vAlign w:val="top"/>
            <w:tcMar>
              <w:top w:w="40" w:type="dxa"/>
              <w:left w:w="40" w:type="dxa"/>
              <w:bottom w:w="40" w:type="dxa"/>
              <w:right w:w="40" w:type="dxa"/>
            </w:tcMar>
          </w:tcPr>
          <w:p>
            <w:pPr>
              <w:spacing w:after="0"/>
            </w:pPr>
            <w:r/>
            <w:r>
              <w:rPr>
                <w:b w:val="0"/>
                <w:sz w:val="16"/>
              </w:rPr>
              <w:t>CDN or registry objects</w:t>
            </w:r>
          </w:p>
        </w:tc>
        <w:tc>
          <w:tcPr>
            <w:tcW w:type="dxa" w:w="2016"/>
            <w:vAlign w:val="top"/>
            <w:tcMar>
              <w:top w:w="40" w:type="dxa"/>
              <w:left w:w="40" w:type="dxa"/>
              <w:bottom w:w="40" w:type="dxa"/>
              <w:right w:w="40" w:type="dxa"/>
            </w:tcMar>
          </w:tcPr>
          <w:p>
            <w:pPr>
              <w:spacing w:after="0"/>
            </w:pPr>
            <w:r/>
            <w:r>
              <w:rPr>
                <w:b w:val="0"/>
                <w:sz w:val="16"/>
              </w:rPr>
              <w:t>Per origin or per client</w:t>
            </w:r>
          </w:p>
        </w:tc>
        <w:tc>
          <w:tcPr>
            <w:tcW w:type="dxa" w:w="5040"/>
            <w:vAlign w:val="top"/>
            <w:tcMar>
              <w:top w:w="40" w:type="dxa"/>
              <w:left w:w="40" w:type="dxa"/>
              <w:bottom w:w="40" w:type="dxa"/>
              <w:right w:w="40" w:type="dxa"/>
            </w:tcMar>
          </w:tcPr>
          <w:p>
            <w:pPr>
              <w:spacing w:after="0"/>
            </w:pPr>
            <w:r/>
            <w:r>
              <w:rPr>
                <w:b w:val="0"/>
                <w:sz w:val="16"/>
              </w:rPr>
              <w:t>Objects arrive as encrypted streams; file-tree delta negotiation may not be the serving abstraction.</w:t>
            </w:r>
          </w:p>
        </w:tc>
      </w:tr>
      <w:tr>
        <w:trPr>
          <w:cantSplit/>
        </w:trPr>
        <w:tc>
          <w:tcPr>
            <w:tcW w:type="dxa" w:w="2016"/>
            <w:vAlign w:val="top"/>
            <w:tcMar>
              <w:top w:w="40" w:type="dxa"/>
              <w:left w:w="40" w:type="dxa"/>
              <w:bottom w:w="40" w:type="dxa"/>
              <w:right w:w="40" w:type="dxa"/>
            </w:tcMar>
          </w:tcPr>
          <w:p>
            <w:pPr>
              <w:spacing w:after="0"/>
            </w:pPr>
            <w:r/>
            <w:r>
              <w:rPr>
                <w:b w:val="0"/>
                <w:sz w:val="16"/>
              </w:rPr>
              <w:t>Backup/page streams</w:t>
            </w:r>
          </w:p>
        </w:tc>
        <w:tc>
          <w:tcPr>
            <w:tcW w:type="dxa" w:w="2016"/>
            <w:vAlign w:val="top"/>
            <w:tcMar>
              <w:top w:w="40" w:type="dxa"/>
              <w:left w:w="40" w:type="dxa"/>
              <w:bottom w:w="40" w:type="dxa"/>
              <w:right w:w="40" w:type="dxa"/>
            </w:tcMar>
          </w:tcPr>
          <w:p>
            <w:pPr>
              <w:spacing w:after="0"/>
            </w:pPr>
            <w:r/>
            <w:r>
              <w:rPr>
                <w:b w:val="0"/>
                <w:sz w:val="16"/>
              </w:rPr>
              <w:t>Per endpoint or tenant</w:t>
            </w:r>
          </w:p>
        </w:tc>
        <w:tc>
          <w:tcPr>
            <w:tcW w:type="dxa" w:w="5040"/>
            <w:vAlign w:val="top"/>
            <w:tcMar>
              <w:top w:w="40" w:type="dxa"/>
              <w:left w:w="40" w:type="dxa"/>
              <w:bottom w:w="40" w:type="dxa"/>
              <w:right w:w="40" w:type="dxa"/>
            </w:tcMar>
          </w:tcPr>
          <w:p>
            <w:pPr>
              <w:spacing w:after="0"/>
            </w:pPr>
            <w:r/>
            <w:r>
              <w:rPr>
                <w:b w:val="0"/>
                <w:sz w:val="16"/>
              </w:rPr>
              <w:t>Page-like chunks recur across snapshots and can be referenced while preserving authenticated reconstruction.</w:t>
            </w:r>
          </w:p>
        </w:tc>
      </w:tr>
      <w:tr>
        <w:trPr>
          <w:cantSplit/>
        </w:trPr>
        <w:tc>
          <w:tcPr>
            <w:tcW w:type="dxa" w:w="2016"/>
            <w:vAlign w:val="top"/>
            <w:tcMar>
              <w:top w:w="40" w:type="dxa"/>
              <w:left w:w="40" w:type="dxa"/>
              <w:bottom w:w="40" w:type="dxa"/>
              <w:right w:w="40" w:type="dxa"/>
            </w:tcMar>
          </w:tcPr>
          <w:p>
            <w:pPr>
              <w:spacing w:after="0"/>
            </w:pPr>
            <w:r/>
            <w:r>
              <w:rPr>
                <w:b w:val="0"/>
                <w:sz w:val="16"/>
              </w:rPr>
              <w:t>Enterprise VPN/admin domain</w:t>
            </w:r>
          </w:p>
        </w:tc>
        <w:tc>
          <w:tcPr>
            <w:tcW w:type="dxa" w:w="2016"/>
            <w:vAlign w:val="top"/>
            <w:tcMar>
              <w:top w:w="40" w:type="dxa"/>
              <w:left w:w="40" w:type="dxa"/>
              <w:bottom w:w="40" w:type="dxa"/>
              <w:right w:w="40" w:type="dxa"/>
            </w:tcMar>
          </w:tcPr>
          <w:p>
            <w:pPr>
              <w:spacing w:after="0"/>
            </w:pPr>
            <w:r/>
            <w:r>
              <w:rPr>
                <w:b w:val="0"/>
                <w:sz w:val="16"/>
              </w:rPr>
              <w:t>Per tenant</w:t>
            </w:r>
          </w:p>
        </w:tc>
        <w:tc>
          <w:tcPr>
            <w:tcW w:type="dxa" w:w="5040"/>
            <w:vAlign w:val="top"/>
            <w:tcMar>
              <w:top w:w="40" w:type="dxa"/>
              <w:left w:w="40" w:type="dxa"/>
              <w:bottom w:w="40" w:type="dxa"/>
              <w:right w:w="40" w:type="dxa"/>
            </w:tcMar>
          </w:tcPr>
          <w:p>
            <w:pPr>
              <w:spacing w:after="0"/>
            </w:pPr>
            <w:r/>
            <w:r>
              <w:rPr>
                <w:b w:val="0"/>
                <w:sz w:val="16"/>
              </w:rPr>
              <w:t>Policy can allow shared warm state while keeping middleboxes away from plaintext.</w:t>
            </w:r>
          </w:p>
        </w:tc>
      </w:tr>
      <w:tr>
        <w:trPr>
          <w:cantSplit/>
        </w:trPr>
        <w:tc>
          <w:tcPr>
            <w:tcW w:type="dxa" w:w="2016"/>
            <w:vAlign w:val="top"/>
            <w:tcMar>
              <w:top w:w="40" w:type="dxa"/>
              <w:left w:w="40" w:type="dxa"/>
              <w:bottom w:w="40" w:type="dxa"/>
              <w:right w:w="40" w:type="dxa"/>
            </w:tcMar>
          </w:tcPr>
          <w:p>
            <w:pPr>
              <w:spacing w:after="0"/>
            </w:pPr>
            <w:r/>
            <w:r>
              <w:rPr>
                <w:b w:val="0"/>
                <w:sz w:val="16"/>
              </w:rPr>
              <w:t>Source-tree sync</w:t>
            </w:r>
          </w:p>
        </w:tc>
        <w:tc>
          <w:tcPr>
            <w:tcW w:type="dxa" w:w="2016"/>
            <w:vAlign w:val="top"/>
            <w:tcMar>
              <w:top w:w="40" w:type="dxa"/>
              <w:left w:w="40" w:type="dxa"/>
              <w:bottom w:w="40" w:type="dxa"/>
              <w:right w:w="40" w:type="dxa"/>
            </w:tcMar>
          </w:tcPr>
          <w:p>
            <w:pPr>
              <w:spacing w:after="0"/>
            </w:pPr>
            <w:r/>
            <w:r>
              <w:rPr>
                <w:b w:val="0"/>
                <w:sz w:val="16"/>
              </w:rPr>
              <w:t>File tree</w:t>
            </w:r>
          </w:p>
        </w:tc>
        <w:tc>
          <w:tcPr>
            <w:tcW w:type="dxa" w:w="5040"/>
            <w:vAlign w:val="top"/>
            <w:tcMar>
              <w:top w:w="40" w:type="dxa"/>
              <w:left w:w="40" w:type="dxa"/>
              <w:bottom w:w="40" w:type="dxa"/>
              <w:right w:w="40" w:type="dxa"/>
            </w:tcMar>
          </w:tcPr>
          <w:p>
            <w:pPr>
              <w:spacing w:after="0"/>
            </w:pPr>
            <w:r/>
            <w:r>
              <w:rPr>
                <w:b w:val="0"/>
                <w:sz w:val="16"/>
              </w:rPr>
              <w:t>Usually better served by rsync; ReduLink is not targeted here.</w:t>
            </w:r>
          </w:p>
        </w:tc>
      </w:tr>
    </w:tbl>
    <w:p/>
    <w:p>
      <w:pPr>
        <w:pStyle w:val="Heading1"/>
      </w:pPr>
      <w:r>
        <w:rPr>
          <w:rFonts w:ascii="Arial" w:hAnsi="Arial"/>
        </w:rPr>
        <w:t>4. Protocol and Security Model</w:t>
      </w:r>
    </w:p>
    <w:p>
      <w:pPr>
        <w:spacing w:after="80" w:before="0"/>
      </w:pPr>
      <w:r>
        <w:rPr>
          <w:sz w:val="20"/>
        </w:rPr>
        <w:t>ReduLink is a representation layer for cooperating authorized endpoints. QUIC packetization, packet numbers, ACK processing, TLS, and congestion control remain QUIC responsibilities. The native artifact verifies the server's ephemeral certificate against its local trust anchor; it uses no client certificate and therefore must not be described as mutually authenticated. ReduLink defines how application bytes are represented as authenticated FULL, REF, MISS, and DICT_ACK records and how the receiver validates them. A REF is deliverable only if dictionary membership and content, epoch, scope, stream id, independently expected reconstructed offset, length, nonce, chunk identity, and authentication tag all validate; otherwise the receiver fails closed and requests semantic FULL repair.</w:t>
      </w:r>
    </w:p>
    <w:p>
      <w:pPr>
        <w:jc w:val="center"/>
      </w:pPr>
      <w:r>
        <w:drawing>
          <wp:inline xmlns:a="http://schemas.openxmlformats.org/drawingml/2006/main" xmlns:pic="http://schemas.openxmlformats.org/drawingml/2006/picture">
            <wp:extent cx="6126480" cy="3115301"/>
            <wp:docPr id="1" name="Picture 1"/>
            <wp:cNvGraphicFramePr>
              <a:graphicFrameLocks noChangeAspect="1"/>
            </wp:cNvGraphicFramePr>
            <a:graphic>
              <a:graphicData uri="http://schemas.openxmlformats.org/drawingml/2006/picture">
                <pic:pic>
                  <pic:nvPicPr>
                    <pic:cNvPr id="0" name="redulink_architecture.png"/>
                    <pic:cNvPicPr/>
                  </pic:nvPicPr>
                  <pic:blipFill>
                    <a:blip r:embed="rId10"/>
                    <a:stretch>
                      <a:fillRect/>
                    </a:stretch>
                  </pic:blipFill>
                  <pic:spPr>
                    <a:xfrm>
                      <a:off x="0" y="0"/>
                      <a:ext cx="6126480" cy="3115301"/>
                    </a:xfrm>
                    <a:prstGeom prst="rect"/>
                  </pic:spPr>
                </pic:pic>
              </a:graphicData>
            </a:graphic>
          </wp:inline>
        </w:drawing>
      </w:r>
    </w:p>
    <w:p>
      <w:pPr>
        <w:spacing w:after="120" w:before="0"/>
      </w:pPr>
      <w:r>
        <w:rPr>
          <w:sz w:val="18"/>
        </w:rPr>
        <w:t>Figure 1. ReduLink protocol and deployment architecture. The sender chunks outgoing bytes and emits FULL or authenticated REF records carried as compact binary application data inside an encrypted QUIC stream; the receiver validates each reference against dictionary membership and bound context before byte-exact reconstruction, failing closed and requesting semantic FULL repair on any mismatch.</w:t>
      </w:r>
    </w:p>
    <w:p>
      <w:pPr>
        <w:pStyle w:val="Heading2"/>
      </w:pPr>
      <w:r>
        <w:rPr>
          <w:rFonts w:ascii="Arial" w:hAnsi="Arial"/>
        </w:rPr>
        <w:t>4.1 Frame types and wire model</w:t>
      </w:r>
    </w:p>
    <w:p>
      <w:pPr>
        <w:spacing w:after="80" w:before="0"/>
      </w:pPr>
      <w:r>
        <w:rPr>
          <w:sz w:val="20"/>
        </w:rPr>
        <w:t>ReduLink uses four logical frame types. A FULL carries and admits new bytes; a REF names a receiver-held chunk; MISS requests FULL fallback; and DICT_ACK may acknowledge admission. The stream_offset denotes reconstructed application position, never encoded-frame position. The receiver derives the expected offset from its own accepted state; it never validates an offset against the frame's own value. The offline model charges 24 bytes per FULL and 32 per REF. The compact binary artifact instead has a fixed 79-byte per-frame cost plus the UTF-8 scope length: 4-byte message length, 1-byte type, and 74 bytes of fixed fields (including identifier and tag). Thus the native 16-byte scope costs 95 bytes, while the 29-byte repricing profile costs 108. Section 7.6 states the selected profile rather than treating 108 bytes as universal.</w:t>
      </w:r>
    </w:p>
    <w:p>
      <w:pPr>
        <w:keepNext/>
        <w:spacing w:after="40" w:before="120"/>
      </w:pPr>
      <w:r>
        <w:rPr>
          <w:b/>
          <w:sz w:val="18"/>
        </w:rPr>
        <w:t>Table 2. ReduLink frame types and their authenticated fields.</w:t>
      </w:r>
    </w:p>
    <w:tbl>
      <w:tblPr>
        <w:tblStyle w:val="TableGrid"/>
        <w:tblW w:type="auto" w:w="0"/>
        <w:jc w:val="center"/>
        <w:tblLook w:firstColumn="1" w:firstRow="1" w:lastColumn="0" w:lastRow="0" w:noHBand="0" w:noVBand="1" w:val="04A0"/>
      </w:tblPr>
      <w:tblGrid>
        <w:gridCol w:w="3504"/>
        <w:gridCol w:w="3504"/>
        <w:gridCol w:w="3504"/>
      </w:tblGrid>
      <w:tr>
        <w:trPr>
          <w:cantSplit/>
          <w:tblHeader w:val="true"/>
        </w:trPr>
        <w:tc>
          <w:tcPr>
            <w:tcW w:type="dxa" w:w="1440"/>
            <w:vAlign w:val="top"/>
            <w:tcMar>
              <w:top w:w="40" w:type="dxa"/>
              <w:left w:w="40" w:type="dxa"/>
              <w:bottom w:w="40" w:type="dxa"/>
              <w:right w:w="40" w:type="dxa"/>
            </w:tcMar>
          </w:tcPr>
          <w:p>
            <w:pPr>
              <w:spacing w:after="0"/>
            </w:pPr>
            <w:r/>
            <w:r>
              <w:rPr>
                <w:b/>
                <w:sz w:val="16"/>
              </w:rPr>
              <w:t>Frame</w:t>
            </w:r>
          </w:p>
        </w:tc>
        <w:tc>
          <w:tcPr>
            <w:tcW w:type="dxa" w:w="3312"/>
            <w:vAlign w:val="top"/>
            <w:tcMar>
              <w:top w:w="40" w:type="dxa"/>
              <w:left w:w="40" w:type="dxa"/>
              <w:bottom w:w="40" w:type="dxa"/>
              <w:right w:w="40" w:type="dxa"/>
            </w:tcMar>
          </w:tcPr>
          <w:p>
            <w:pPr>
              <w:spacing w:after="0"/>
            </w:pPr>
            <w:r/>
            <w:r>
              <w:rPr>
                <w:b/>
                <w:sz w:val="16"/>
              </w:rPr>
              <w:t>Purpose</w:t>
            </w:r>
          </w:p>
        </w:tc>
        <w:tc>
          <w:tcPr>
            <w:tcW w:type="dxa" w:w="4752"/>
            <w:vAlign w:val="top"/>
            <w:tcMar>
              <w:top w:w="40" w:type="dxa"/>
              <w:left w:w="40" w:type="dxa"/>
              <w:bottom w:w="40" w:type="dxa"/>
              <w:right w:w="40" w:type="dxa"/>
            </w:tcMar>
          </w:tcPr>
          <w:p>
            <w:pPr>
              <w:spacing w:after="0"/>
            </w:pPr>
            <w:r/>
            <w:r>
              <w:rPr>
                <w:b/>
                <w:sz w:val="16"/>
              </w:rPr>
              <w:t>Bound / carried fields</w:t>
            </w:r>
          </w:p>
        </w:tc>
      </w:tr>
      <w:tr>
        <w:trPr>
          <w:cantSplit/>
        </w:trPr>
        <w:tc>
          <w:tcPr>
            <w:tcW w:type="dxa" w:w="1440"/>
            <w:vAlign w:val="top"/>
            <w:tcMar>
              <w:top w:w="40" w:type="dxa"/>
              <w:left w:w="40" w:type="dxa"/>
              <w:bottom w:w="40" w:type="dxa"/>
              <w:right w:w="40" w:type="dxa"/>
            </w:tcMar>
          </w:tcPr>
          <w:p>
            <w:pPr>
              <w:spacing w:after="0"/>
            </w:pPr>
            <w:r/>
            <w:r>
              <w:rPr>
                <w:b w:val="0"/>
                <w:sz w:val="16"/>
              </w:rPr>
              <w:t>FULL</w:t>
            </w:r>
          </w:p>
        </w:tc>
        <w:tc>
          <w:tcPr>
            <w:tcW w:type="dxa" w:w="3312"/>
            <w:vAlign w:val="top"/>
            <w:tcMar>
              <w:top w:w="40" w:type="dxa"/>
              <w:left w:w="40" w:type="dxa"/>
              <w:bottom w:w="40" w:type="dxa"/>
              <w:right w:w="40" w:type="dxa"/>
            </w:tcMar>
          </w:tcPr>
          <w:p>
            <w:pPr>
              <w:spacing w:after="0"/>
            </w:pPr>
            <w:r/>
            <w:r>
              <w:rPr>
                <w:b w:val="0"/>
                <w:sz w:val="16"/>
              </w:rPr>
              <w:t>Carry and admit new chunk bytes</w:t>
            </w:r>
          </w:p>
        </w:tc>
        <w:tc>
          <w:tcPr>
            <w:tcW w:type="dxa" w:w="4752"/>
            <w:vAlign w:val="top"/>
            <w:tcMar>
              <w:top w:w="40" w:type="dxa"/>
              <w:left w:w="40" w:type="dxa"/>
              <w:bottom w:w="40" w:type="dxa"/>
              <w:right w:w="40" w:type="dxa"/>
            </w:tcMar>
          </w:tcPr>
          <w:p>
            <w:pPr>
              <w:spacing w:after="0"/>
            </w:pPr>
            <w:r/>
            <w:r>
              <w:rPr>
                <w:b w:val="0"/>
                <w:sz w:val="16"/>
              </w:rPr>
              <w:t>epoch, stream id, stream offset, chunk length, chunk id, payload, auth tag</w:t>
            </w:r>
          </w:p>
        </w:tc>
      </w:tr>
      <w:tr>
        <w:trPr>
          <w:cantSplit/>
        </w:trPr>
        <w:tc>
          <w:tcPr>
            <w:tcW w:type="dxa" w:w="1440"/>
            <w:vAlign w:val="top"/>
            <w:tcMar>
              <w:top w:w="40" w:type="dxa"/>
              <w:left w:w="40" w:type="dxa"/>
              <w:bottom w:w="40" w:type="dxa"/>
              <w:right w:w="40" w:type="dxa"/>
            </w:tcMar>
          </w:tcPr>
          <w:p>
            <w:pPr>
              <w:spacing w:after="0"/>
            </w:pPr>
            <w:r/>
            <w:r>
              <w:rPr>
                <w:b w:val="0"/>
                <w:sz w:val="16"/>
              </w:rPr>
              <w:t>REF</w:t>
            </w:r>
          </w:p>
        </w:tc>
        <w:tc>
          <w:tcPr>
            <w:tcW w:type="dxa" w:w="3312"/>
            <w:vAlign w:val="top"/>
            <w:tcMar>
              <w:top w:w="40" w:type="dxa"/>
              <w:left w:w="40" w:type="dxa"/>
              <w:bottom w:w="40" w:type="dxa"/>
              <w:right w:w="40" w:type="dxa"/>
            </w:tcMar>
          </w:tcPr>
          <w:p>
            <w:pPr>
              <w:spacing w:after="0"/>
            </w:pPr>
            <w:r/>
            <w:r>
              <w:rPr>
                <w:b w:val="0"/>
                <w:sz w:val="16"/>
              </w:rPr>
              <w:t>Reference a chunk already at the receiver</w:t>
            </w:r>
          </w:p>
        </w:tc>
        <w:tc>
          <w:tcPr>
            <w:tcW w:type="dxa" w:w="4752"/>
            <w:vAlign w:val="top"/>
            <w:tcMar>
              <w:top w:w="40" w:type="dxa"/>
              <w:left w:w="40" w:type="dxa"/>
              <w:bottom w:w="40" w:type="dxa"/>
              <w:right w:w="40" w:type="dxa"/>
            </w:tcMar>
          </w:tcPr>
          <w:p>
            <w:pPr>
              <w:spacing w:after="0"/>
            </w:pPr>
            <w:r/>
            <w:r>
              <w:rPr>
                <w:b w:val="0"/>
                <w:sz w:val="16"/>
              </w:rPr>
              <w:t>epoch, stream id, stream offset, original length, chunk id, reference nonce, auth tag</w:t>
            </w:r>
          </w:p>
        </w:tc>
      </w:tr>
      <w:tr>
        <w:trPr>
          <w:cantSplit/>
        </w:trPr>
        <w:tc>
          <w:tcPr>
            <w:tcW w:type="dxa" w:w="1440"/>
            <w:vAlign w:val="top"/>
            <w:tcMar>
              <w:top w:w="40" w:type="dxa"/>
              <w:left w:w="40" w:type="dxa"/>
              <w:bottom w:w="40" w:type="dxa"/>
              <w:right w:w="40" w:type="dxa"/>
            </w:tcMar>
          </w:tcPr>
          <w:p>
            <w:pPr>
              <w:spacing w:after="0"/>
            </w:pPr>
            <w:r/>
            <w:r>
              <w:rPr>
                <w:b w:val="0"/>
                <w:sz w:val="16"/>
              </w:rPr>
              <w:t>MISS</w:t>
            </w:r>
          </w:p>
        </w:tc>
        <w:tc>
          <w:tcPr>
            <w:tcW w:type="dxa" w:w="3312"/>
            <w:vAlign w:val="top"/>
            <w:tcMar>
              <w:top w:w="40" w:type="dxa"/>
              <w:left w:w="40" w:type="dxa"/>
              <w:bottom w:w="40" w:type="dxa"/>
              <w:right w:w="40" w:type="dxa"/>
            </w:tcMar>
          </w:tcPr>
          <w:p>
            <w:pPr>
              <w:spacing w:after="0"/>
            </w:pPr>
            <w:r/>
            <w:r>
              <w:rPr>
                <w:b w:val="0"/>
                <w:sz w:val="16"/>
              </w:rPr>
              <w:t>Request FULL fallback (fail-closed)</w:t>
            </w:r>
          </w:p>
        </w:tc>
        <w:tc>
          <w:tcPr>
            <w:tcW w:type="dxa" w:w="4752"/>
            <w:vAlign w:val="top"/>
            <w:tcMar>
              <w:top w:w="40" w:type="dxa"/>
              <w:left w:w="40" w:type="dxa"/>
              <w:bottom w:w="40" w:type="dxa"/>
              <w:right w:w="40" w:type="dxa"/>
            </w:tcMar>
          </w:tcPr>
          <w:p>
            <w:pPr>
              <w:spacing w:after="0"/>
            </w:pPr>
            <w:r/>
            <w:r>
              <w:rPr>
                <w:b w:val="0"/>
                <w:sz w:val="16"/>
              </w:rPr>
              <w:t>epoch, stream id, stream offset, chunk id</w:t>
            </w:r>
          </w:p>
        </w:tc>
      </w:tr>
      <w:tr>
        <w:trPr>
          <w:cantSplit/>
        </w:trPr>
        <w:tc>
          <w:tcPr>
            <w:tcW w:type="dxa" w:w="1440"/>
            <w:vAlign w:val="top"/>
            <w:tcMar>
              <w:top w:w="40" w:type="dxa"/>
              <w:left w:w="40" w:type="dxa"/>
              <w:bottom w:w="40" w:type="dxa"/>
              <w:right w:w="40" w:type="dxa"/>
            </w:tcMar>
          </w:tcPr>
          <w:p>
            <w:pPr>
              <w:spacing w:after="0"/>
            </w:pPr>
            <w:r/>
            <w:r>
              <w:rPr>
                <w:b w:val="0"/>
                <w:sz w:val="16"/>
              </w:rPr>
              <w:t>DICT_ACK</w:t>
            </w:r>
          </w:p>
        </w:tc>
        <w:tc>
          <w:tcPr>
            <w:tcW w:type="dxa" w:w="3312"/>
            <w:vAlign w:val="top"/>
            <w:tcMar>
              <w:top w:w="40" w:type="dxa"/>
              <w:left w:w="40" w:type="dxa"/>
              <w:bottom w:w="40" w:type="dxa"/>
              <w:right w:w="40" w:type="dxa"/>
            </w:tcMar>
          </w:tcPr>
          <w:p>
            <w:pPr>
              <w:spacing w:after="0"/>
            </w:pPr>
            <w:r/>
            <w:r>
              <w:rPr>
                <w:b w:val="0"/>
                <w:sz w:val="16"/>
              </w:rPr>
              <w:t>Acknowledge dictionary admission</w:t>
            </w:r>
          </w:p>
        </w:tc>
        <w:tc>
          <w:tcPr>
            <w:tcW w:type="dxa" w:w="4752"/>
            <w:vAlign w:val="top"/>
            <w:tcMar>
              <w:top w:w="40" w:type="dxa"/>
              <w:left w:w="40" w:type="dxa"/>
              <w:bottom w:w="40" w:type="dxa"/>
              <w:right w:w="40" w:type="dxa"/>
            </w:tcMar>
          </w:tcPr>
          <w:p>
            <w:pPr>
              <w:spacing w:after="0"/>
            </w:pPr>
            <w:r/>
            <w:r>
              <w:rPr>
                <w:b w:val="0"/>
                <w:sz w:val="16"/>
              </w:rPr>
              <w:t>epoch, chunk id, dictionary generation</w:t>
            </w:r>
          </w:p>
        </w:tc>
      </w:tr>
    </w:tbl>
    <w:p/>
    <w:p>
      <w:pPr>
        <w:pStyle w:val="Heading2"/>
      </w:pPr>
      <w:r>
        <w:rPr>
          <w:rFonts w:ascii="Arial" w:hAnsi="Arial"/>
        </w:rPr>
        <w:t>4.2 Validation and fail-closed reconstruction</w:t>
      </w:r>
    </w:p>
    <w:p>
      <w:pPr>
        <w:spacing w:after="80" w:before="0"/>
      </w:pPr>
      <w:r>
        <w:rPr>
          <w:sz w:val="20"/>
        </w:rPr>
        <w:t>The receiver applies a fixed validation order before any byte is delivered, summarized as follows:</w:t>
      </w:r>
    </w:p>
    <w:p>
      <w:pPr>
        <w:spacing w:after="40"/>
        <w:ind w:left="432" w:hanging="259"/>
      </w:pPr>
      <w:r>
        <w:rPr>
          <w:sz w:val="20"/>
        </w:rPr>
        <w:t>- Reject frames whose epoch does not match the active epoch.</w:t>
      </w:r>
    </w:p>
    <w:p>
      <w:pPr>
        <w:spacing w:after="40"/>
        <w:ind w:left="432" w:hanging="259"/>
      </w:pPr>
      <w:r>
        <w:rPr>
          <w:sz w:val="20"/>
        </w:rPr>
        <w:t>- For FULL, validate the authentication tag and chunk identifier, admit the payload to the dictionary, and deliver the bytes at the intended stream offset.</w:t>
      </w:r>
    </w:p>
    <w:p>
      <w:pPr>
        <w:spacing w:after="40"/>
        <w:ind w:left="432" w:hanging="259"/>
      </w:pPr>
      <w:r>
        <w:rPr>
          <w:sz w:val="20"/>
        </w:rPr>
        <w:t>- For REF, validate the authentication tag, expansion bound, stream offset, original length, nonce, and dictionary presence; deliver reconstructed bytes only after all checks succeed.</w:t>
      </w:r>
    </w:p>
    <w:p>
      <w:pPr>
        <w:spacing w:after="40"/>
        <w:ind w:left="432" w:hanging="259"/>
      </w:pPr>
      <w:r>
        <w:rPr>
          <w:sz w:val="20"/>
        </w:rPr>
        <w:t>- Emit MISS when the referenced chunk is unavailable or policy refuses the reference; a REF that cannot become valid in the current epoch triggers an immediate MISS.</w:t>
      </w:r>
    </w:p>
    <w:p>
      <w:pPr>
        <w:spacing w:after="40"/>
        <w:ind w:left="432" w:hanging="259"/>
      </w:pPr>
      <w:r>
        <w:rPr>
          <w:sz w:val="20"/>
        </w:rPr>
        <w:t>- Apply stream ordering and flow control to reconstructed bytes, while applying congestion accounting to transmitted wire bytes.</w:t>
      </w:r>
    </w:p>
    <w:p>
      <w:pPr>
        <w:spacing w:after="80" w:before="0"/>
      </w:pPr>
      <w:r>
        <w:rPr>
          <w:sz w:val="20"/>
        </w:rPr>
        <w:t>A reference miss is treated as a synchronization failure, not a corruption event: the receiver delivers no reconstructed bytes, emits MISS, and the sender repairs with a FULL for the same stream id, offset, length, and chunk id. A REF whose original_length disagrees with the stored chunk length, or that would expand beyond the negotiated bound, is a hard validation failure. Section 11 reports prototypes that exercise exactly these miss, tamper, and replay paths.</w:t>
      </w:r>
    </w:p>
    <w:p>
      <w:pPr>
        <w:pStyle w:val="Heading2"/>
      </w:pPr>
      <w:r>
        <w:rPr>
          <w:rFonts w:ascii="Arial" w:hAnsi="Arial"/>
        </w:rPr>
        <w:t>4.3 Dictionaries, epochs, and key schedule</w:t>
      </w:r>
    </w:p>
    <w:p>
      <w:pPr>
        <w:spacing w:after="80" w:before="0"/>
      </w:pPr>
      <w:r>
        <w:rPr>
          <w:sz w:val="20"/>
        </w:rPr>
        <w:t>Dictionaries are per connection by default and per origin or tenant only under explicit policy; global private cross-user dictionaries are out of scope. Bounded LRU eviction, quotas, and epochs limit state. Chunk identifiers are keyed MACs over epoch, scope, and the chunk digest; frame tags additionally bind stream, offset, length, and nonce. aioquic's public API does not expose TLS exporter bytes, so the native experiment uses a fresh private random exporter surrogate and independent random connection context for every run, then applies the HKDF schedule over ALPN, epoch, scope, connection, and stream context. Only hashes of the public connection context are recorded. The standalone secure and UDP models retain fixed test keys for deterministic testing. A production profile must replace the surrogate with actual QUIC TLS exporter output.</w:t>
      </w:r>
    </w:p>
    <w:p>
      <w:pPr>
        <w:pStyle w:val="Heading2"/>
      </w:pPr>
      <w:r>
        <w:rPr>
          <w:rFonts w:ascii="Arial" w:hAnsi="Arial"/>
        </w:rPr>
        <w:t>4.4 Threat model</w:t>
      </w:r>
    </w:p>
    <w:p>
      <w:pPr>
        <w:spacing w:after="80" w:before="0"/>
      </w:pPr>
      <w:r>
        <w:rPr>
          <w:sz w:val="20"/>
        </w:rPr>
        <w:t>Table 3 separates the specified security design from what the artifact implements and tests. The artifact validates the reference-authentication design and its negative cases; it should not be read as production-grade cryptographic integration. It implements HMAC binding, chunk-id validation, nonce rejection, length and expansion checks, and fail-closed repair, but it does not implement production exporter-derived keys, custom extension-frame parsing, production replay windows, or cross-tenant isolation enforcement. Like other deduplication systems, ReduLink can create a content-existence oracle when an adversary can choose payloads or references and observe transfer size, timing, or MISS behavior; per-connection dictionaries remove the cross-user oracle in public mode, and shared dictionaries are permitted only for public artifacts or explicit trust domains. The security evidence in this paper is artifact-level functional testing plus the reduction-style analysis of Section 4.5; no side-channel mitigations (padding, constant-shape errors, timing equalization) are implemented in the artifact. Dictionary eviction is itself an oracle in shared-dictionary modes: an adversary who can insert FULL traffic can cascade-evict a victim's warm entries (Section 8.2 demonstrates the mechanics under the LRU budget) and then probe REF-versus-MISS behavior to infer content existence, which is why per-connection scoping remains the default and shared dictionaries require explicit policy.</w:t>
      </w:r>
    </w:p>
    <w:p>
      <w:pPr>
        <w:keepNext/>
        <w:spacing w:after="40" w:before="120"/>
      </w:pPr>
      <w:r>
        <w:rPr>
          <w:b/>
          <w:sz w:val="18"/>
        </w:rPr>
        <w:t>Table 3. Security feature status: specified, implemented, tested, and future work.</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cantSplit/>
          <w:tblHeader w:val="true"/>
        </w:trPr>
        <w:tc>
          <w:tcPr>
            <w:tcW w:type="dxa" w:w="1584"/>
            <w:vAlign w:val="top"/>
            <w:tcMar>
              <w:top w:w="40" w:type="dxa"/>
              <w:left w:w="40" w:type="dxa"/>
              <w:bottom w:w="40" w:type="dxa"/>
              <w:right w:w="40" w:type="dxa"/>
            </w:tcMar>
          </w:tcPr>
          <w:p>
            <w:pPr>
              <w:spacing w:after="0"/>
            </w:pPr>
            <w:r/>
            <w:r>
              <w:rPr>
                <w:b/>
                <w:sz w:val="14"/>
              </w:rPr>
              <w:t>Feature</w:t>
            </w:r>
          </w:p>
        </w:tc>
        <w:tc>
          <w:tcPr>
            <w:tcW w:type="dxa" w:w="2016"/>
            <w:vAlign w:val="top"/>
            <w:tcMar>
              <w:top w:w="40" w:type="dxa"/>
              <w:left w:w="40" w:type="dxa"/>
              <w:bottom w:w="40" w:type="dxa"/>
              <w:right w:w="40" w:type="dxa"/>
            </w:tcMar>
          </w:tcPr>
          <w:p>
            <w:pPr>
              <w:spacing w:after="0"/>
            </w:pPr>
            <w:r/>
            <w:r>
              <w:rPr>
                <w:b/>
                <w:sz w:val="14"/>
              </w:rPr>
              <w:t>Specified</w:t>
            </w:r>
          </w:p>
        </w:tc>
        <w:tc>
          <w:tcPr>
            <w:tcW w:type="dxa" w:w="2160"/>
            <w:vAlign w:val="top"/>
            <w:tcMar>
              <w:top w:w="40" w:type="dxa"/>
              <w:left w:w="40" w:type="dxa"/>
              <w:bottom w:w="40" w:type="dxa"/>
              <w:right w:w="40" w:type="dxa"/>
            </w:tcMar>
          </w:tcPr>
          <w:p>
            <w:pPr>
              <w:spacing w:after="0"/>
            </w:pPr>
            <w:r/>
            <w:r>
              <w:rPr>
                <w:b/>
                <w:sz w:val="14"/>
              </w:rPr>
              <w:t>Implemented</w:t>
            </w:r>
          </w:p>
        </w:tc>
        <w:tc>
          <w:tcPr>
            <w:tcW w:type="dxa" w:w="2016"/>
            <w:vAlign w:val="top"/>
            <w:tcMar>
              <w:top w:w="40" w:type="dxa"/>
              <w:left w:w="40" w:type="dxa"/>
              <w:bottom w:w="40" w:type="dxa"/>
              <w:right w:w="40" w:type="dxa"/>
            </w:tcMar>
          </w:tcPr>
          <w:p>
            <w:pPr>
              <w:spacing w:after="0"/>
            </w:pPr>
            <w:r/>
            <w:r>
              <w:rPr>
                <w:b/>
                <w:sz w:val="14"/>
              </w:rPr>
              <w:t>Tested</w:t>
            </w:r>
          </w:p>
        </w:tc>
        <w:tc>
          <w:tcPr>
            <w:tcW w:type="dxa" w:w="2016"/>
            <w:vAlign w:val="top"/>
            <w:tcMar>
              <w:top w:w="40" w:type="dxa"/>
              <w:left w:w="40" w:type="dxa"/>
              <w:bottom w:w="40" w:type="dxa"/>
              <w:right w:w="40" w:type="dxa"/>
            </w:tcMar>
          </w:tcPr>
          <w:p>
            <w:pPr>
              <w:spacing w:after="0"/>
            </w:pPr>
            <w:r/>
            <w:r>
              <w:rPr>
                <w:b/>
                <w:sz w:val="14"/>
              </w:rPr>
              <w:t>Future work</w:t>
            </w:r>
          </w:p>
        </w:tc>
      </w:tr>
      <w:tr>
        <w:trPr>
          <w:cantSplit/>
        </w:trPr>
        <w:tc>
          <w:tcPr>
            <w:tcW w:type="dxa" w:w="1584"/>
            <w:vAlign w:val="top"/>
            <w:tcMar>
              <w:top w:w="40" w:type="dxa"/>
              <w:left w:w="40" w:type="dxa"/>
              <w:bottom w:w="40" w:type="dxa"/>
              <w:right w:w="40" w:type="dxa"/>
            </w:tcMar>
          </w:tcPr>
          <w:p>
            <w:pPr>
              <w:spacing w:after="0"/>
            </w:pPr>
            <w:r/>
            <w:r>
              <w:rPr>
                <w:b w:val="0"/>
                <w:sz w:val="14"/>
              </w:rPr>
              <w:t>Per-reference integrity</w:t>
            </w:r>
          </w:p>
        </w:tc>
        <w:tc>
          <w:tcPr>
            <w:tcW w:type="dxa" w:w="2016"/>
            <w:vAlign w:val="top"/>
            <w:tcMar>
              <w:top w:w="40" w:type="dxa"/>
              <w:left w:w="40" w:type="dxa"/>
              <w:bottom w:w="40" w:type="dxa"/>
              <w:right w:w="40" w:type="dxa"/>
            </w:tcMar>
          </w:tcPr>
          <w:p>
            <w:pPr>
              <w:spacing w:after="0"/>
            </w:pPr>
            <w:r/>
            <w:r>
              <w:rPr>
                <w:b w:val="0"/>
                <w:sz w:val="14"/>
              </w:rPr>
              <w:t>FULL/REF tag binds chunk, length, stream offset, epoch, scope, nonce</w:t>
            </w:r>
          </w:p>
        </w:tc>
        <w:tc>
          <w:tcPr>
            <w:tcW w:type="dxa" w:w="2160"/>
            <w:vAlign w:val="top"/>
            <w:tcMar>
              <w:top w:w="40" w:type="dxa"/>
              <w:left w:w="40" w:type="dxa"/>
              <w:bottom w:w="40" w:type="dxa"/>
              <w:right w:w="40" w:type="dxa"/>
            </w:tcMar>
          </w:tcPr>
          <w:p>
            <w:pPr>
              <w:spacing w:after="0"/>
            </w:pPr>
            <w:r/>
            <w:r>
              <w:rPr>
                <w:b w:val="0"/>
                <w:sz w:val="14"/>
              </w:rPr>
              <w:t>HMAC-style tag and chunk-id checks</w:t>
            </w:r>
          </w:p>
        </w:tc>
        <w:tc>
          <w:tcPr>
            <w:tcW w:type="dxa" w:w="2016"/>
            <w:vAlign w:val="top"/>
            <w:tcMar>
              <w:top w:w="40" w:type="dxa"/>
              <w:left w:w="40" w:type="dxa"/>
              <w:bottom w:w="40" w:type="dxa"/>
              <w:right w:w="40" w:type="dxa"/>
            </w:tcMar>
          </w:tcPr>
          <w:p>
            <w:pPr>
              <w:spacing w:after="0"/>
            </w:pPr>
            <w:r/>
            <w:r>
              <w:rPr>
                <w:b w:val="0"/>
                <w:sz w:val="14"/>
              </w:rPr>
              <w:t>Tamper, wrong-context, wrong-length, reconstruction tests</w:t>
            </w:r>
          </w:p>
        </w:tc>
        <w:tc>
          <w:tcPr>
            <w:tcW w:type="dxa" w:w="2016"/>
            <w:vAlign w:val="top"/>
            <w:tcMar>
              <w:top w:w="40" w:type="dxa"/>
              <w:left w:w="40" w:type="dxa"/>
              <w:bottom w:w="40" w:type="dxa"/>
              <w:right w:w="40" w:type="dxa"/>
            </w:tcMar>
          </w:tcPr>
          <w:p>
            <w:pPr>
              <w:spacing w:after="0"/>
            </w:pPr>
            <w:r/>
            <w:r>
              <w:rPr>
                <w:b w:val="0"/>
                <w:sz w:val="14"/>
              </w:rPr>
              <w:t>Production key management</w:t>
            </w:r>
          </w:p>
        </w:tc>
      </w:tr>
      <w:tr>
        <w:trPr>
          <w:cantSplit/>
        </w:trPr>
        <w:tc>
          <w:tcPr>
            <w:tcW w:type="dxa" w:w="1584"/>
            <w:vAlign w:val="top"/>
            <w:tcMar>
              <w:top w:w="40" w:type="dxa"/>
              <w:left w:w="40" w:type="dxa"/>
              <w:bottom w:w="40" w:type="dxa"/>
              <w:right w:w="40" w:type="dxa"/>
            </w:tcMar>
          </w:tcPr>
          <w:p>
            <w:pPr>
              <w:spacing w:after="0"/>
            </w:pPr>
            <w:r/>
            <w:r>
              <w:rPr>
                <w:b w:val="0"/>
                <w:sz w:val="14"/>
              </w:rPr>
              <w:t>Context binding and replay</w:t>
            </w:r>
          </w:p>
        </w:tc>
        <w:tc>
          <w:tcPr>
            <w:tcW w:type="dxa" w:w="2016"/>
            <w:vAlign w:val="top"/>
            <w:tcMar>
              <w:top w:w="40" w:type="dxa"/>
              <w:left w:w="40" w:type="dxa"/>
              <w:bottom w:w="40" w:type="dxa"/>
              <w:right w:w="40" w:type="dxa"/>
            </w:tcMar>
          </w:tcPr>
          <w:p>
            <w:pPr>
              <w:spacing w:after="0"/>
            </w:pPr>
            <w:r/>
            <w:r>
              <w:rPr>
                <w:b w:val="0"/>
                <w:sz w:val="14"/>
              </w:rPr>
              <w:t>Exporter-derived keys, epoch/scope/stream/offset binding, replay window</w:t>
            </w:r>
          </w:p>
        </w:tc>
        <w:tc>
          <w:tcPr>
            <w:tcW w:type="dxa" w:w="2160"/>
            <w:vAlign w:val="top"/>
            <w:tcMar>
              <w:top w:w="40" w:type="dxa"/>
              <w:left w:w="40" w:type="dxa"/>
              <w:bottom w:w="40" w:type="dxa"/>
              <w:right w:w="40" w:type="dxa"/>
            </w:tcMar>
          </w:tcPr>
          <w:p>
            <w:pPr>
              <w:spacing w:after="0"/>
            </w:pPr>
            <w:r/>
            <w:r>
              <w:rPr>
                <w:b w:val="0"/>
                <w:sz w:val="14"/>
              </w:rPr>
              <w:t>HKDF-style schedule in aioquic path; fixed-secret model paths bind context in MAC message</w:t>
            </w:r>
          </w:p>
        </w:tc>
        <w:tc>
          <w:tcPr>
            <w:tcW w:type="dxa" w:w="2016"/>
            <w:vAlign w:val="top"/>
            <w:tcMar>
              <w:top w:w="40" w:type="dxa"/>
              <w:left w:w="40" w:type="dxa"/>
              <w:bottom w:w="40" w:type="dxa"/>
              <w:right w:w="40" w:type="dxa"/>
            </w:tcMar>
          </w:tcPr>
          <w:p>
            <w:pPr>
              <w:spacing w:after="0"/>
            </w:pPr>
            <w:r/>
            <w:r>
              <w:rPr>
                <w:b w:val="0"/>
                <w:sz w:val="14"/>
              </w:rPr>
              <w:t>Wrong scope/epoch/stream/offset and nonce replay rejection tests</w:t>
            </w:r>
          </w:p>
        </w:tc>
        <w:tc>
          <w:tcPr>
            <w:tcW w:type="dxa" w:w="2016"/>
            <w:vAlign w:val="top"/>
            <w:tcMar>
              <w:top w:w="40" w:type="dxa"/>
              <w:left w:w="40" w:type="dxa"/>
              <w:bottom w:w="40" w:type="dxa"/>
              <w:right w:w="40" w:type="dxa"/>
            </w:tcMar>
          </w:tcPr>
          <w:p>
            <w:pPr>
              <w:spacing w:after="0"/>
            </w:pPr>
            <w:r/>
            <w:r>
              <w:rPr>
                <w:b w:val="0"/>
                <w:sz w:val="14"/>
              </w:rPr>
              <w:t>Live QUIC TLS exporter bytes and production replay window</w:t>
            </w:r>
          </w:p>
        </w:tc>
      </w:tr>
      <w:tr>
        <w:trPr>
          <w:cantSplit/>
        </w:trPr>
        <w:tc>
          <w:tcPr>
            <w:tcW w:type="dxa" w:w="1584"/>
            <w:vAlign w:val="top"/>
            <w:tcMar>
              <w:top w:w="40" w:type="dxa"/>
              <w:left w:w="40" w:type="dxa"/>
              <w:bottom w:w="40" w:type="dxa"/>
              <w:right w:w="40" w:type="dxa"/>
            </w:tcMar>
          </w:tcPr>
          <w:p>
            <w:pPr>
              <w:spacing w:after="0"/>
            </w:pPr>
            <w:r/>
            <w:r>
              <w:rPr>
                <w:b w:val="0"/>
                <w:sz w:val="14"/>
              </w:rPr>
              <w:t>Dictionary safety</w:t>
            </w:r>
          </w:p>
        </w:tc>
        <w:tc>
          <w:tcPr>
            <w:tcW w:type="dxa" w:w="2016"/>
            <w:vAlign w:val="top"/>
            <w:tcMar>
              <w:top w:w="40" w:type="dxa"/>
              <w:left w:w="40" w:type="dxa"/>
              <w:bottom w:w="40" w:type="dxa"/>
              <w:right w:w="40" w:type="dxa"/>
            </w:tcMar>
          </w:tcPr>
          <w:p>
            <w:pPr>
              <w:spacing w:after="0"/>
            </w:pPr>
            <w:r/>
            <w:r>
              <w:rPr>
                <w:b w:val="0"/>
                <w:sz w:val="14"/>
              </w:rPr>
              <w:t>Authenticated FULL admission, manifest commitment, eviction policy</w:t>
            </w:r>
          </w:p>
        </w:tc>
        <w:tc>
          <w:tcPr>
            <w:tcW w:type="dxa" w:w="2160"/>
            <w:vAlign w:val="top"/>
            <w:tcMar>
              <w:top w:w="40" w:type="dxa"/>
              <w:left w:w="40" w:type="dxa"/>
              <w:bottom w:w="40" w:type="dxa"/>
              <w:right w:w="40" w:type="dxa"/>
            </w:tcMar>
          </w:tcPr>
          <w:p>
            <w:pPr>
              <w:spacing w:after="0"/>
            </w:pPr>
            <w:r/>
            <w:r>
              <w:rPr>
                <w:b w:val="0"/>
                <w:sz w:val="14"/>
              </w:rPr>
              <w:t>FULL chunk-id checks and bounded dictionary behavior</w:t>
            </w:r>
          </w:p>
        </w:tc>
        <w:tc>
          <w:tcPr>
            <w:tcW w:type="dxa" w:w="2016"/>
            <w:vAlign w:val="top"/>
            <w:tcMar>
              <w:top w:w="40" w:type="dxa"/>
              <w:left w:w="40" w:type="dxa"/>
              <w:bottom w:w="40" w:type="dxa"/>
              <w:right w:w="40" w:type="dxa"/>
            </w:tcMar>
          </w:tcPr>
          <w:p>
            <w:pPr>
              <w:spacing w:after="0"/>
            </w:pPr>
            <w:r/>
            <w:r>
              <w:rPr>
                <w:b w:val="0"/>
                <w:sz w:val="14"/>
              </w:rPr>
              <w:t>Budget overflow/recovery and fail-safe reconstruction tests</w:t>
            </w:r>
          </w:p>
        </w:tc>
        <w:tc>
          <w:tcPr>
            <w:tcW w:type="dxa" w:w="2016"/>
            <w:vAlign w:val="top"/>
            <w:tcMar>
              <w:top w:w="40" w:type="dxa"/>
              <w:left w:w="40" w:type="dxa"/>
              <w:bottom w:w="40" w:type="dxa"/>
              <w:right w:w="40" w:type="dxa"/>
            </w:tcMar>
          </w:tcPr>
          <w:p>
            <w:pPr>
              <w:spacing w:after="0"/>
            </w:pPr>
            <w:r/>
            <w:r>
              <w:rPr>
                <w:b w:val="0"/>
                <w:sz w:val="14"/>
              </w:rPr>
              <w:t>Signed-manifest policy and cross-tenant admission enforcement</w:t>
            </w:r>
          </w:p>
        </w:tc>
      </w:tr>
      <w:tr>
        <w:trPr>
          <w:cantSplit/>
        </w:trPr>
        <w:tc>
          <w:tcPr>
            <w:tcW w:type="dxa" w:w="1584"/>
            <w:vAlign w:val="top"/>
            <w:tcMar>
              <w:top w:w="40" w:type="dxa"/>
              <w:left w:w="40" w:type="dxa"/>
              <w:bottom w:w="40" w:type="dxa"/>
              <w:right w:w="40" w:type="dxa"/>
            </w:tcMar>
          </w:tcPr>
          <w:p>
            <w:pPr>
              <w:spacing w:after="0"/>
            </w:pPr>
            <w:r/>
            <w:r>
              <w:rPr>
                <w:b w:val="0"/>
                <w:sz w:val="14"/>
              </w:rPr>
              <w:t>Expansion and repair bounds</w:t>
            </w:r>
          </w:p>
        </w:tc>
        <w:tc>
          <w:tcPr>
            <w:tcW w:type="dxa" w:w="2016"/>
            <w:vAlign w:val="top"/>
            <w:tcMar>
              <w:top w:w="40" w:type="dxa"/>
              <w:left w:w="40" w:type="dxa"/>
              <w:bottom w:w="40" w:type="dxa"/>
              <w:right w:w="40" w:type="dxa"/>
            </w:tcMar>
          </w:tcPr>
          <w:p>
            <w:pPr>
              <w:spacing w:after="0"/>
            </w:pPr>
            <w:r/>
            <w:r>
              <w:rPr>
                <w:b w:val="0"/>
                <w:sz w:val="14"/>
              </w:rPr>
              <w:t>Per-frame length, per-stream caps, MISS then FULL repair</w:t>
            </w:r>
          </w:p>
        </w:tc>
        <w:tc>
          <w:tcPr>
            <w:tcW w:type="dxa" w:w="2160"/>
            <w:vAlign w:val="top"/>
            <w:tcMar>
              <w:top w:w="40" w:type="dxa"/>
              <w:left w:w="40" w:type="dxa"/>
              <w:bottom w:w="40" w:type="dxa"/>
              <w:right w:w="40" w:type="dxa"/>
            </w:tcMar>
          </w:tcPr>
          <w:p>
            <w:pPr>
              <w:spacing w:after="0"/>
            </w:pPr>
            <w:r/>
            <w:r>
              <w:rPr>
                <w:b w:val="0"/>
                <w:sz w:val="14"/>
              </w:rPr>
              <w:t>Length checks and semantic repair prototypes</w:t>
            </w:r>
          </w:p>
        </w:tc>
        <w:tc>
          <w:tcPr>
            <w:tcW w:type="dxa" w:w="2016"/>
            <w:vAlign w:val="top"/>
            <w:tcMar>
              <w:top w:w="40" w:type="dxa"/>
              <w:left w:w="40" w:type="dxa"/>
              <w:bottom w:w="40" w:type="dxa"/>
              <w:right w:w="40" w:type="dxa"/>
            </w:tcMar>
          </w:tcPr>
          <w:p>
            <w:pPr>
              <w:spacing w:after="0"/>
            </w:pPr>
            <w:r/>
            <w:r>
              <w:rPr>
                <w:b w:val="0"/>
                <w:sz w:val="14"/>
              </w:rPr>
              <w:t>MISS/FULL, UDP repair, authenticated-UDP negative probes</w:t>
            </w:r>
          </w:p>
        </w:tc>
        <w:tc>
          <w:tcPr>
            <w:tcW w:type="dxa" w:w="2016"/>
            <w:vAlign w:val="top"/>
            <w:tcMar>
              <w:top w:w="40" w:type="dxa"/>
              <w:left w:w="40" w:type="dxa"/>
              <w:bottom w:w="40" w:type="dxa"/>
              <w:right w:w="40" w:type="dxa"/>
            </w:tcMar>
          </w:tcPr>
          <w:p>
            <w:pPr>
              <w:spacing w:after="0"/>
            </w:pPr>
            <w:r/>
            <w:r>
              <w:rPr>
                <w:b w:val="0"/>
                <w:sz w:val="14"/>
              </w:rPr>
              <w:t>Full production flow-control integration</w:t>
            </w:r>
          </w:p>
        </w:tc>
      </w:tr>
      <w:tr>
        <w:trPr>
          <w:cantSplit/>
        </w:trPr>
        <w:tc>
          <w:tcPr>
            <w:tcW w:type="dxa" w:w="1584"/>
            <w:vAlign w:val="top"/>
            <w:tcMar>
              <w:top w:w="40" w:type="dxa"/>
              <w:left w:w="40" w:type="dxa"/>
              <w:bottom w:w="40" w:type="dxa"/>
              <w:right w:w="40" w:type="dxa"/>
            </w:tcMar>
          </w:tcPr>
          <w:p>
            <w:pPr>
              <w:spacing w:after="0"/>
            </w:pPr>
            <w:r/>
            <w:r>
              <w:rPr>
                <w:b w:val="0"/>
                <w:sz w:val="14"/>
              </w:rPr>
              <w:t>Privacy scope</w:t>
            </w:r>
          </w:p>
        </w:tc>
        <w:tc>
          <w:tcPr>
            <w:tcW w:type="dxa" w:w="2016"/>
            <w:vAlign w:val="top"/>
            <w:tcMar>
              <w:top w:w="40" w:type="dxa"/>
              <w:left w:w="40" w:type="dxa"/>
              <w:bottom w:w="40" w:type="dxa"/>
              <w:right w:w="40" w:type="dxa"/>
            </w:tcMar>
          </w:tcPr>
          <w:p>
            <w:pPr>
              <w:spacing w:after="0"/>
            </w:pPr>
            <w:r/>
            <w:r>
              <w:rPr>
                <w:b w:val="0"/>
                <w:sz w:val="14"/>
              </w:rPr>
              <w:t>Per-connection default; origin/tenant sharing only by explicit policy</w:t>
            </w:r>
          </w:p>
        </w:tc>
        <w:tc>
          <w:tcPr>
            <w:tcW w:type="dxa" w:w="2160"/>
            <w:vAlign w:val="top"/>
            <w:tcMar>
              <w:top w:w="40" w:type="dxa"/>
              <w:left w:w="40" w:type="dxa"/>
              <w:bottom w:w="40" w:type="dxa"/>
              <w:right w:w="40" w:type="dxa"/>
            </w:tcMar>
          </w:tcPr>
          <w:p>
            <w:pPr>
              <w:spacing w:after="0"/>
            </w:pPr>
            <w:r/>
            <w:r>
              <w:rPr>
                <w:b w:val="0"/>
                <w:sz w:val="14"/>
              </w:rPr>
              <w:t>Policy modeled and documented</w:t>
            </w:r>
          </w:p>
        </w:tc>
        <w:tc>
          <w:tcPr>
            <w:tcW w:type="dxa" w:w="2016"/>
            <w:vAlign w:val="top"/>
            <w:tcMar>
              <w:top w:w="40" w:type="dxa"/>
              <w:left w:w="40" w:type="dxa"/>
              <w:bottom w:w="40" w:type="dxa"/>
              <w:right w:w="40" w:type="dxa"/>
            </w:tcMar>
          </w:tcPr>
          <w:p>
            <w:pPr>
              <w:spacing w:after="0"/>
            </w:pPr>
            <w:r/>
            <w:r>
              <w:rPr>
                <w:b w:val="0"/>
                <w:sz w:val="14"/>
              </w:rPr>
              <w:t>Negative context-binding tests</w:t>
            </w:r>
          </w:p>
        </w:tc>
        <w:tc>
          <w:tcPr>
            <w:tcW w:type="dxa" w:w="2016"/>
            <w:vAlign w:val="top"/>
            <w:tcMar>
              <w:top w:w="40" w:type="dxa"/>
              <w:left w:w="40" w:type="dxa"/>
              <w:bottom w:w="40" w:type="dxa"/>
              <w:right w:w="40" w:type="dxa"/>
            </w:tcMar>
          </w:tcPr>
          <w:p>
            <w:pPr>
              <w:spacing w:after="0"/>
            </w:pPr>
            <w:r/>
            <w:r>
              <w:rPr>
                <w:b w:val="0"/>
                <w:sz w:val="14"/>
              </w:rPr>
              <w:t>Side-channel padding/timing mitigation and tenant isolation</w:t>
            </w:r>
          </w:p>
        </w:tc>
      </w:tr>
    </w:tbl>
    <w:p/>
    <w:p>
      <w:pPr>
        <w:keepNext/>
        <w:spacing w:after="40" w:before="120"/>
      </w:pPr>
      <w:r>
        <w:rPr>
          <w:b/>
          <w:sz w:val="18"/>
        </w:rPr>
        <w:t>Table 4. Privacy modes and leakage risks.</w:t>
      </w:r>
    </w:p>
    <w:tbl>
      <w:tblPr>
        <w:tblStyle w:val="TableGrid"/>
        <w:tblW w:type="auto" w:w="0"/>
        <w:jc w:val="center"/>
        <w:tblLook w:firstColumn="1" w:firstRow="1" w:lastColumn="0" w:lastRow="0" w:noHBand="0" w:noVBand="1" w:val="04A0"/>
      </w:tblPr>
      <w:tblGrid>
        <w:gridCol w:w="2628"/>
        <w:gridCol w:w="2628"/>
        <w:gridCol w:w="2628"/>
        <w:gridCol w:w="2628"/>
      </w:tblGrid>
      <w:tr>
        <w:trPr>
          <w:cantSplit/>
          <w:tblHeader w:val="true"/>
        </w:trPr>
        <w:tc>
          <w:tcPr>
            <w:tcW w:type="dxa" w:w="1872"/>
            <w:vAlign w:val="top"/>
            <w:tcMar>
              <w:top w:w="40" w:type="dxa"/>
              <w:left w:w="40" w:type="dxa"/>
              <w:bottom w:w="40" w:type="dxa"/>
              <w:right w:w="40" w:type="dxa"/>
            </w:tcMar>
          </w:tcPr>
          <w:p>
            <w:pPr>
              <w:spacing w:after="0"/>
            </w:pPr>
            <w:r/>
            <w:r>
              <w:rPr>
                <w:b/>
                <w:sz w:val="16"/>
              </w:rPr>
              <w:t>Mode</w:t>
            </w:r>
          </w:p>
        </w:tc>
        <w:tc>
          <w:tcPr>
            <w:tcW w:type="dxa" w:w="2448"/>
            <w:vAlign w:val="top"/>
            <w:tcMar>
              <w:top w:w="40" w:type="dxa"/>
              <w:left w:w="40" w:type="dxa"/>
              <w:bottom w:w="40" w:type="dxa"/>
              <w:right w:w="40" w:type="dxa"/>
            </w:tcMar>
          </w:tcPr>
          <w:p>
            <w:pPr>
              <w:spacing w:after="0"/>
            </w:pPr>
            <w:r/>
            <w:r>
              <w:rPr>
                <w:b/>
                <w:sz w:val="16"/>
              </w:rPr>
              <w:t>Dictionary scope</w:t>
            </w:r>
          </w:p>
        </w:tc>
        <w:tc>
          <w:tcPr>
            <w:tcW w:type="dxa" w:w="3456"/>
            <w:vAlign w:val="top"/>
            <w:tcMar>
              <w:top w:w="40" w:type="dxa"/>
              <w:left w:w="40" w:type="dxa"/>
              <w:bottom w:w="40" w:type="dxa"/>
              <w:right w:w="40" w:type="dxa"/>
            </w:tcMar>
          </w:tcPr>
          <w:p>
            <w:pPr>
              <w:spacing w:after="0"/>
            </w:pPr>
            <w:r/>
            <w:r>
              <w:rPr>
                <w:b/>
                <w:sz w:val="16"/>
              </w:rPr>
              <w:t>Leakage risk</w:t>
            </w:r>
          </w:p>
        </w:tc>
        <w:tc>
          <w:tcPr>
            <w:tcW w:type="dxa" w:w="1296"/>
            <w:vAlign w:val="top"/>
            <w:tcMar>
              <w:top w:w="40" w:type="dxa"/>
              <w:left w:w="40" w:type="dxa"/>
              <w:bottom w:w="40" w:type="dxa"/>
              <w:right w:w="40" w:type="dxa"/>
            </w:tcMar>
          </w:tcPr>
          <w:p>
            <w:pPr>
              <w:spacing w:after="0"/>
            </w:pPr>
            <w:r/>
            <w:r>
              <w:rPr>
                <w:b/>
                <w:sz w:val="16"/>
              </w:rPr>
              <w:t>Default</w:t>
            </w:r>
          </w:p>
        </w:tc>
      </w:tr>
      <w:tr>
        <w:trPr>
          <w:cantSplit/>
        </w:trPr>
        <w:tc>
          <w:tcPr>
            <w:tcW w:type="dxa" w:w="1872"/>
            <w:vAlign w:val="top"/>
            <w:tcMar>
              <w:top w:w="40" w:type="dxa"/>
              <w:left w:w="40" w:type="dxa"/>
              <w:bottom w:w="40" w:type="dxa"/>
              <w:right w:w="40" w:type="dxa"/>
            </w:tcMar>
          </w:tcPr>
          <w:p>
            <w:pPr>
              <w:spacing w:after="0"/>
            </w:pPr>
            <w:r/>
            <w:r>
              <w:rPr>
                <w:b w:val="0"/>
                <w:sz w:val="16"/>
              </w:rPr>
              <w:t>Public Internet</w:t>
            </w:r>
          </w:p>
        </w:tc>
        <w:tc>
          <w:tcPr>
            <w:tcW w:type="dxa" w:w="2448"/>
            <w:vAlign w:val="top"/>
            <w:tcMar>
              <w:top w:w="40" w:type="dxa"/>
              <w:left w:w="40" w:type="dxa"/>
              <w:bottom w:w="40" w:type="dxa"/>
              <w:right w:w="40" w:type="dxa"/>
            </w:tcMar>
          </w:tcPr>
          <w:p>
            <w:pPr>
              <w:spacing w:after="0"/>
            </w:pPr>
            <w:r/>
            <w:r>
              <w:rPr>
                <w:b w:val="0"/>
                <w:sz w:val="16"/>
              </w:rPr>
              <w:t>Per connection only</w:t>
            </w:r>
          </w:p>
        </w:tc>
        <w:tc>
          <w:tcPr>
            <w:tcW w:type="dxa" w:w="3456"/>
            <w:vAlign w:val="top"/>
            <w:tcMar>
              <w:top w:w="40" w:type="dxa"/>
              <w:left w:w="40" w:type="dxa"/>
              <w:bottom w:w="40" w:type="dxa"/>
              <w:right w:w="40" w:type="dxa"/>
            </w:tcMar>
          </w:tcPr>
          <w:p>
            <w:pPr>
              <w:spacing w:after="0"/>
            </w:pPr>
            <w:r/>
            <w:r>
              <w:rPr>
                <w:b w:val="0"/>
                <w:sz w:val="16"/>
              </w:rPr>
              <w:t>Same-connection access-pattern leakage</w:t>
            </w:r>
          </w:p>
        </w:tc>
        <w:tc>
          <w:tcPr>
            <w:tcW w:type="dxa" w:w="1296"/>
            <w:vAlign w:val="top"/>
            <w:tcMar>
              <w:top w:w="40" w:type="dxa"/>
              <w:left w:w="40" w:type="dxa"/>
              <w:bottom w:w="40" w:type="dxa"/>
              <w:right w:w="40" w:type="dxa"/>
            </w:tcMar>
          </w:tcPr>
          <w:p>
            <w:pPr>
              <w:spacing w:after="0"/>
            </w:pPr>
            <w:r/>
            <w:r>
              <w:rPr>
                <w:b w:val="0"/>
                <w:sz w:val="16"/>
              </w:rPr>
              <w:t>Yes</w:t>
            </w:r>
          </w:p>
        </w:tc>
      </w:tr>
      <w:tr>
        <w:trPr>
          <w:cantSplit/>
        </w:trPr>
        <w:tc>
          <w:tcPr>
            <w:tcW w:type="dxa" w:w="1872"/>
            <w:vAlign w:val="top"/>
            <w:tcMar>
              <w:top w:w="40" w:type="dxa"/>
              <w:left w:w="40" w:type="dxa"/>
              <w:bottom w:w="40" w:type="dxa"/>
              <w:right w:w="40" w:type="dxa"/>
            </w:tcMar>
          </w:tcPr>
          <w:p>
            <w:pPr>
              <w:spacing w:after="0"/>
            </w:pPr>
            <w:r/>
            <w:r>
              <w:rPr>
                <w:b w:val="0"/>
                <w:sz w:val="16"/>
              </w:rPr>
              <w:t>Public artifacts</w:t>
            </w:r>
          </w:p>
        </w:tc>
        <w:tc>
          <w:tcPr>
            <w:tcW w:type="dxa" w:w="2448"/>
            <w:vAlign w:val="top"/>
            <w:tcMar>
              <w:top w:w="40" w:type="dxa"/>
              <w:left w:w="40" w:type="dxa"/>
              <w:bottom w:w="40" w:type="dxa"/>
              <w:right w:w="40" w:type="dxa"/>
            </w:tcMar>
          </w:tcPr>
          <w:p>
            <w:pPr>
              <w:spacing w:after="0"/>
            </w:pPr>
            <w:r/>
            <w:r>
              <w:rPr>
                <w:b w:val="0"/>
                <w:sz w:val="16"/>
              </w:rPr>
              <w:t>Per-origin signed manifest</w:t>
            </w:r>
          </w:p>
        </w:tc>
        <w:tc>
          <w:tcPr>
            <w:tcW w:type="dxa" w:w="3456"/>
            <w:vAlign w:val="top"/>
            <w:tcMar>
              <w:top w:w="40" w:type="dxa"/>
              <w:left w:w="40" w:type="dxa"/>
              <w:bottom w:w="40" w:type="dxa"/>
              <w:right w:w="40" w:type="dxa"/>
            </w:tcMar>
          </w:tcPr>
          <w:p>
            <w:pPr>
              <w:spacing w:after="0"/>
            </w:pPr>
            <w:r/>
            <w:r>
              <w:rPr>
                <w:b w:val="0"/>
                <w:sz w:val="16"/>
              </w:rPr>
              <w:t>Artifact-version / popularity inference</w:t>
            </w:r>
          </w:p>
        </w:tc>
        <w:tc>
          <w:tcPr>
            <w:tcW w:type="dxa" w:w="1296"/>
            <w:vAlign w:val="top"/>
            <w:tcMar>
              <w:top w:w="40" w:type="dxa"/>
              <w:left w:w="40" w:type="dxa"/>
              <w:bottom w:w="40" w:type="dxa"/>
              <w:right w:w="40" w:type="dxa"/>
            </w:tcMar>
          </w:tcPr>
          <w:p>
            <w:pPr>
              <w:spacing w:after="0"/>
            </w:pPr>
            <w:r/>
            <w:r>
              <w:rPr>
                <w:b w:val="0"/>
                <w:sz w:val="16"/>
              </w:rPr>
              <w:t>Optional</w:t>
            </w:r>
          </w:p>
        </w:tc>
      </w:tr>
      <w:tr>
        <w:trPr>
          <w:cantSplit/>
        </w:trPr>
        <w:tc>
          <w:tcPr>
            <w:tcW w:type="dxa" w:w="1872"/>
            <w:vAlign w:val="top"/>
            <w:tcMar>
              <w:top w:w="40" w:type="dxa"/>
              <w:left w:w="40" w:type="dxa"/>
              <w:bottom w:w="40" w:type="dxa"/>
              <w:right w:w="40" w:type="dxa"/>
            </w:tcMar>
          </w:tcPr>
          <w:p>
            <w:pPr>
              <w:spacing w:after="0"/>
            </w:pPr>
            <w:r/>
            <w:r>
              <w:rPr>
                <w:b w:val="0"/>
                <w:sz w:val="16"/>
              </w:rPr>
              <w:t>Enterprise VPN</w:t>
            </w:r>
          </w:p>
        </w:tc>
        <w:tc>
          <w:tcPr>
            <w:tcW w:type="dxa" w:w="2448"/>
            <w:vAlign w:val="top"/>
            <w:tcMar>
              <w:top w:w="40" w:type="dxa"/>
              <w:left w:w="40" w:type="dxa"/>
              <w:bottom w:w="40" w:type="dxa"/>
              <w:right w:w="40" w:type="dxa"/>
            </w:tcMar>
          </w:tcPr>
          <w:p>
            <w:pPr>
              <w:spacing w:after="0"/>
            </w:pPr>
            <w:r/>
            <w:r>
              <w:rPr>
                <w:b w:val="0"/>
                <w:sz w:val="16"/>
              </w:rPr>
              <w:t>Tenant / admin domain</w:t>
            </w:r>
          </w:p>
        </w:tc>
        <w:tc>
          <w:tcPr>
            <w:tcW w:type="dxa" w:w="3456"/>
            <w:vAlign w:val="top"/>
            <w:tcMar>
              <w:top w:w="40" w:type="dxa"/>
              <w:left w:w="40" w:type="dxa"/>
              <w:bottom w:w="40" w:type="dxa"/>
              <w:right w:w="40" w:type="dxa"/>
            </w:tcMar>
          </w:tcPr>
          <w:p>
            <w:pPr>
              <w:spacing w:after="0"/>
            </w:pPr>
            <w:r/>
            <w:r>
              <w:rPr>
                <w:b w:val="0"/>
                <w:sz w:val="16"/>
              </w:rPr>
              <w:t>Intra-tenant content-existence leakage</w:t>
            </w:r>
          </w:p>
        </w:tc>
        <w:tc>
          <w:tcPr>
            <w:tcW w:type="dxa" w:w="1296"/>
            <w:vAlign w:val="top"/>
            <w:tcMar>
              <w:top w:w="40" w:type="dxa"/>
              <w:left w:w="40" w:type="dxa"/>
              <w:bottom w:w="40" w:type="dxa"/>
              <w:right w:w="40" w:type="dxa"/>
            </w:tcMar>
          </w:tcPr>
          <w:p>
            <w:pPr>
              <w:spacing w:after="0"/>
            </w:pPr>
            <w:r/>
            <w:r>
              <w:rPr>
                <w:b w:val="0"/>
                <w:sz w:val="16"/>
              </w:rPr>
              <w:t>Optional</w:t>
            </w:r>
          </w:p>
        </w:tc>
      </w:tr>
      <w:tr>
        <w:trPr>
          <w:cantSplit/>
        </w:trPr>
        <w:tc>
          <w:tcPr>
            <w:tcW w:type="dxa" w:w="1872"/>
            <w:vAlign w:val="top"/>
            <w:tcMar>
              <w:top w:w="40" w:type="dxa"/>
              <w:left w:w="40" w:type="dxa"/>
              <w:bottom w:w="40" w:type="dxa"/>
              <w:right w:w="40" w:type="dxa"/>
            </w:tcMar>
          </w:tcPr>
          <w:p>
            <w:pPr>
              <w:spacing w:after="0"/>
            </w:pPr>
            <w:r/>
            <w:r>
              <w:rPr>
                <w:b w:val="0"/>
                <w:sz w:val="16"/>
              </w:rPr>
              <w:t>CDN/update channel</w:t>
            </w:r>
          </w:p>
        </w:tc>
        <w:tc>
          <w:tcPr>
            <w:tcW w:type="dxa" w:w="2448"/>
            <w:vAlign w:val="top"/>
            <w:tcMar>
              <w:top w:w="40" w:type="dxa"/>
              <w:left w:w="40" w:type="dxa"/>
              <w:bottom w:w="40" w:type="dxa"/>
              <w:right w:w="40" w:type="dxa"/>
            </w:tcMar>
          </w:tcPr>
          <w:p>
            <w:pPr>
              <w:spacing w:after="0"/>
            </w:pPr>
            <w:r/>
            <w:r>
              <w:rPr>
                <w:b w:val="0"/>
                <w:sz w:val="16"/>
              </w:rPr>
              <w:t>Origin-scoped public versions</w:t>
            </w:r>
          </w:p>
        </w:tc>
        <w:tc>
          <w:tcPr>
            <w:tcW w:type="dxa" w:w="3456"/>
            <w:vAlign w:val="top"/>
            <w:tcMar>
              <w:top w:w="40" w:type="dxa"/>
              <w:left w:w="40" w:type="dxa"/>
              <w:bottom w:w="40" w:type="dxa"/>
              <w:right w:w="40" w:type="dxa"/>
            </w:tcMar>
          </w:tcPr>
          <w:p>
            <w:pPr>
              <w:spacing w:after="0"/>
            </w:pPr>
            <w:r/>
            <w:r>
              <w:rPr>
                <w:b w:val="0"/>
                <w:sz w:val="16"/>
              </w:rPr>
              <w:t>Version-possession inference</w:t>
            </w:r>
          </w:p>
        </w:tc>
        <w:tc>
          <w:tcPr>
            <w:tcW w:type="dxa" w:w="1296"/>
            <w:vAlign w:val="top"/>
            <w:tcMar>
              <w:top w:w="40" w:type="dxa"/>
              <w:left w:w="40" w:type="dxa"/>
              <w:bottom w:w="40" w:type="dxa"/>
              <w:right w:w="40" w:type="dxa"/>
            </w:tcMar>
          </w:tcPr>
          <w:p>
            <w:pPr>
              <w:spacing w:after="0"/>
            </w:pPr>
            <w:r/>
            <w:r>
              <w:rPr>
                <w:b w:val="0"/>
                <w:sz w:val="16"/>
              </w:rPr>
              <w:t>Optional</w:t>
            </w:r>
          </w:p>
        </w:tc>
      </w:tr>
      <w:tr>
        <w:trPr>
          <w:cantSplit/>
        </w:trPr>
        <w:tc>
          <w:tcPr>
            <w:tcW w:type="dxa" w:w="1872"/>
            <w:vAlign w:val="top"/>
            <w:tcMar>
              <w:top w:w="40" w:type="dxa"/>
              <w:left w:w="40" w:type="dxa"/>
              <w:bottom w:w="40" w:type="dxa"/>
              <w:right w:w="40" w:type="dxa"/>
            </w:tcMar>
          </w:tcPr>
          <w:p>
            <w:pPr>
              <w:spacing w:after="0"/>
            </w:pPr>
            <w:r/>
            <w:r>
              <w:rPr>
                <w:b w:val="0"/>
                <w:sz w:val="16"/>
              </w:rPr>
              <w:t>Global cross-user</w:t>
            </w:r>
          </w:p>
        </w:tc>
        <w:tc>
          <w:tcPr>
            <w:tcW w:type="dxa" w:w="2448"/>
            <w:vAlign w:val="top"/>
            <w:tcMar>
              <w:top w:w="40" w:type="dxa"/>
              <w:left w:w="40" w:type="dxa"/>
              <w:bottom w:w="40" w:type="dxa"/>
              <w:right w:w="40" w:type="dxa"/>
            </w:tcMar>
          </w:tcPr>
          <w:p>
            <w:pPr>
              <w:spacing w:after="0"/>
            </w:pPr>
            <w:r/>
            <w:r>
              <w:rPr>
                <w:b w:val="0"/>
                <w:sz w:val="16"/>
              </w:rPr>
              <w:t>Any user</w:t>
            </w:r>
          </w:p>
        </w:tc>
        <w:tc>
          <w:tcPr>
            <w:tcW w:type="dxa" w:w="3456"/>
            <w:vAlign w:val="top"/>
            <w:tcMar>
              <w:top w:w="40" w:type="dxa"/>
              <w:left w:w="40" w:type="dxa"/>
              <w:bottom w:w="40" w:type="dxa"/>
              <w:right w:w="40" w:type="dxa"/>
            </w:tcMar>
          </w:tcPr>
          <w:p>
            <w:pPr>
              <w:spacing w:after="0"/>
            </w:pPr>
            <w:r/>
            <w:r>
              <w:rPr>
                <w:b w:val="0"/>
                <w:sz w:val="16"/>
              </w:rPr>
              <w:t>Private content-possession leakage</w:t>
            </w:r>
          </w:p>
        </w:tc>
        <w:tc>
          <w:tcPr>
            <w:tcW w:type="dxa" w:w="1296"/>
            <w:vAlign w:val="top"/>
            <w:tcMar>
              <w:top w:w="40" w:type="dxa"/>
              <w:left w:w="40" w:type="dxa"/>
              <w:bottom w:w="40" w:type="dxa"/>
              <w:right w:w="40" w:type="dxa"/>
            </w:tcMar>
          </w:tcPr>
          <w:p>
            <w:pPr>
              <w:spacing w:after="0"/>
            </w:pPr>
            <w:r/>
            <w:r>
              <w:rPr>
                <w:b w:val="0"/>
                <w:sz w:val="16"/>
              </w:rPr>
              <w:t>No (out of scope)</w:t>
            </w:r>
          </w:p>
        </w:tc>
      </w:tr>
    </w:tbl>
    <w:p/>
    <w:p>
      <w:pPr>
        <w:pStyle w:val="Heading2"/>
      </w:pPr>
      <w:r>
        <w:rPr>
          <w:rFonts w:ascii="Arial" w:hAnsi="Arial"/>
        </w:rPr>
        <w:t>4.5 Formal security model and analysis</w:t>
      </w:r>
    </w:p>
    <w:p>
      <w:pPr>
        <w:spacing w:after="80" w:before="0"/>
      </w:pPr>
      <w:r>
        <w:rPr>
          <w:sz w:val="20"/>
        </w:rPr>
        <w:t>We separate two boundaries. A network adversary may observe, drop, reorder, inject, duplicate, or replay QUIC packets, but QUIC TLS/AEAD already prevents that adversary from creating or modifying accepted stream plaintext [6,7]; ReduLink does not claim an additional independent on-path guarantee. The ReduLink analysis instead models an adversary at the decoded-record boundary who can present chosen records, replay previously authenticated records, and, in policy-authorized shared modes, influence dictionary contents, but does not know the per-connection record key K. Production endpoints derive K from the QUIC TLS exporter via HKDF [24]. The artifact tests this interface with a fresh per-run surrogate on its native path and fixed keys in deterministic model paths.</w:t>
      </w:r>
    </w:p>
    <w:p>
      <w:pPr>
        <w:spacing w:after="80" w:before="0"/>
      </w:pPr>
      <w:r>
        <w:rPr>
          <w:sz w:val="20"/>
        </w:rPr>
        <w:t>We require four properties. Reference unforgeability: no efficient adversary can produce a FULL or REF frame that the receiver accepts and that delivers bytes the sender did not authenticate for the bound context, except with negligible probability. Context binding and replay resistance: a frame authenticated for a given epoch, scope, stream, and offset is rejected in any other context, and a nonce already seen within the epoch window is rejected. Expansion bound: an accepted REF delivers exactly the authenticated chunk length, so a small reference cannot reconstruct unbounded output. Dictionary safety: only authenticated FULL chunks, or signed-manifest chunks, are admitted to the dictionary. The theorem below covers the first two properties, with the replay and expansion bounds following from the same verification checks; manifest-mode dictionary safety is a specification requirement that is not analyzed here because the manifest mechanism is unimplemented (Table 3).</w:t>
      </w:r>
    </w:p>
    <w:p>
      <w:pPr>
        <w:spacing w:after="80" w:before="0"/>
      </w:pPr>
      <w:r>
        <w:rPr>
          <w:sz w:val="20"/>
        </w:rPr>
        <w:t>Concretely (Section 4.1), each chunk identifier is a truncated keyed MAC, cid = HMAC_K("cid", epoch, scope, SHA-256(chunk)), and each frame carries tag = HMAC_K(kind, epoch, scope, stream, offset, length, nonce, cid, SHA-256(payload)) [23]. Verification is authentication-first: the receiver recomputes the tag over the frame's own fields and rejects on mismatch with a single generic error, so an attacker without the key cannot distinguish which field was tampered with; only authentically-tagged frames proceed to the context checks (epoch, scope, stream, offset) and then to replay rejection against a bounded, reorder-tolerant nonce window. In the artifact the window holds the most recent nonces and treats anything at or below its floor as replayed, bounding receiver memory for long-lived sessions.</w:t>
      </w:r>
    </w:p>
    <w:p>
      <w:pPr>
        <w:spacing w:after="80" w:before="0"/>
      </w:pPr>
      <w:r>
        <w:rPr>
          <w:sz w:val="20"/>
        </w:rPr>
        <w:t>Theorem (informal). Model HMAC-SHA-256 as a pseudorandom function (PRF), its 128-bit truncation as a random 128-bit function up to PRF distinguishing advantage, and SHA-256 as collision resistant. Then, after q verification attempts and n distinct identifiers in one key domain, acceptance of a fresh unauthorized frame is bounded by the PRF advantage plus approximately q/2^128 for a tag guess; resolving an authenticated identifier to different bytes is additionally bounded by the SHA-256 collision advantage plus approximately n(n-1)/2^129 for a truncated-identifier collision. EUF-CMA alone supports fresh-message tag unforgeability but does not by itself justify the birthday estimate for collisions between truncated HMAC outputs, hence the explicit PRF/random-function assumption.</w:t>
      </w:r>
    </w:p>
    <w:p>
      <w:pPr>
        <w:spacing w:after="80" w:before="0"/>
      </w:pPr>
      <w:r>
        <w:rPr>
          <w:sz w:val="20"/>
        </w:rPr>
        <w:t>Proof sketch. A fresh accepted frame with no sender-authenticated canonical input either distinguishes HMAC from a random function or guesses its 128-bit tag. If a valid REF resolves to different bytes, the receiver's new content revalidation requires either a SHA-256 collision or equal 128-bit PRF outputs for distinct digests. Context fields are inside the tag and also checked against independently maintained receive state, so authentic cross-context records fail after authentication; repeated or below-window nonces fail replay state. The native path has per-run key/context freshness, while a whole deterministic standalone-model session can be replayed to a new decoder that deliberately reuses its fixed test key. Expansion is bounded because the receiver compares the stored chunk length and reconstructed object boundary before delivery. These are reduction-style arguments, not a machine-checked proof.</w:t>
      </w:r>
    </w:p>
    <w:p>
      <w:pPr>
        <w:spacing w:after="80" w:before="0"/>
      </w:pPr>
      <w:r>
        <w:rPr>
          <w:sz w:val="20"/>
        </w:rPr>
        <w:t>The MAC input is canonical JSON with sorted keys and fixed separators; an interoperating implementation must reproduce this encoding or specify another canonical form. Both identifiers and tags are 128 bits in the artifact. Identifier sizing must therefore consider the total number of entries per key domain; very large or multi-tenant deployments should prefer 192 or 256 bits. The secure-model, native-state, wire-boundary, and authenticated-UDP tests exercise the stated checks, but production exporter integration, key lifecycle, and side-channel defenses remain future work.</w:t>
      </w:r>
    </w:p>
    <w:p>
      <w:pPr>
        <w:pStyle w:val="Heading1"/>
      </w:pPr>
      <w:r>
        <w:rPr>
          <w:rFonts w:ascii="Arial" w:hAnsi="Arial"/>
        </w:rPr>
        <w:t>5. Implementation and Metrics</w:t>
      </w:r>
    </w:p>
    <w:p>
      <w:pPr>
        <w:spacing w:after="80" w:before="0"/>
      </w:pPr>
      <w:r>
        <w:rPr>
          <w:sz w:val="20"/>
        </w:rPr>
        <w:t>The artifact is implemented in Python for reproducibility and uses aioquic for native QUIC stream experiments [18]. ReduLink messages are compact binary application-stream records inside QUIC streams; this exercises a real QUIC handshake and encryption but does not implement custom QUIC frame types or transport parameters. The JSON encoding is retained only as a readable baseline, and the default path uses the compact binary format, which encodes frame type, stream id, reconstructed offset, length, chunk id, nonce, authentication tag, and payload only where required.</w:t>
      </w:r>
    </w:p>
    <w:p>
      <w:pPr>
        <w:spacing w:after="80" w:before="0"/>
      </w:pPr>
      <w:r>
        <w:rPr>
          <w:sz w:val="20"/>
        </w:rPr>
        <w:t>Three byte layers are reported. Input bytes are the reconstructed application bytes. Stream-payload bytes are the ReduLink or raw application bytes written into QUIC streams. UDP-estimated bytes add a local IPv4/UDP estimate from the loopback proxy path. The paper avoids treating stream-payload multipliers as full wire-rate measurements; they isolate the representation layer so that raw QUIC, ReduLink, gzip, zstd, fixed reuse, and rsync-style baselines can be compared consistently. Table 5 records, for each evidence layer, what it supports and what it does not prove.</w:t>
      </w:r>
    </w:p>
    <w:p>
      <w:pPr>
        <w:spacing w:after="80" w:before="0"/>
      </w:pPr>
      <w:r>
        <w:rPr>
          <w:sz w:val="20"/>
        </w:rPr>
        <w:t>Two reproducibility notes apply. Byte multipliers are deterministic functions of bytes and chunking parameters. Wall-clock and throughput values are local diagnostics. Component metadata records Python 3.13.0b2 on an arm64 development Mac; some historical transport evidence was produced in a Linux namespace and is labeled separately. Timings should be read as within-host order-of-magnitude costs, not portable guarantees.</w:t>
      </w:r>
    </w:p>
    <w:p>
      <w:pPr>
        <w:keepNext/>
        <w:spacing w:after="40" w:before="120"/>
      </w:pPr>
      <w:r>
        <w:rPr>
          <w:b/>
          <w:sz w:val="18"/>
        </w:rPr>
        <w:t>Table 5. Evidence hierarchy: what each layer supports and does not prove.</w:t>
      </w:r>
    </w:p>
    <w:tbl>
      <w:tblPr>
        <w:tblStyle w:val="TableGrid"/>
        <w:tblW w:type="auto" w:w="0"/>
        <w:jc w:val="center"/>
        <w:tblLook w:firstColumn="1" w:firstRow="1" w:lastColumn="0" w:lastRow="0" w:noHBand="0" w:noVBand="1" w:val="04A0"/>
      </w:tblPr>
      <w:tblGrid>
        <w:gridCol w:w="3504"/>
        <w:gridCol w:w="3504"/>
        <w:gridCol w:w="3504"/>
      </w:tblGrid>
      <w:tr>
        <w:trPr>
          <w:cantSplit/>
          <w:tblHeader w:val="true"/>
        </w:trPr>
        <w:tc>
          <w:tcPr>
            <w:tcW w:type="dxa" w:w="1872"/>
            <w:vAlign w:val="top"/>
            <w:tcMar>
              <w:top w:w="40" w:type="dxa"/>
              <w:left w:w="40" w:type="dxa"/>
              <w:bottom w:w="40" w:type="dxa"/>
              <w:right w:w="40" w:type="dxa"/>
            </w:tcMar>
          </w:tcPr>
          <w:p>
            <w:pPr>
              <w:spacing w:after="0"/>
            </w:pPr>
            <w:r/>
            <w:r>
              <w:rPr>
                <w:b/>
                <w:sz w:val="16"/>
              </w:rPr>
              <w:t>Evidence</w:t>
            </w:r>
          </w:p>
        </w:tc>
        <w:tc>
          <w:tcPr>
            <w:tcW w:type="dxa" w:w="3744"/>
            <w:vAlign w:val="top"/>
            <w:tcMar>
              <w:top w:w="40" w:type="dxa"/>
              <w:left w:w="40" w:type="dxa"/>
              <w:bottom w:w="40" w:type="dxa"/>
              <w:right w:w="40" w:type="dxa"/>
            </w:tcMar>
          </w:tcPr>
          <w:p>
            <w:pPr>
              <w:spacing w:after="0"/>
            </w:pPr>
            <w:r/>
            <w:r>
              <w:rPr>
                <w:b/>
                <w:sz w:val="16"/>
              </w:rPr>
              <w:t>Supports</w:t>
            </w:r>
          </w:p>
        </w:tc>
        <w:tc>
          <w:tcPr>
            <w:tcW w:type="dxa" w:w="3744"/>
            <w:vAlign w:val="top"/>
            <w:tcMar>
              <w:top w:w="40" w:type="dxa"/>
              <w:left w:w="40" w:type="dxa"/>
              <w:bottom w:w="40" w:type="dxa"/>
              <w:right w:w="40" w:type="dxa"/>
            </w:tcMar>
          </w:tcPr>
          <w:p>
            <w:pPr>
              <w:spacing w:after="0"/>
            </w:pPr>
            <w:r/>
            <w:r>
              <w:rPr>
                <w:b/>
                <w:sz w:val="16"/>
              </w:rPr>
              <w:t>Does not prove</w:t>
            </w:r>
          </w:p>
        </w:tc>
      </w:tr>
      <w:tr>
        <w:trPr>
          <w:cantSplit/>
        </w:trPr>
        <w:tc>
          <w:tcPr>
            <w:tcW w:type="dxa" w:w="1872"/>
            <w:vAlign w:val="top"/>
            <w:tcMar>
              <w:top w:w="40" w:type="dxa"/>
              <w:left w:w="40" w:type="dxa"/>
              <w:bottom w:w="40" w:type="dxa"/>
              <w:right w:w="40" w:type="dxa"/>
            </w:tcMar>
          </w:tcPr>
          <w:p>
            <w:pPr>
              <w:spacing w:after="0"/>
            </w:pPr>
            <w:r/>
            <w:r>
              <w:rPr>
                <w:b w:val="0"/>
                <w:sz w:val="16"/>
              </w:rPr>
              <w:t>Model</w:t>
            </w:r>
          </w:p>
        </w:tc>
        <w:tc>
          <w:tcPr>
            <w:tcW w:type="dxa" w:w="3744"/>
            <w:vAlign w:val="top"/>
            <w:tcMar>
              <w:top w:w="40" w:type="dxa"/>
              <w:left w:w="40" w:type="dxa"/>
              <w:bottom w:w="40" w:type="dxa"/>
              <w:right w:w="40" w:type="dxa"/>
            </w:tcMar>
          </w:tcPr>
          <w:p>
            <w:pPr>
              <w:spacing w:after="0"/>
            </w:pPr>
            <w:r/>
            <w:r>
              <w:rPr>
                <w:b w:val="0"/>
                <w:sz w:val="16"/>
              </w:rPr>
              <w:t>FULL/REF accounting and reconstruction</w:t>
            </w:r>
          </w:p>
        </w:tc>
        <w:tc>
          <w:tcPr>
            <w:tcW w:type="dxa" w:w="3744"/>
            <w:vAlign w:val="top"/>
            <w:tcMar>
              <w:top w:w="40" w:type="dxa"/>
              <w:left w:w="40" w:type="dxa"/>
              <w:bottom w:w="40" w:type="dxa"/>
              <w:right w:w="40" w:type="dxa"/>
            </w:tcMar>
          </w:tcPr>
          <w:p>
            <w:pPr>
              <w:spacing w:after="0"/>
            </w:pPr>
            <w:r/>
            <w:r>
              <w:rPr>
                <w:b w:val="0"/>
                <w:sz w:val="16"/>
              </w:rPr>
              <w:t>Transport behavior</w:t>
            </w:r>
          </w:p>
        </w:tc>
      </w:tr>
      <w:tr>
        <w:trPr>
          <w:cantSplit/>
        </w:trPr>
        <w:tc>
          <w:tcPr>
            <w:tcW w:type="dxa" w:w="1872"/>
            <w:vAlign w:val="top"/>
            <w:tcMar>
              <w:top w:w="40" w:type="dxa"/>
              <w:left w:w="40" w:type="dxa"/>
              <w:bottom w:w="40" w:type="dxa"/>
              <w:right w:w="40" w:type="dxa"/>
            </w:tcMar>
          </w:tcPr>
          <w:p>
            <w:pPr>
              <w:spacing w:after="0"/>
            </w:pPr>
            <w:r/>
            <w:r>
              <w:rPr>
                <w:b w:val="0"/>
                <w:sz w:val="16"/>
              </w:rPr>
              <w:t>Secure model</w:t>
            </w:r>
          </w:p>
        </w:tc>
        <w:tc>
          <w:tcPr>
            <w:tcW w:type="dxa" w:w="3744"/>
            <w:vAlign w:val="top"/>
            <w:tcMar>
              <w:top w:w="40" w:type="dxa"/>
              <w:left w:w="40" w:type="dxa"/>
              <w:bottom w:w="40" w:type="dxa"/>
              <w:right w:w="40" w:type="dxa"/>
            </w:tcMar>
          </w:tcPr>
          <w:p>
            <w:pPr>
              <w:spacing w:after="0"/>
            </w:pPr>
            <w:r/>
            <w:r>
              <w:rPr>
                <w:b w:val="0"/>
                <w:sz w:val="16"/>
              </w:rPr>
              <w:t>HMAC binding and replay checks</w:t>
            </w:r>
          </w:p>
        </w:tc>
        <w:tc>
          <w:tcPr>
            <w:tcW w:type="dxa" w:w="3744"/>
            <w:vAlign w:val="top"/>
            <w:tcMar>
              <w:top w:w="40" w:type="dxa"/>
              <w:left w:w="40" w:type="dxa"/>
              <w:bottom w:w="40" w:type="dxa"/>
              <w:right w:w="40" w:type="dxa"/>
            </w:tcMar>
          </w:tcPr>
          <w:p>
            <w:pPr>
              <w:spacing w:after="0"/>
            </w:pPr>
            <w:r/>
            <w:r>
              <w:rPr>
                <w:b w:val="0"/>
                <w:sz w:val="16"/>
              </w:rPr>
              <w:t>Live QUIC exporter use</w:t>
            </w:r>
          </w:p>
        </w:tc>
      </w:tr>
      <w:tr>
        <w:trPr>
          <w:cantSplit/>
        </w:trPr>
        <w:tc>
          <w:tcPr>
            <w:tcW w:type="dxa" w:w="1872"/>
            <w:vAlign w:val="top"/>
            <w:tcMar>
              <w:top w:w="40" w:type="dxa"/>
              <w:left w:w="40" w:type="dxa"/>
              <w:bottom w:w="40" w:type="dxa"/>
              <w:right w:w="40" w:type="dxa"/>
            </w:tcMar>
          </w:tcPr>
          <w:p>
            <w:pPr>
              <w:spacing w:after="0"/>
            </w:pPr>
            <w:r/>
            <w:r>
              <w:rPr>
                <w:b w:val="0"/>
                <w:sz w:val="16"/>
              </w:rPr>
              <w:t>aioquic stream</w:t>
            </w:r>
          </w:p>
        </w:tc>
        <w:tc>
          <w:tcPr>
            <w:tcW w:type="dxa" w:w="3744"/>
            <w:vAlign w:val="top"/>
            <w:tcMar>
              <w:top w:w="40" w:type="dxa"/>
              <w:left w:w="40" w:type="dxa"/>
              <w:bottom w:w="40" w:type="dxa"/>
              <w:right w:w="40" w:type="dxa"/>
            </w:tcMar>
          </w:tcPr>
          <w:p>
            <w:pPr>
              <w:spacing w:after="0"/>
            </w:pPr>
            <w:r/>
            <w:r>
              <w:rPr>
                <w:b w:val="0"/>
                <w:sz w:val="16"/>
              </w:rPr>
              <w:t>Encrypted QUIC stream mapping</w:t>
            </w:r>
          </w:p>
        </w:tc>
        <w:tc>
          <w:tcPr>
            <w:tcW w:type="dxa" w:w="3744"/>
            <w:vAlign w:val="top"/>
            <w:tcMar>
              <w:top w:w="40" w:type="dxa"/>
              <w:left w:w="40" w:type="dxa"/>
              <w:bottom w:w="40" w:type="dxa"/>
              <w:right w:w="40" w:type="dxa"/>
            </w:tcMar>
          </w:tcPr>
          <w:p>
            <w:pPr>
              <w:spacing w:after="0"/>
            </w:pPr>
            <w:r/>
            <w:r>
              <w:rPr>
                <w:b w:val="0"/>
                <w:sz w:val="16"/>
              </w:rPr>
              <w:t>Custom extension frames</w:t>
            </w:r>
          </w:p>
        </w:tc>
      </w:tr>
      <w:tr>
        <w:trPr>
          <w:cantSplit/>
        </w:trPr>
        <w:tc>
          <w:tcPr>
            <w:tcW w:type="dxa" w:w="1872"/>
            <w:vAlign w:val="top"/>
            <w:tcMar>
              <w:top w:w="40" w:type="dxa"/>
              <w:left w:w="40" w:type="dxa"/>
              <w:bottom w:w="40" w:type="dxa"/>
              <w:right w:w="40" w:type="dxa"/>
            </w:tcMar>
          </w:tcPr>
          <w:p>
            <w:pPr>
              <w:spacing w:after="0"/>
            </w:pPr>
            <w:r/>
            <w:r>
              <w:rPr>
                <w:b w:val="0"/>
                <w:sz w:val="16"/>
              </w:rPr>
              <w:t>UDP/IPv4 estimate</w:t>
            </w:r>
          </w:p>
        </w:tc>
        <w:tc>
          <w:tcPr>
            <w:tcW w:type="dxa" w:w="3744"/>
            <w:vAlign w:val="top"/>
            <w:tcMar>
              <w:top w:w="40" w:type="dxa"/>
              <w:left w:w="40" w:type="dxa"/>
              <w:bottom w:w="40" w:type="dxa"/>
              <w:right w:w="40" w:type="dxa"/>
            </w:tcMar>
          </w:tcPr>
          <w:p>
            <w:pPr>
              <w:spacing w:after="0"/>
            </w:pPr>
            <w:r/>
            <w:r>
              <w:rPr>
                <w:b w:val="0"/>
                <w:sz w:val="16"/>
              </w:rPr>
              <w:t>Local datagram accounting</w:t>
            </w:r>
          </w:p>
        </w:tc>
        <w:tc>
          <w:tcPr>
            <w:tcW w:type="dxa" w:w="3744"/>
            <w:vAlign w:val="top"/>
            <w:tcMar>
              <w:top w:w="40" w:type="dxa"/>
              <w:left w:w="40" w:type="dxa"/>
              <w:bottom w:w="40" w:type="dxa"/>
              <w:right w:w="40" w:type="dxa"/>
            </w:tcMar>
          </w:tcPr>
          <w:p>
            <w:pPr>
              <w:spacing w:after="0"/>
            </w:pPr>
            <w:r/>
            <w:r>
              <w:rPr>
                <w:b w:val="0"/>
                <w:sz w:val="16"/>
              </w:rPr>
              <w:t>Full packet capture</w:t>
            </w:r>
          </w:p>
        </w:tc>
      </w:tr>
      <w:tr>
        <w:trPr>
          <w:cantSplit/>
        </w:trPr>
        <w:tc>
          <w:tcPr>
            <w:tcW w:type="dxa" w:w="1872"/>
            <w:vAlign w:val="top"/>
            <w:tcMar>
              <w:top w:w="40" w:type="dxa"/>
              <w:left w:w="40" w:type="dxa"/>
              <w:bottom w:w="40" w:type="dxa"/>
              <w:right w:w="40" w:type="dxa"/>
            </w:tcMar>
          </w:tcPr>
          <w:p>
            <w:pPr>
              <w:spacing w:after="0"/>
            </w:pPr>
            <w:r/>
            <w:r>
              <w:rPr>
                <w:b w:val="0"/>
                <w:sz w:val="16"/>
              </w:rPr>
              <w:t>Workloads</w:t>
            </w:r>
          </w:p>
        </w:tc>
        <w:tc>
          <w:tcPr>
            <w:tcW w:type="dxa" w:w="3744"/>
            <w:vAlign w:val="top"/>
            <w:tcMar>
              <w:top w:w="40" w:type="dxa"/>
              <w:left w:w="40" w:type="dxa"/>
              <w:bottom w:w="40" w:type="dxa"/>
              <w:right w:w="40" w:type="dxa"/>
            </w:tcMar>
          </w:tcPr>
          <w:p>
            <w:pPr>
              <w:spacing w:after="0"/>
            </w:pPr>
            <w:r/>
            <w:r>
              <w:rPr>
                <w:b w:val="0"/>
                <w:sz w:val="16"/>
              </w:rPr>
              <w:t>Workload sensitivity</w:t>
            </w:r>
          </w:p>
        </w:tc>
        <w:tc>
          <w:tcPr>
            <w:tcW w:type="dxa" w:w="3744"/>
            <w:vAlign w:val="top"/>
            <w:tcMar>
              <w:top w:w="40" w:type="dxa"/>
              <w:left w:w="40" w:type="dxa"/>
              <w:bottom w:w="40" w:type="dxa"/>
              <w:right w:w="40" w:type="dxa"/>
            </w:tcMar>
          </w:tcPr>
          <w:p>
            <w:pPr>
              <w:spacing w:after="0"/>
            </w:pPr>
            <w:r/>
            <w:r>
              <w:rPr>
                <w:b w:val="0"/>
                <w:sz w:val="16"/>
              </w:rPr>
              <w:t>Universal acceleration</w:t>
            </w:r>
          </w:p>
        </w:tc>
      </w:tr>
      <w:tr>
        <w:trPr>
          <w:cantSplit/>
        </w:trPr>
        <w:tc>
          <w:tcPr>
            <w:tcW w:type="dxa" w:w="1872"/>
            <w:vAlign w:val="top"/>
            <w:tcMar>
              <w:top w:w="40" w:type="dxa"/>
              <w:left w:w="40" w:type="dxa"/>
              <w:bottom w:w="40" w:type="dxa"/>
              <w:right w:w="40" w:type="dxa"/>
            </w:tcMar>
          </w:tcPr>
          <w:p>
            <w:pPr>
              <w:spacing w:after="0"/>
            </w:pPr>
            <w:r/>
            <w:r>
              <w:rPr>
                <w:b w:val="0"/>
                <w:sz w:val="16"/>
              </w:rPr>
              <w:t>Path emulation</w:t>
            </w:r>
          </w:p>
        </w:tc>
        <w:tc>
          <w:tcPr>
            <w:tcW w:type="dxa" w:w="3744"/>
            <w:vAlign w:val="top"/>
            <w:tcMar>
              <w:top w:w="40" w:type="dxa"/>
              <w:left w:w="40" w:type="dxa"/>
              <w:bottom w:w="40" w:type="dxa"/>
              <w:right w:w="40" w:type="dxa"/>
            </w:tcMar>
          </w:tcPr>
          <w:p>
            <w:pPr>
              <w:spacing w:after="0"/>
            </w:pPr>
            <w:r/>
            <w:r>
              <w:rPr>
                <w:b w:val="0"/>
                <w:sz w:val="16"/>
              </w:rPr>
              <w:t>Measured shared-bottleneck completion and queueing (userspace)</w:t>
            </w:r>
          </w:p>
        </w:tc>
        <w:tc>
          <w:tcPr>
            <w:tcW w:type="dxa" w:w="3744"/>
            <w:vAlign w:val="top"/>
            <w:tcMar>
              <w:top w:w="40" w:type="dxa"/>
              <w:left w:w="40" w:type="dxa"/>
              <w:bottom w:w="40" w:type="dxa"/>
              <w:right w:w="40" w:type="dxa"/>
            </w:tcMar>
          </w:tcPr>
          <w:p>
            <w:pPr>
              <w:spacing w:after="0"/>
            </w:pPr>
            <w:r/>
            <w:r>
              <w:rPr>
                <w:b w:val="0"/>
                <w:sz w:val="16"/>
              </w:rPr>
              <w:t>Kernel netem or Internet-path fairness</w:t>
            </w:r>
          </w:p>
        </w:tc>
      </w:tr>
    </w:tbl>
    <w:p/>
    <w:p>
      <w:pPr>
        <w:pStyle w:val="Heading1"/>
      </w:pPr>
      <w:r>
        <w:rPr>
          <w:rFonts w:ascii="Arial" w:hAnsi="Arial"/>
        </w:rPr>
        <w:t>6. Evaluation Methodology</w:t>
      </w:r>
    </w:p>
    <w:p>
      <w:pPr>
        <w:spacing w:after="80" w:before="0"/>
      </w:pPr>
      <w:r>
        <w:rPr>
          <w:sz w:val="20"/>
        </w:rPr>
        <w:t>Evaluation uses four classes of evidence. First, deterministic journal fixtures (disk snapshot, OCI layer, package metadata, repository snapshot, structured logs, and a compressed negative control) isolate predicted positive and negative workload shapes. Second, public source-release pairs (Click, Redis, nginx) test ordinary source-tree updates where ReduLink should not be assumed to help. Third, object-aligned public release experiments use the same public bytes but model registry/CDN object delivery rather than tarball synchronization. Fourth, native aioquic stream experiments measure the encrypted stream mapping on positive and negative cases, under loss, at scale, and against competing flows and emulated bottlenecks. The journal fixtures are constructed with a chosen unchanged fraction and therefore illustrate workload shapes rather than estimate real-world gains; the only fully external inputs are the public source releases, which are negative for ReduLink, and their object-aligned re-framing, which is the paper's primary external positive signal. An author-independent-overlap version-pair study of real package upgrades is added in Section 7.5, and Section 7.6 re-prices all headline results at the measured wire framing and adds a dictionary-delta baseline.</w:t>
      </w:r>
    </w:p>
    <w:p>
      <w:pPr>
        <w:spacing w:after="80" w:before="0"/>
      </w:pPr>
      <w:r>
        <w:rPr>
          <w:sz w:val="20"/>
        </w:rPr>
        <w:t>For each workload the paper reports ReduLink fixed chunking, ReduLink content-defined chunking where relevant, fixed-block reuse, compression, and rsync where the baseline is structurally applicable. The fixed-block baseline is intentionally strong and simple: if it beats ReduLink, the result is reported rather than hidden, because ReduLink is a security and transport-compatibility layer over reuse, not a superior matching algorithm. All external corpora are hash-pinned, and every figure and table is regenerated from committed result files.</w:t>
      </w:r>
    </w:p>
    <w:p>
      <w:pPr>
        <w:pStyle w:val="Heading1"/>
      </w:pPr>
      <w:r>
        <w:rPr>
          <w:rFonts w:ascii="Arial" w:hAnsi="Arial"/>
        </w:rPr>
        <w:t>7. Workload Results and Baseline Interpretation</w:t>
      </w:r>
    </w:p>
    <w:p>
      <w:pPr>
        <w:spacing w:after="80" w:before="0"/>
      </w:pPr>
      <w:r>
        <w:rPr>
          <w:sz w:val="20"/>
        </w:rPr>
        <w:t>Table 6 reports the deterministic warm-state fixtures. On most byte-stable workloads, fixed-block reuse matches or beats ReduLink; the distinct ReduLink contribution is not superior matching but authenticated, scoped, stream-compatible reference substitution with explicit repair and privacy rules. The negative rows (package metadata, logs, and the compressed control) are included precisely because they fail: where repetition is local to one object, compression wins, and where there is no reusable structure, both fixed reuse and ReduLink correctly decline to help. The Unchanged column makes the mechanism explicit: because for aligned whole-chunk reuse the effective multiplier is bounded by roughly one over one minus the unchanged fraction (the fixed-block-reuse column can exceed this bound because its byte-scan alignment also matches moved content), these deterministic fixtures (96 to 100 percent unchanged on the positive rows) are illustrative workload shapes chosen to expose where reference substitution can and cannot help, not estimates of real-world overlap. The repository fixture in particular changes only 210 of 501,760 bytes, so its 24.73x is close to a no-op transfer.</w:t>
      </w:r>
    </w:p>
    <w:p>
      <w:pPr>
        <w:keepNext/>
        <w:spacing w:after="40" w:before="120"/>
      </w:pPr>
      <w:r>
        <w:rPr>
          <w:b/>
          <w:sz w:val="18"/>
        </w:rPr>
        <w:t>Table 6. Warm-state workload results (effective stream-payload multiplier), with the constructed unchanged fraction of each fixture.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cantSplit/>
          <w:tblHeader w:val="true"/>
        </w:trPr>
        <w:tc>
          <w:tcPr>
            <w:tcW w:type="dxa" w:w="2016"/>
            <w:vAlign w:val="top"/>
            <w:tcMar>
              <w:top w:w="40" w:type="dxa"/>
              <w:left w:w="40" w:type="dxa"/>
              <w:bottom w:w="40" w:type="dxa"/>
              <w:right w:w="40" w:type="dxa"/>
            </w:tcMar>
          </w:tcPr>
          <w:p>
            <w:pPr>
              <w:spacing w:after="0"/>
            </w:pPr>
            <w:r/>
            <w:r>
              <w:rPr>
                <w:b/>
                <w:sz w:val="16"/>
              </w:rPr>
              <w:t>Workload</w:t>
            </w:r>
          </w:p>
        </w:tc>
        <w:tc>
          <w:tcPr>
            <w:tcW w:type="dxa" w:w="1296"/>
            <w:vAlign w:val="top"/>
            <w:tcMar>
              <w:top w:w="40" w:type="dxa"/>
              <w:left w:w="40" w:type="dxa"/>
              <w:bottom w:w="40" w:type="dxa"/>
              <w:right w:w="40" w:type="dxa"/>
            </w:tcMar>
          </w:tcPr>
          <w:p>
            <w:pPr>
              <w:spacing w:after="0"/>
            </w:pPr>
            <w:r/>
            <w:r>
              <w:rPr>
                <w:b/>
                <w:sz w:val="16"/>
              </w:rPr>
              <w:t>Unchanged</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728"/>
            <w:vAlign w:val="top"/>
            <w:tcMar>
              <w:top w:w="40" w:type="dxa"/>
              <w:left w:w="40" w:type="dxa"/>
              <w:bottom w:w="40" w:type="dxa"/>
              <w:right w:w="40" w:type="dxa"/>
            </w:tcMar>
          </w:tcPr>
          <w:p>
            <w:pPr>
              <w:spacing w:after="0"/>
            </w:pPr>
            <w:r/>
            <w:r>
              <w:rPr>
                <w:b/>
                <w:sz w:val="16"/>
              </w:rPr>
              <w:t>Best compression</w:t>
            </w:r>
          </w:p>
        </w:tc>
        <w:tc>
          <w:tcPr>
            <w:tcW w:type="dxa" w:w="1440"/>
            <w:vAlign w:val="top"/>
            <w:tcMar>
              <w:top w:w="40" w:type="dxa"/>
              <w:left w:w="40" w:type="dxa"/>
              <w:bottom w:w="40" w:type="dxa"/>
              <w:right w:w="40" w:type="dxa"/>
            </w:tcMar>
          </w:tcPr>
          <w:p>
            <w:pPr>
              <w:spacing w:after="0"/>
            </w:pPr>
            <w:r/>
            <w:r>
              <w:rPr>
                <w:b/>
                <w:sz w:val="16"/>
              </w:rPr>
              <w:t>RL - fixed</w:t>
            </w:r>
          </w:p>
        </w:tc>
      </w:tr>
      <w:tr>
        <w:trPr>
          <w:cantSplit/>
        </w:trPr>
        <w:tc>
          <w:tcPr>
            <w:tcW w:type="dxa" w:w="2016"/>
            <w:vAlign w:val="top"/>
            <w:tcMar>
              <w:top w:w="40" w:type="dxa"/>
              <w:left w:w="40" w:type="dxa"/>
              <w:bottom w:w="40" w:type="dxa"/>
              <w:right w:w="40" w:type="dxa"/>
            </w:tcMar>
          </w:tcPr>
          <w:p>
            <w:pPr>
              <w:spacing w:after="0"/>
            </w:pPr>
            <w:r/>
            <w:r>
              <w:rPr>
                <w:b w:val="0"/>
                <w:sz w:val="16"/>
              </w:rPr>
              <w:t>disk snap</w:t>
            </w:r>
          </w:p>
        </w:tc>
        <w:tc>
          <w:tcPr>
            <w:tcW w:type="dxa" w:w="1296"/>
            <w:vAlign w:val="top"/>
            <w:tcMar>
              <w:top w:w="40" w:type="dxa"/>
              <w:left w:w="40" w:type="dxa"/>
              <w:bottom w:w="40" w:type="dxa"/>
              <w:right w:w="40" w:type="dxa"/>
            </w:tcMar>
          </w:tcPr>
          <w:p>
            <w:pPr>
              <w:spacing w:after="0"/>
            </w:pPr>
            <w:r/>
            <w:r>
              <w:rPr>
                <w:b w:val="0"/>
                <w:sz w:val="16"/>
              </w:rPr>
              <w:t>97.3%</w:t>
            </w:r>
          </w:p>
        </w:tc>
        <w:tc>
          <w:tcPr>
            <w:tcW w:type="dxa" w:w="1440"/>
            <w:vAlign w:val="top"/>
            <w:tcMar>
              <w:top w:w="40" w:type="dxa"/>
              <w:left w:w="40" w:type="dxa"/>
              <w:bottom w:w="40" w:type="dxa"/>
              <w:right w:w="40" w:type="dxa"/>
            </w:tcMar>
          </w:tcPr>
          <w:p>
            <w:pPr>
              <w:spacing w:after="0"/>
            </w:pPr>
            <w:r/>
            <w:r>
              <w:rPr>
                <w:b w:val="0"/>
                <w:sz w:val="16"/>
              </w:rPr>
              <w:t>28.49x</w:t>
            </w:r>
          </w:p>
        </w:tc>
        <w:tc>
          <w:tcPr>
            <w:tcW w:type="dxa" w:w="1440"/>
            <w:vAlign w:val="top"/>
            <w:tcMar>
              <w:top w:w="40" w:type="dxa"/>
              <w:left w:w="40" w:type="dxa"/>
              <w:bottom w:w="40" w:type="dxa"/>
              <w:right w:w="40" w:type="dxa"/>
            </w:tcMar>
          </w:tcPr>
          <w:p>
            <w:pPr>
              <w:spacing w:after="0"/>
            </w:pPr>
            <w:r/>
            <w:r>
              <w:rPr>
                <w:b w:val="0"/>
                <w:sz w:val="16"/>
              </w:rPr>
              <w:t>31.97x</w:t>
            </w:r>
          </w:p>
        </w:tc>
        <w:tc>
          <w:tcPr>
            <w:tcW w:type="dxa" w:w="1728"/>
            <w:vAlign w:val="top"/>
            <w:tcMar>
              <w:top w:w="40" w:type="dxa"/>
              <w:left w:w="40" w:type="dxa"/>
              <w:bottom w:w="40" w:type="dxa"/>
              <w:right w:w="40" w:type="dxa"/>
            </w:tcMar>
          </w:tcPr>
          <w:p>
            <w:pPr>
              <w:spacing w:after="0"/>
            </w:pPr>
            <w:r/>
            <w:r>
              <w:rPr>
                <w:b w:val="0"/>
                <w:sz w:val="16"/>
              </w:rPr>
              <w:t>1.06x</w:t>
            </w:r>
          </w:p>
        </w:tc>
        <w:tc>
          <w:tcPr>
            <w:tcW w:type="dxa" w:w="1440"/>
            <w:vAlign w:val="top"/>
            <w:tcMar>
              <w:top w:w="40" w:type="dxa"/>
              <w:left w:w="40" w:type="dxa"/>
              <w:bottom w:w="40" w:type="dxa"/>
              <w:right w:w="40" w:type="dxa"/>
            </w:tcMar>
          </w:tcPr>
          <w:p>
            <w:pPr>
              <w:spacing w:after="0"/>
            </w:pPr>
            <w:r/>
            <w:r>
              <w:rPr>
                <w:b w:val="0"/>
                <w:sz w:val="16"/>
              </w:rPr>
              <w:t>-3.48x</w:t>
            </w:r>
          </w:p>
        </w:tc>
      </w:tr>
      <w:tr>
        <w:trPr>
          <w:cantSplit/>
        </w:trPr>
        <w:tc>
          <w:tcPr>
            <w:tcW w:type="dxa" w:w="2016"/>
            <w:vAlign w:val="top"/>
            <w:tcMar>
              <w:top w:w="40" w:type="dxa"/>
              <w:left w:w="40" w:type="dxa"/>
              <w:bottom w:w="40" w:type="dxa"/>
              <w:right w:w="40" w:type="dxa"/>
            </w:tcMar>
          </w:tcPr>
          <w:p>
            <w:pPr>
              <w:spacing w:after="0"/>
            </w:pPr>
            <w:r/>
            <w:r>
              <w:rPr>
                <w:b w:val="0"/>
                <w:sz w:val="16"/>
              </w:rPr>
              <w:t>oci layer</w:t>
            </w:r>
          </w:p>
        </w:tc>
        <w:tc>
          <w:tcPr>
            <w:tcW w:type="dxa" w:w="1296"/>
            <w:vAlign w:val="top"/>
            <w:tcMar>
              <w:top w:w="40" w:type="dxa"/>
              <w:left w:w="40" w:type="dxa"/>
              <w:bottom w:w="40" w:type="dxa"/>
              <w:right w:w="40" w:type="dxa"/>
            </w:tcMar>
          </w:tcPr>
          <w:p>
            <w:pPr>
              <w:spacing w:after="0"/>
            </w:pPr>
            <w:r/>
            <w:r>
              <w:rPr>
                <w:b w:val="0"/>
                <w:sz w:val="16"/>
              </w:rPr>
              <w:t>96.5%</w:t>
            </w:r>
          </w:p>
        </w:tc>
        <w:tc>
          <w:tcPr>
            <w:tcW w:type="dxa" w:w="1440"/>
            <w:vAlign w:val="top"/>
            <w:tcMar>
              <w:top w:w="40" w:type="dxa"/>
              <w:left w:w="40" w:type="dxa"/>
              <w:bottom w:w="40" w:type="dxa"/>
              <w:right w:w="40" w:type="dxa"/>
            </w:tcMar>
          </w:tcPr>
          <w:p>
            <w:pPr>
              <w:spacing w:after="0"/>
            </w:pPr>
            <w:r/>
            <w:r>
              <w:rPr>
                <w:b w:val="0"/>
                <w:sz w:val="16"/>
              </w:rPr>
              <w:t>11.05x</w:t>
            </w:r>
          </w:p>
        </w:tc>
        <w:tc>
          <w:tcPr>
            <w:tcW w:type="dxa" w:w="1440"/>
            <w:vAlign w:val="top"/>
            <w:tcMar>
              <w:top w:w="40" w:type="dxa"/>
              <w:left w:w="40" w:type="dxa"/>
              <w:bottom w:w="40" w:type="dxa"/>
              <w:right w:w="40" w:type="dxa"/>
            </w:tcMar>
          </w:tcPr>
          <w:p>
            <w:pPr>
              <w:spacing w:after="0"/>
            </w:pPr>
            <w:r/>
            <w:r>
              <w:rPr>
                <w:b w:val="0"/>
                <w:sz w:val="16"/>
              </w:rPr>
              <w:t>10.68x</w:t>
            </w:r>
          </w:p>
        </w:tc>
        <w:tc>
          <w:tcPr>
            <w:tcW w:type="dxa" w:w="1728"/>
            <w:vAlign w:val="top"/>
            <w:tcMar>
              <w:top w:w="40" w:type="dxa"/>
              <w:left w:w="40" w:type="dxa"/>
              <w:bottom w:w="40" w:type="dxa"/>
              <w:right w:w="40" w:type="dxa"/>
            </w:tcMar>
          </w:tcPr>
          <w:p>
            <w:pPr>
              <w:spacing w:after="0"/>
            </w:pPr>
            <w:r/>
            <w:r>
              <w:rPr>
                <w:b w:val="0"/>
                <w:sz w:val="16"/>
              </w:rPr>
              <w:t>1.50x</w:t>
            </w:r>
          </w:p>
        </w:tc>
        <w:tc>
          <w:tcPr>
            <w:tcW w:type="dxa" w:w="1440"/>
            <w:vAlign w:val="top"/>
            <w:tcMar>
              <w:top w:w="40" w:type="dxa"/>
              <w:left w:w="40" w:type="dxa"/>
              <w:bottom w:w="40" w:type="dxa"/>
              <w:right w:w="40" w:type="dxa"/>
            </w:tcMar>
          </w:tcPr>
          <w:p>
            <w:pPr>
              <w:spacing w:after="0"/>
            </w:pPr>
            <w:r/>
            <w:r>
              <w:rPr>
                <w:b w:val="0"/>
                <w:sz w:val="16"/>
              </w:rPr>
              <w:t>+0.37x</w:t>
            </w:r>
          </w:p>
        </w:tc>
      </w:tr>
      <w:tr>
        <w:trPr>
          <w:cantSplit/>
        </w:trPr>
        <w:tc>
          <w:tcPr>
            <w:tcW w:type="dxa" w:w="2016"/>
            <w:vAlign w:val="top"/>
            <w:tcMar>
              <w:top w:w="40" w:type="dxa"/>
              <w:left w:w="40" w:type="dxa"/>
              <w:bottom w:w="40" w:type="dxa"/>
              <w:right w:w="40" w:type="dxa"/>
            </w:tcMar>
          </w:tcPr>
          <w:p>
            <w:pPr>
              <w:spacing w:after="0"/>
            </w:pPr>
            <w:r/>
            <w:r>
              <w:rPr>
                <w:b w:val="0"/>
                <w:sz w:val="16"/>
              </w:rPr>
              <w:t>package meta</w:t>
            </w:r>
          </w:p>
        </w:tc>
        <w:tc>
          <w:tcPr>
            <w:tcW w:type="dxa" w:w="1296"/>
            <w:vAlign w:val="top"/>
            <w:tcMar>
              <w:top w:w="40" w:type="dxa"/>
              <w:left w:w="40" w:type="dxa"/>
              <w:bottom w:w="40" w:type="dxa"/>
              <w:right w:w="40" w:type="dxa"/>
            </w:tcMar>
          </w:tcPr>
          <w:p>
            <w:pPr>
              <w:spacing w:after="0"/>
            </w:pPr>
            <w:r/>
            <w:r>
              <w:rPr>
                <w:b w:val="0"/>
                <w:sz w:val="16"/>
              </w:rPr>
              <w:t>3.5%</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9.88x</w:t>
            </w:r>
          </w:p>
        </w:tc>
        <w:tc>
          <w:tcPr>
            <w:tcW w:type="dxa" w:w="1728"/>
            <w:vAlign w:val="top"/>
            <w:tcMar>
              <w:top w:w="40" w:type="dxa"/>
              <w:left w:w="40" w:type="dxa"/>
              <w:bottom w:w="40" w:type="dxa"/>
              <w:right w:w="40" w:type="dxa"/>
            </w:tcMar>
          </w:tcPr>
          <w:p>
            <w:pPr>
              <w:spacing w:after="0"/>
            </w:pPr>
            <w:r/>
            <w:r>
              <w:rPr>
                <w:b w:val="0"/>
                <w:sz w:val="16"/>
              </w:rPr>
              <w:t>14.31x</w:t>
            </w:r>
          </w:p>
        </w:tc>
        <w:tc>
          <w:tcPr>
            <w:tcW w:type="dxa" w:w="1440"/>
            <w:vAlign w:val="top"/>
            <w:tcMar>
              <w:top w:w="40" w:type="dxa"/>
              <w:left w:w="40" w:type="dxa"/>
              <w:bottom w:w="40" w:type="dxa"/>
              <w:right w:w="40" w:type="dxa"/>
            </w:tcMar>
          </w:tcPr>
          <w:p>
            <w:pPr>
              <w:spacing w:after="0"/>
            </w:pPr>
            <w:r/>
            <w:r>
              <w:rPr>
                <w:b w:val="0"/>
                <w:sz w:val="16"/>
              </w:rPr>
              <w:t>-8.89x</w:t>
            </w:r>
          </w:p>
        </w:tc>
      </w:tr>
      <w:tr>
        <w:trPr>
          <w:cantSplit/>
        </w:trPr>
        <w:tc>
          <w:tcPr>
            <w:tcW w:type="dxa" w:w="2016"/>
            <w:vAlign w:val="top"/>
            <w:tcMar>
              <w:top w:w="40" w:type="dxa"/>
              <w:left w:w="40" w:type="dxa"/>
              <w:bottom w:w="40" w:type="dxa"/>
              <w:right w:w="40" w:type="dxa"/>
            </w:tcMar>
          </w:tcPr>
          <w:p>
            <w:pPr>
              <w:spacing w:after="0"/>
            </w:pPr>
            <w:r/>
            <w:r>
              <w:rPr>
                <w:b w:val="0"/>
                <w:sz w:val="16"/>
              </w:rPr>
              <w:t>repository snap</w:t>
            </w:r>
          </w:p>
        </w:tc>
        <w:tc>
          <w:tcPr>
            <w:tcW w:type="dxa" w:w="1296"/>
            <w:vAlign w:val="top"/>
            <w:tcMar>
              <w:top w:w="40" w:type="dxa"/>
              <w:left w:w="40" w:type="dxa"/>
              <w:bottom w:w="40" w:type="dxa"/>
              <w:right w:w="40" w:type="dxa"/>
            </w:tcMar>
          </w:tcPr>
          <w:p>
            <w:pPr>
              <w:spacing w:after="0"/>
            </w:pPr>
            <w:r/>
            <w:r>
              <w:rPr>
                <w:b w:val="0"/>
                <w:sz w:val="16"/>
              </w:rPr>
              <w:t>100.0%</w:t>
            </w:r>
          </w:p>
        </w:tc>
        <w:tc>
          <w:tcPr>
            <w:tcW w:type="dxa" w:w="1440"/>
            <w:vAlign w:val="top"/>
            <w:tcMar>
              <w:top w:w="40" w:type="dxa"/>
              <w:left w:w="40" w:type="dxa"/>
              <w:bottom w:w="40" w:type="dxa"/>
              <w:right w:w="40" w:type="dxa"/>
            </w:tcMar>
          </w:tcPr>
          <w:p>
            <w:pPr>
              <w:spacing w:after="0"/>
            </w:pPr>
            <w:r/>
            <w:r>
              <w:rPr>
                <w:b w:val="0"/>
                <w:sz w:val="16"/>
              </w:rPr>
              <w:t>24.73x</w:t>
            </w:r>
          </w:p>
        </w:tc>
        <w:tc>
          <w:tcPr>
            <w:tcW w:type="dxa" w:w="1440"/>
            <w:vAlign w:val="top"/>
            <w:tcMar>
              <w:top w:w="40" w:type="dxa"/>
              <w:left w:w="40" w:type="dxa"/>
              <w:bottom w:w="40" w:type="dxa"/>
              <w:right w:w="40" w:type="dxa"/>
            </w:tcMar>
          </w:tcPr>
          <w:p>
            <w:pPr>
              <w:spacing w:after="0"/>
            </w:pPr>
            <w:r/>
            <w:r>
              <w:rPr>
                <w:b w:val="0"/>
                <w:sz w:val="16"/>
              </w:rPr>
              <w:t>24.60x</w:t>
            </w:r>
          </w:p>
        </w:tc>
        <w:tc>
          <w:tcPr>
            <w:tcW w:type="dxa" w:w="1728"/>
            <w:vAlign w:val="top"/>
            <w:tcMar>
              <w:top w:w="40" w:type="dxa"/>
              <w:left w:w="40" w:type="dxa"/>
              <w:bottom w:w="40" w:type="dxa"/>
              <w:right w:w="40" w:type="dxa"/>
            </w:tcMar>
          </w:tcPr>
          <w:p>
            <w:pPr>
              <w:spacing w:after="0"/>
            </w:pPr>
            <w:r/>
            <w:r>
              <w:rPr>
                <w:b w:val="0"/>
                <w:sz w:val="16"/>
              </w:rPr>
              <w:t>10.37x</w:t>
            </w:r>
          </w:p>
        </w:tc>
        <w:tc>
          <w:tcPr>
            <w:tcW w:type="dxa" w:w="1440"/>
            <w:vAlign w:val="top"/>
            <w:tcMar>
              <w:top w:w="40" w:type="dxa"/>
              <w:left w:w="40" w:type="dxa"/>
              <w:bottom w:w="40" w:type="dxa"/>
              <w:right w:w="40" w:type="dxa"/>
            </w:tcMar>
          </w:tcPr>
          <w:p>
            <w:pPr>
              <w:spacing w:after="0"/>
            </w:pPr>
            <w:r/>
            <w:r>
              <w:rPr>
                <w:b w:val="0"/>
                <w:sz w:val="16"/>
              </w:rPr>
              <w:t>+0.14x</w:t>
            </w:r>
          </w:p>
        </w:tc>
      </w:tr>
      <w:tr>
        <w:trPr>
          <w:cantSplit/>
        </w:trPr>
        <w:tc>
          <w:tcPr>
            <w:tcW w:type="dxa" w:w="2016"/>
            <w:vAlign w:val="top"/>
            <w:tcMar>
              <w:top w:w="40" w:type="dxa"/>
              <w:left w:w="40" w:type="dxa"/>
              <w:bottom w:w="40" w:type="dxa"/>
              <w:right w:w="40" w:type="dxa"/>
            </w:tcMar>
          </w:tcPr>
          <w:p>
            <w:pPr>
              <w:spacing w:after="0"/>
            </w:pPr>
            <w:r/>
            <w:r>
              <w:rPr>
                <w:b w:val="0"/>
                <w:sz w:val="16"/>
              </w:rPr>
              <w:t>logs</w:t>
            </w:r>
          </w:p>
        </w:tc>
        <w:tc>
          <w:tcPr>
            <w:tcW w:type="dxa" w:w="1296"/>
            <w:vAlign w:val="top"/>
            <w:tcMar>
              <w:top w:w="40" w:type="dxa"/>
              <w:left w:w="40" w:type="dxa"/>
              <w:bottom w:w="40" w:type="dxa"/>
              <w:right w:w="40" w:type="dxa"/>
            </w:tcMar>
          </w:tcPr>
          <w:p>
            <w:pPr>
              <w:spacing w:after="0"/>
            </w:pPr>
            <w:r/>
            <w:r>
              <w:rPr>
                <w:b w:val="0"/>
                <w:sz w:val="16"/>
              </w:rPr>
              <w:t>3.3%</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14.89x</w:t>
            </w:r>
          </w:p>
        </w:tc>
        <w:tc>
          <w:tcPr>
            <w:tcW w:type="dxa" w:w="1728"/>
            <w:vAlign w:val="top"/>
            <w:tcMar>
              <w:top w:w="40" w:type="dxa"/>
              <w:left w:w="40" w:type="dxa"/>
              <w:bottom w:w="40" w:type="dxa"/>
              <w:right w:w="40" w:type="dxa"/>
            </w:tcMar>
          </w:tcPr>
          <w:p>
            <w:pPr>
              <w:spacing w:after="0"/>
            </w:pPr>
            <w:r/>
            <w:r>
              <w:rPr>
                <w:b w:val="0"/>
                <w:sz w:val="16"/>
              </w:rPr>
              <w:t>18.01x</w:t>
            </w:r>
          </w:p>
        </w:tc>
        <w:tc>
          <w:tcPr>
            <w:tcW w:type="dxa" w:w="1440"/>
            <w:vAlign w:val="top"/>
            <w:tcMar>
              <w:top w:w="40" w:type="dxa"/>
              <w:left w:w="40" w:type="dxa"/>
              <w:bottom w:w="40" w:type="dxa"/>
              <w:right w:w="40" w:type="dxa"/>
            </w:tcMar>
          </w:tcPr>
          <w:p>
            <w:pPr>
              <w:spacing w:after="0"/>
            </w:pPr>
            <w:r/>
            <w:r>
              <w:rPr>
                <w:b w:val="0"/>
                <w:sz w:val="16"/>
              </w:rPr>
              <w:t>-13.89x</w:t>
            </w:r>
          </w:p>
        </w:tc>
      </w:tr>
      <w:tr>
        <w:trPr>
          <w:cantSplit/>
        </w:trPr>
        <w:tc>
          <w:tcPr>
            <w:tcW w:type="dxa" w:w="2016"/>
            <w:vAlign w:val="top"/>
            <w:tcMar>
              <w:top w:w="40" w:type="dxa"/>
              <w:left w:w="40" w:type="dxa"/>
              <w:bottom w:w="40" w:type="dxa"/>
              <w:right w:w="40" w:type="dxa"/>
            </w:tcMar>
          </w:tcPr>
          <w:p>
            <w:pPr>
              <w:spacing w:after="0"/>
            </w:pPr>
            <w:r/>
            <w:r>
              <w:rPr>
                <w:b w:val="0"/>
                <w:sz w:val="16"/>
              </w:rPr>
              <w:t>compressed neg</w:t>
            </w:r>
          </w:p>
        </w:tc>
        <w:tc>
          <w:tcPr>
            <w:tcW w:type="dxa" w:w="1296"/>
            <w:vAlign w:val="top"/>
            <w:tcMar>
              <w:top w:w="40" w:type="dxa"/>
              <w:left w:w="40" w:type="dxa"/>
              <w:bottom w:w="40" w:type="dxa"/>
              <w:right w:w="40" w:type="dxa"/>
            </w:tcMar>
          </w:tcPr>
          <w:p>
            <w:pPr>
              <w:spacing w:after="0"/>
            </w:pPr>
            <w:r/>
            <w:r>
              <w:rPr>
                <w:b w:val="0"/>
                <w:sz w:val="16"/>
              </w:rPr>
              <w:t>0.4%</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1.00x</w:t>
            </w:r>
          </w:p>
        </w:tc>
        <w:tc>
          <w:tcPr>
            <w:tcW w:type="dxa" w:w="1728"/>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-0.01x</w:t>
            </w:r>
          </w:p>
        </w:tc>
      </w:tr>
    </w:tbl>
    <w:p/>
    <w:p>
      <w:pPr>
        <w:pStyle w:val="Heading2"/>
      </w:pPr>
      <w:r>
        <w:rPr>
          <w:rFonts w:ascii="Arial" w:hAnsi="Arial"/>
        </w:rPr>
        <w:t>7.1 External Public Source Releases</w:t>
      </w:r>
    </w:p>
    <w:p>
      <w:pPr>
        <w:spacing w:after="80" w:before="0"/>
      </w:pPr>
      <w:r>
        <w:rPr>
          <w:sz w:val="20"/>
        </w:rPr>
        <w:t>Table 7 reports three independent, hash-pinned source-release pairs. The result is negative for ReduLink and strongly positive for rsync. This is an important and deliberately reported finding: ordinary related source trees are better served by file-oriented delta transfer than by stream-level reference substitution, because rsync can exploit fine-grained intra-file similarity that whole-object referencing cannot.</w:t>
      </w:r>
    </w:p>
    <w:p>
      <w:pPr>
        <w:keepNext/>
        <w:spacing w:after="40" w:before="120"/>
      </w:pPr>
      <w:r>
        <w:rPr>
          <w:b/>
          <w:sz w:val="18"/>
        </w:rPr>
        <w:t>Table 7. External public source-release pairs: ReduLink and fixed reuse versus real rsync (negative case for ReduLink).</w:t>
      </w:r>
    </w:p>
    <w:tbl>
      <w:tblPr>
        <w:tblStyle w:val="TableGrid"/>
        <w:tblW w:type="auto" w:w="0"/>
        <w:jc w:val="center"/>
        <w:tblLook w:firstColumn="1" w:firstRow="1" w:lastColumn="0" w:lastRow="0" w:noHBand="0" w:noVBand="1" w:val="04A0"/>
      </w:tblPr>
      <w:tblGrid>
        <w:gridCol w:w="2628"/>
        <w:gridCol w:w="2628"/>
        <w:gridCol w:w="2628"/>
        <w:gridCol w:w="2628"/>
      </w:tblGrid>
      <w:tr>
        <w:trPr>
          <w:cantSplit/>
          <w:tblHeader w:val="true"/>
        </w:trPr>
        <w:tc>
          <w:tcPr>
            <w:tcW w:type="dxa" w:w="3744"/>
            <w:vAlign w:val="top"/>
            <w:tcMar>
              <w:top w:w="40" w:type="dxa"/>
              <w:left w:w="40" w:type="dxa"/>
              <w:bottom w:w="40" w:type="dxa"/>
              <w:right w:w="40" w:type="dxa"/>
            </w:tcMar>
          </w:tcPr>
          <w:p>
            <w:pPr>
              <w:spacing w:after="0"/>
            </w:pPr>
            <w:r/>
            <w:r>
              <w:rPr>
                <w:b/>
                <w:sz w:val="16"/>
              </w:rPr>
              <w:t>Public pair</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440"/>
            <w:vAlign w:val="top"/>
            <w:tcMar>
              <w:top w:w="40" w:type="dxa"/>
              <w:left w:w="40" w:type="dxa"/>
              <w:bottom w:w="40" w:type="dxa"/>
              <w:right w:w="40" w:type="dxa"/>
            </w:tcMar>
          </w:tcPr>
          <w:p>
            <w:pPr>
              <w:spacing w:after="0"/>
            </w:pPr>
            <w:r/>
            <w:r>
              <w:rPr>
                <w:b/>
                <w:sz w:val="16"/>
              </w:rPr>
              <w:t>rsync total</w:t>
            </w:r>
          </w:p>
        </w:tc>
      </w:tr>
      <w:tr>
        <w:trPr>
          <w:cantSplit/>
        </w:trPr>
        <w:tc>
          <w:tcPr>
            <w:tcW w:type="dxa" w:w="3744"/>
            <w:vAlign w:val="top"/>
            <w:tcMar>
              <w:top w:w="40" w:type="dxa"/>
              <w:left w:w="40" w:type="dxa"/>
              <w:bottom w:w="40" w:type="dxa"/>
              <w:right w:w="40" w:type="dxa"/>
            </w:tcMar>
          </w:tcPr>
          <w:p>
            <w:pPr>
              <w:spacing w:after="0"/>
            </w:pPr>
            <w:r/>
            <w:r>
              <w:rPr>
                <w:b w:val="0"/>
                <w:sz w:val="16"/>
              </w:rPr>
              <w:t>click-8.1.7 to 8.1.8</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6.48x</w:t>
            </w:r>
          </w:p>
        </w:tc>
      </w:tr>
      <w:tr>
        <w:trPr>
          <w:cantSplit/>
        </w:trPr>
        <w:tc>
          <w:tcPr>
            <w:tcW w:type="dxa" w:w="3744"/>
            <w:vAlign w:val="top"/>
            <w:tcMar>
              <w:top w:w="40" w:type="dxa"/>
              <w:left w:w="40" w:type="dxa"/>
              <w:bottom w:w="40" w:type="dxa"/>
              <w:right w:w="40" w:type="dxa"/>
            </w:tcMar>
          </w:tcPr>
          <w:p>
            <w:pPr>
              <w:spacing w:after="0"/>
            </w:pPr>
            <w:r/>
            <w:r>
              <w:rPr>
                <w:b w:val="0"/>
                <w:sz w:val="16"/>
              </w:rPr>
              <w:t>redis-7.2.4 to 7.2.5</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73.13x</w:t>
            </w:r>
          </w:p>
        </w:tc>
      </w:tr>
      <w:tr>
        <w:trPr>
          <w:cantSplit/>
        </w:trPr>
        <w:tc>
          <w:tcPr>
            <w:tcW w:type="dxa" w:w="3744"/>
            <w:vAlign w:val="top"/>
            <w:tcMar>
              <w:top w:w="40" w:type="dxa"/>
              <w:left w:w="40" w:type="dxa"/>
              <w:bottom w:w="40" w:type="dxa"/>
              <w:right w:w="40" w:type="dxa"/>
            </w:tcMar>
          </w:tcPr>
          <w:p>
            <w:pPr>
              <w:spacing w:after="0"/>
            </w:pPr>
            <w:r/>
            <w:r>
              <w:rPr>
                <w:b w:val="0"/>
                <w:sz w:val="16"/>
              </w:rPr>
              <w:t>nginx-1.25.3 to 1.25.4</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49.49x</w:t>
            </w:r>
          </w:p>
        </w:tc>
      </w:tr>
    </w:tbl>
    <w:p/>
    <w:p>
      <w:pPr>
        <w:pStyle w:val="Heading2"/>
      </w:pPr>
      <w:r>
        <w:rPr>
          <w:rFonts w:ascii="Arial" w:hAnsi="Arial"/>
        </w:rPr>
        <w:t>7.2 Object-Aligned Public Release Transfers</w:t>
      </w:r>
    </w:p>
    <w:p>
      <w:pPr>
        <w:spacing w:after="80" w:before="0"/>
      </w:pPr>
      <w:r>
        <w:rPr>
          <w:sz w:val="20"/>
        </w:rPr>
        <w:t>Table 8 and Figure 2 use the same public tarballs but change the transfer abstraction: every relative name, object length, empty object, and content byte is encoded and decoded exactly, while chunking restarts at object boundaries and warm state remains shared across objects. The secure profile MACs each name/length boundary and binds frames to an object-derived stream id. Reconstruction success is computed by comparing the complete ordered object mapping, not assigned by accounting logic. Redis and nginx remain positive because many objects are stable; Click is weaker. This is external transfer-model evidence, not a captured registry trace.</w:t>
      </w:r>
    </w:p>
    <w:p>
      <w:pPr>
        <w:keepNext/>
        <w:spacing w:after="40" w:before="120"/>
      </w:pPr>
      <w:r>
        <w:rPr>
          <w:b/>
          <w:sz w:val="18"/>
        </w:rPr>
        <w:t>Table 8. Object-aligned public release transfers modeling registry/CDN object delivery.</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rPr>
          <w:cantSplit/>
          <w:tblHeader w:val="true"/>
        </w:trPr>
        <w:tc>
          <w:tcPr>
            <w:tcW w:type="dxa" w:w="1728"/>
            <w:vAlign w:val="top"/>
            <w:tcMar>
              <w:top w:w="40" w:type="dxa"/>
              <w:left w:w="40" w:type="dxa"/>
              <w:bottom w:w="40" w:type="dxa"/>
              <w:right w:w="40" w:type="dxa"/>
            </w:tcMar>
          </w:tcPr>
          <w:p>
            <w:pPr>
              <w:spacing w:after="0"/>
            </w:pPr>
            <w:r/>
            <w:r>
              <w:rPr>
                <w:b/>
                <w:sz w:val="14"/>
              </w:rPr>
              <w:t>Public release</w:t>
            </w:r>
          </w:p>
        </w:tc>
        <w:tc>
          <w:tcPr>
            <w:tcW w:type="dxa" w:w="1728"/>
            <w:vAlign w:val="top"/>
            <w:tcMar>
              <w:top w:w="40" w:type="dxa"/>
              <w:left w:w="40" w:type="dxa"/>
              <w:bottom w:w="40" w:type="dxa"/>
              <w:right w:w="40" w:type="dxa"/>
            </w:tcMar>
          </w:tcPr>
          <w:p>
            <w:pPr>
              <w:spacing w:after="0"/>
            </w:pPr>
            <w:r/>
            <w:r>
              <w:rPr>
                <w:b/>
                <w:sz w:val="14"/>
              </w:rPr>
              <w:t>File stability</w:t>
            </w:r>
          </w:p>
        </w:tc>
        <w:tc>
          <w:tcPr>
            <w:tcW w:type="dxa" w:w="1152"/>
            <w:vAlign w:val="top"/>
            <w:tcMar>
              <w:top w:w="40" w:type="dxa"/>
              <w:left w:w="40" w:type="dxa"/>
              <w:bottom w:w="40" w:type="dxa"/>
              <w:right w:w="40" w:type="dxa"/>
            </w:tcMar>
          </w:tcPr>
          <w:p>
            <w:pPr>
              <w:spacing w:after="0"/>
            </w:pPr>
            <w:r/>
            <w:r>
              <w:rPr>
                <w:b/>
                <w:sz w:val="14"/>
              </w:rPr>
              <w:t>Bytes</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440"/>
            <w:vAlign w:val="top"/>
            <w:tcMar>
              <w:top w:w="40" w:type="dxa"/>
              <w:left w:w="40" w:type="dxa"/>
              <w:bottom w:w="40" w:type="dxa"/>
              <w:right w:w="40" w:type="dxa"/>
            </w:tcMar>
          </w:tcPr>
          <w:p>
            <w:pPr>
              <w:spacing w:after="0"/>
            </w:pPr>
            <w:r/>
            <w:r>
              <w:rPr>
                <w:b/>
                <w:sz w:val="14"/>
              </w:rPr>
              <w:t>Fixed object reuse</w:t>
            </w:r>
          </w:p>
        </w:tc>
        <w:tc>
          <w:tcPr>
            <w:tcW w:type="dxa" w:w="1152"/>
            <w:vAlign w:val="top"/>
            <w:tcMar>
              <w:top w:w="40" w:type="dxa"/>
              <w:left w:w="40" w:type="dxa"/>
              <w:bottom w:w="40" w:type="dxa"/>
              <w:right w:w="40" w:type="dxa"/>
            </w:tcMar>
          </w:tcPr>
          <w:p>
            <w:pPr>
              <w:spacing w:after="0"/>
            </w:pPr>
            <w:r/>
            <w:r>
              <w:rPr>
                <w:b/>
                <w:sz w:val="14"/>
              </w:rPr>
              <w:t>gzip</w:t>
            </w:r>
          </w:p>
        </w:tc>
      </w:tr>
      <w:tr>
        <w:trPr>
          <w:cantSplit/>
        </w:trPr>
        <w:tc>
          <w:tcPr>
            <w:tcW w:type="dxa" w:w="1728"/>
            <w:vAlign w:val="top"/>
            <w:tcMar>
              <w:top w:w="40" w:type="dxa"/>
              <w:left w:w="40" w:type="dxa"/>
              <w:bottom w:w="40" w:type="dxa"/>
              <w:right w:w="40" w:type="dxa"/>
            </w:tcMar>
          </w:tcPr>
          <w:p>
            <w:pPr>
              <w:spacing w:after="0"/>
            </w:pPr>
            <w:r/>
            <w:r>
              <w:rPr>
                <w:b w:val="0"/>
                <w:sz w:val="14"/>
              </w:rPr>
              <w:t>click</w:t>
            </w:r>
          </w:p>
        </w:tc>
        <w:tc>
          <w:tcPr>
            <w:tcW w:type="dxa" w:w="1728"/>
            <w:vAlign w:val="top"/>
            <w:tcMar>
              <w:top w:w="40" w:type="dxa"/>
              <w:left w:w="40" w:type="dxa"/>
              <w:bottom w:w="40" w:type="dxa"/>
              <w:right w:w="40" w:type="dxa"/>
            </w:tcMar>
          </w:tcPr>
          <w:p>
            <w:pPr>
              <w:spacing w:after="0"/>
            </w:pPr>
            <w:r/>
            <w:r>
              <w:rPr>
                <w:b w:val="0"/>
                <w:sz w:val="14"/>
              </w:rPr>
              <w:t>83/147 unchanged</w:t>
            </w:r>
          </w:p>
        </w:tc>
        <w:tc>
          <w:tcPr>
            <w:tcW w:type="dxa" w:w="1152"/>
            <w:vAlign w:val="top"/>
            <w:tcMar>
              <w:top w:w="40" w:type="dxa"/>
              <w:left w:w="40" w:type="dxa"/>
              <w:bottom w:w="40" w:type="dxa"/>
              <w:right w:w="40" w:type="dxa"/>
            </w:tcMar>
          </w:tcPr>
          <w:p>
            <w:pPr>
              <w:spacing w:after="0"/>
            </w:pPr>
            <w:r/>
            <w:r>
              <w:rPr>
                <w:b w:val="0"/>
                <w:sz w:val="14"/>
              </w:rPr>
              <w:t>947,826</w:t>
            </w:r>
          </w:p>
        </w:tc>
        <w:tc>
          <w:tcPr>
            <w:tcW w:type="dxa" w:w="1152"/>
            <w:vAlign w:val="top"/>
            <w:tcMar>
              <w:top w:w="40" w:type="dxa"/>
              <w:left w:w="40" w:type="dxa"/>
              <w:bottom w:w="40" w:type="dxa"/>
              <w:right w:w="40" w:type="dxa"/>
            </w:tcMar>
          </w:tcPr>
          <w:p>
            <w:pPr>
              <w:spacing w:after="0"/>
            </w:pPr>
            <w:r/>
            <w:r>
              <w:rPr>
                <w:b w:val="0"/>
                <w:sz w:val="14"/>
              </w:rPr>
              <w:t>1.92x</w:t>
            </w:r>
          </w:p>
        </w:tc>
        <w:tc>
          <w:tcPr>
            <w:tcW w:type="dxa" w:w="1152"/>
            <w:vAlign w:val="top"/>
            <w:tcMar>
              <w:top w:w="40" w:type="dxa"/>
              <w:left w:w="40" w:type="dxa"/>
              <w:bottom w:w="40" w:type="dxa"/>
              <w:right w:w="40" w:type="dxa"/>
            </w:tcMar>
          </w:tcPr>
          <w:p>
            <w:pPr>
              <w:spacing w:after="0"/>
            </w:pPr>
            <w:r/>
            <w:r>
              <w:rPr>
                <w:b w:val="0"/>
                <w:sz w:val="14"/>
              </w:rPr>
              <w:t>1.88x</w:t>
            </w:r>
          </w:p>
        </w:tc>
        <w:tc>
          <w:tcPr>
            <w:tcW w:type="dxa" w:w="1440"/>
            <w:vAlign w:val="top"/>
            <w:tcMar>
              <w:top w:w="40" w:type="dxa"/>
              <w:left w:w="40" w:type="dxa"/>
              <w:bottom w:w="40" w:type="dxa"/>
              <w:right w:w="40" w:type="dxa"/>
            </w:tcMar>
          </w:tcPr>
          <w:p>
            <w:pPr>
              <w:spacing w:after="0"/>
            </w:pPr>
            <w:r/>
            <w:r>
              <w:rPr>
                <w:b w:val="0"/>
                <w:sz w:val="14"/>
              </w:rPr>
              <w:t>1.92x</w:t>
            </w:r>
          </w:p>
        </w:tc>
        <w:tc>
          <w:tcPr>
            <w:tcW w:type="dxa" w:w="1152"/>
            <w:vAlign w:val="top"/>
            <w:tcMar>
              <w:top w:w="40" w:type="dxa"/>
              <w:left w:w="40" w:type="dxa"/>
              <w:bottom w:w="40" w:type="dxa"/>
              <w:right w:w="40" w:type="dxa"/>
            </w:tcMar>
          </w:tcPr>
          <w:p>
            <w:pPr>
              <w:spacing w:after="0"/>
            </w:pPr>
            <w:r/>
            <w:r>
              <w:rPr>
                <w:b w:val="0"/>
                <w:sz w:val="14"/>
              </w:rPr>
              <w:t>2.84x</w:t>
            </w:r>
          </w:p>
        </w:tc>
      </w:tr>
      <w:tr>
        <w:trPr>
          <w:cantSplit/>
        </w:trPr>
        <w:tc>
          <w:tcPr>
            <w:tcW w:type="dxa" w:w="1728"/>
            <w:vAlign w:val="top"/>
            <w:tcMar>
              <w:top w:w="40" w:type="dxa"/>
              <w:left w:w="40" w:type="dxa"/>
              <w:bottom w:w="40" w:type="dxa"/>
              <w:right w:w="40" w:type="dxa"/>
            </w:tcMar>
          </w:tcPr>
          <w:p>
            <w:pPr>
              <w:spacing w:after="0"/>
            </w:pPr>
            <w:r/>
            <w:r>
              <w:rPr>
                <w:b w:val="0"/>
                <w:sz w:val="14"/>
              </w:rPr>
              <w:t>redis</w:t>
            </w:r>
          </w:p>
        </w:tc>
        <w:tc>
          <w:tcPr>
            <w:tcW w:type="dxa" w:w="1728"/>
            <w:vAlign w:val="top"/>
            <w:tcMar>
              <w:top w:w="40" w:type="dxa"/>
              <w:left w:w="40" w:type="dxa"/>
              <w:bottom w:w="40" w:type="dxa"/>
              <w:right w:w="40" w:type="dxa"/>
            </w:tcMar>
          </w:tcPr>
          <w:p>
            <w:pPr>
              <w:spacing w:after="0"/>
            </w:pPr>
            <w:r/>
            <w:r>
              <w:rPr>
                <w:b w:val="0"/>
                <w:sz w:val="14"/>
              </w:rPr>
              <w:t>1558/1583 unchanged</w:t>
            </w:r>
          </w:p>
        </w:tc>
        <w:tc>
          <w:tcPr>
            <w:tcW w:type="dxa" w:w="1152"/>
            <w:vAlign w:val="top"/>
            <w:tcMar>
              <w:top w:w="40" w:type="dxa"/>
              <w:left w:w="40" w:type="dxa"/>
              <w:bottom w:w="40" w:type="dxa"/>
              <w:right w:w="40" w:type="dxa"/>
            </w:tcMar>
          </w:tcPr>
          <w:p>
            <w:pPr>
              <w:spacing w:after="0"/>
            </w:pPr>
            <w:r/>
            <w:r>
              <w:rPr>
                <w:b w:val="0"/>
                <w:sz w:val="14"/>
              </w:rPr>
              <w:t>15,467,095</w:t>
            </w:r>
          </w:p>
        </w:tc>
        <w:tc>
          <w:tcPr>
            <w:tcW w:type="dxa" w:w="1152"/>
            <w:vAlign w:val="top"/>
            <w:tcMar>
              <w:top w:w="40" w:type="dxa"/>
              <w:left w:w="40" w:type="dxa"/>
              <w:bottom w:w="40" w:type="dxa"/>
              <w:right w:w="40" w:type="dxa"/>
            </w:tcMar>
          </w:tcPr>
          <w:p>
            <w:pPr>
              <w:spacing w:after="0"/>
            </w:pPr>
            <w:r/>
            <w:r>
              <w:rPr>
                <w:b w:val="0"/>
                <w:sz w:val="14"/>
              </w:rPr>
              <w:t>9.31x</w:t>
            </w:r>
          </w:p>
        </w:tc>
        <w:tc>
          <w:tcPr>
            <w:tcW w:type="dxa" w:w="1152"/>
            <w:vAlign w:val="top"/>
            <w:tcMar>
              <w:top w:w="40" w:type="dxa"/>
              <w:left w:w="40" w:type="dxa"/>
              <w:bottom w:w="40" w:type="dxa"/>
              <w:right w:w="40" w:type="dxa"/>
            </w:tcMar>
          </w:tcPr>
          <w:p>
            <w:pPr>
              <w:spacing w:after="0"/>
            </w:pPr>
            <w:r/>
            <w:r>
              <w:rPr>
                <w:b w:val="0"/>
                <w:sz w:val="14"/>
              </w:rPr>
              <w:t>8.58x</w:t>
            </w:r>
          </w:p>
        </w:tc>
        <w:tc>
          <w:tcPr>
            <w:tcW w:type="dxa" w:w="1440"/>
            <w:vAlign w:val="top"/>
            <w:tcMar>
              <w:top w:w="40" w:type="dxa"/>
              <w:left w:w="40" w:type="dxa"/>
              <w:bottom w:w="40" w:type="dxa"/>
              <w:right w:w="40" w:type="dxa"/>
            </w:tcMar>
          </w:tcPr>
          <w:p>
            <w:pPr>
              <w:spacing w:after="0"/>
            </w:pPr>
            <w:r/>
            <w:r>
              <w:rPr>
                <w:b w:val="0"/>
                <w:sz w:val="14"/>
              </w:rPr>
              <w:t>9.30x</w:t>
            </w:r>
          </w:p>
        </w:tc>
        <w:tc>
          <w:tcPr>
            <w:tcW w:type="dxa" w:w="1152"/>
            <w:vAlign w:val="top"/>
            <w:tcMar>
              <w:top w:w="40" w:type="dxa"/>
              <w:left w:w="40" w:type="dxa"/>
              <w:bottom w:w="40" w:type="dxa"/>
              <w:right w:w="40" w:type="dxa"/>
            </w:tcMar>
          </w:tcPr>
          <w:p>
            <w:pPr>
              <w:spacing w:after="0"/>
            </w:pPr>
            <w:r/>
            <w:r>
              <w:rPr>
                <w:b w:val="0"/>
                <w:sz w:val="14"/>
              </w:rPr>
              <w:t>4.59x</w:t>
            </w:r>
          </w:p>
        </w:tc>
      </w:tr>
      <w:tr>
        <w:trPr>
          <w:cantSplit/>
        </w:trPr>
        <w:tc>
          <w:tcPr>
            <w:tcW w:type="dxa" w:w="1728"/>
            <w:vAlign w:val="top"/>
            <w:tcMar>
              <w:top w:w="40" w:type="dxa"/>
              <w:left w:w="40" w:type="dxa"/>
              <w:bottom w:w="40" w:type="dxa"/>
              <w:right w:w="40" w:type="dxa"/>
            </w:tcMar>
          </w:tcPr>
          <w:p>
            <w:pPr>
              <w:spacing w:after="0"/>
            </w:pPr>
            <w:r/>
            <w:r>
              <w:rPr>
                <w:b w:val="0"/>
                <w:sz w:val="14"/>
              </w:rPr>
              <w:t>nginx</w:t>
            </w:r>
          </w:p>
        </w:tc>
        <w:tc>
          <w:tcPr>
            <w:tcW w:type="dxa" w:w="1728"/>
            <w:vAlign w:val="top"/>
            <w:tcMar>
              <w:top w:w="40" w:type="dxa"/>
              <w:left w:w="40" w:type="dxa"/>
              <w:bottom w:w="40" w:type="dxa"/>
              <w:right w:w="40" w:type="dxa"/>
            </w:tcMar>
          </w:tcPr>
          <w:p>
            <w:pPr>
              <w:spacing w:after="0"/>
            </w:pPr>
            <w:r/>
            <w:r>
              <w:rPr>
                <w:b w:val="0"/>
                <w:sz w:val="14"/>
              </w:rPr>
              <w:t>468/503 unchanged</w:t>
            </w:r>
          </w:p>
        </w:tc>
        <w:tc>
          <w:tcPr>
            <w:tcW w:type="dxa" w:w="1152"/>
            <w:vAlign w:val="top"/>
            <w:tcMar>
              <w:top w:w="40" w:type="dxa"/>
              <w:left w:w="40" w:type="dxa"/>
              <w:bottom w:w="40" w:type="dxa"/>
              <w:right w:w="40" w:type="dxa"/>
            </w:tcMar>
          </w:tcPr>
          <w:p>
            <w:pPr>
              <w:spacing w:after="0"/>
            </w:pPr>
            <w:r/>
            <w:r>
              <w:rPr>
                <w:b w:val="0"/>
                <w:sz w:val="14"/>
              </w:rPr>
              <w:t>7,357,392</w:t>
            </w:r>
          </w:p>
        </w:tc>
        <w:tc>
          <w:tcPr>
            <w:tcW w:type="dxa" w:w="1152"/>
            <w:vAlign w:val="top"/>
            <w:tcMar>
              <w:top w:w="40" w:type="dxa"/>
              <w:left w:w="40" w:type="dxa"/>
              <w:bottom w:w="40" w:type="dxa"/>
              <w:right w:w="40" w:type="dxa"/>
            </w:tcMar>
          </w:tcPr>
          <w:p>
            <w:pPr>
              <w:spacing w:after="0"/>
            </w:pPr>
            <w:r/>
            <w:r>
              <w:rPr>
                <w:b w:val="0"/>
                <w:sz w:val="14"/>
              </w:rPr>
              <w:t>4.33x</w:t>
            </w:r>
          </w:p>
        </w:tc>
        <w:tc>
          <w:tcPr>
            <w:tcW w:type="dxa" w:w="1152"/>
            <w:vAlign w:val="top"/>
            <w:tcMar>
              <w:top w:w="40" w:type="dxa"/>
              <w:left w:w="40" w:type="dxa"/>
              <w:bottom w:w="40" w:type="dxa"/>
              <w:right w:w="40" w:type="dxa"/>
            </w:tcMar>
          </w:tcPr>
          <w:p>
            <w:pPr>
              <w:spacing w:after="0"/>
            </w:pPr>
            <w:r/>
            <w:r>
              <w:rPr>
                <w:b w:val="0"/>
                <w:sz w:val="14"/>
              </w:rPr>
              <w:t>4.18x</w:t>
            </w:r>
          </w:p>
        </w:tc>
        <w:tc>
          <w:tcPr>
            <w:tcW w:type="dxa" w:w="1440"/>
            <w:vAlign w:val="top"/>
            <w:tcMar>
              <w:top w:w="40" w:type="dxa"/>
              <w:left w:w="40" w:type="dxa"/>
              <w:bottom w:w="40" w:type="dxa"/>
              <w:right w:w="40" w:type="dxa"/>
            </w:tcMar>
          </w:tcPr>
          <w:p>
            <w:pPr>
              <w:spacing w:after="0"/>
            </w:pPr>
            <w:r/>
            <w:r>
              <w:rPr>
                <w:b w:val="0"/>
                <w:sz w:val="14"/>
              </w:rPr>
              <w:t>4.32x</w:t>
            </w:r>
          </w:p>
        </w:tc>
        <w:tc>
          <w:tcPr>
            <w:tcW w:type="dxa" w:w="1152"/>
            <w:vAlign w:val="top"/>
            <w:tcMar>
              <w:top w:w="40" w:type="dxa"/>
              <w:left w:w="40" w:type="dxa"/>
              <w:bottom w:w="40" w:type="dxa"/>
              <w:right w:w="40" w:type="dxa"/>
            </w:tcMar>
          </w:tcPr>
          <w:p>
            <w:pPr>
              <w:spacing w:after="0"/>
            </w:pPr>
            <w:r/>
            <w:r>
              <w:rPr>
                <w:b w:val="0"/>
                <w:sz w:val="14"/>
              </w:rPr>
              <w:t>6.07x</w:t>
            </w:r>
          </w:p>
        </w:tc>
      </w:tr>
    </w:tbl>
    <w:p/>
    <w:p>
      <w:pPr>
        <w:jc w:val="center"/>
      </w:pPr>
      <w:r>
        <w:drawing>
          <wp:inline xmlns:a="http://schemas.openxmlformats.org/drawingml/2006/main" xmlns:pic="http://schemas.openxmlformats.org/drawingml/2006/picture">
            <wp:extent cx="5852160" cy="3009682"/>
            <wp:docPr id="2" name="Picture 2"/>
            <wp:cNvGraphicFramePr>
              <a:graphicFrameLocks noChangeAspect="1"/>
            </wp:cNvGraphicFramePr>
            <a:graphic>
              <a:graphicData uri="http://schemas.openxmlformats.org/drawingml/2006/picture">
                <pic:pic>
                  <pic:nvPicPr>
                    <pic:cNvPr id="0" name="external_object_workload_multipliers.png"/>
                    <pic:cNvPicPr/>
                  </pic:nvPicPr>
                  <pic:blipFill>
                    <a:blip r:embed="rId11"/>
                    <a:stretch>
                      <a:fillRect/>
                    </a:stretch>
                  </pic:blipFill>
                  <pic:spPr>
                    <a:xfrm>
                      <a:off x="0" y="0"/>
                      <a:ext cx="5852160" cy="3009682"/>
                    </a:xfrm>
                    <a:prstGeom prst="rect"/>
                  </pic:spPr>
                </pic:pic>
              </a:graphicData>
            </a:graphic>
          </wp:inline>
        </w:drawing>
      </w:r>
    </w:p>
    <w:p>
      <w:pPr>
        <w:spacing w:after="120" w:before="0"/>
      </w:pPr>
      <w:r>
        <w:rPr>
          <w:sz w:val="18"/>
        </w:rPr>
        <w:t>Figure 2. Object-aligned public release transfers: effective stream-payload multipliers for ReduLink, the authenticated variant, fixed object reuse, and gzip.</w:t>
      </w:r>
    </w:p>
    <w:p>
      <w:pPr>
        <w:pStyle w:val="Heading2"/>
      </w:pPr>
      <w:r>
        <w:rPr>
          <w:rFonts w:ascii="Arial" w:hAnsi="Arial"/>
        </w:rPr>
        <w:t>7.3 Layer-Like External-Positive Case</w:t>
      </w:r>
    </w:p>
    <w:p>
      <w:pPr>
        <w:spacing w:after="80" w:before="0"/>
      </w:pPr>
      <w:r>
        <w:rPr>
          <w:sz w:val="20"/>
        </w:rPr>
        <w:t>Table 9 reports a Redis-derived layer-like case built from included public Redis release bytes and aligned changed blocks. Its role is to test the predicted positive case for layer-like objects where stable chunks remain aligned; it is not a production trace. Here ReduLink reaches 21.37x with the authenticated variant at 18.96x, again close to the fixed-reuse reference.</w:t>
      </w:r>
    </w:p>
    <w:p>
      <w:pPr>
        <w:keepNext/>
        <w:spacing w:after="40" w:before="120"/>
      </w:pPr>
      <w:r>
        <w:rPr>
          <w:b/>
          <w:sz w:val="18"/>
        </w:rPr>
        <w:t>Table 9. Layer-like external-positive case derived from public Redis release bytes.</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cantSplit/>
          <w:tblHeader w:val="true"/>
        </w:trPr>
        <w:tc>
          <w:tcPr>
            <w:tcW w:type="dxa" w:w="3312"/>
            <w:vAlign w:val="top"/>
            <w:tcMar>
              <w:top w:w="40" w:type="dxa"/>
              <w:left w:w="40" w:type="dxa"/>
              <w:bottom w:w="40" w:type="dxa"/>
              <w:right w:w="40" w:type="dxa"/>
            </w:tcMar>
          </w:tcPr>
          <w:p>
            <w:pPr>
              <w:spacing w:after="0"/>
            </w:pPr>
            <w:r/>
            <w:r>
              <w:rPr>
                <w:b/>
                <w:sz w:val="16"/>
              </w:rPr>
              <w:t>Case</w:t>
            </w:r>
          </w:p>
        </w:tc>
        <w:tc>
          <w:tcPr>
            <w:tcW w:type="dxa" w:w="1440"/>
            <w:vAlign w:val="top"/>
            <w:tcMar>
              <w:top w:w="40" w:type="dxa"/>
              <w:left w:w="40" w:type="dxa"/>
              <w:bottom w:w="40" w:type="dxa"/>
              <w:right w:w="40" w:type="dxa"/>
            </w:tcMar>
          </w:tcPr>
          <w:p>
            <w:pPr>
              <w:spacing w:after="0"/>
            </w:pPr>
            <w:r/>
            <w:r>
              <w:rPr>
                <w:b/>
                <w:sz w:val="16"/>
              </w:rPr>
              <w:t>Input bytes</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Secure RL</w:t>
            </w:r>
          </w:p>
        </w:tc>
        <w:tc>
          <w:tcPr>
            <w:tcW w:type="dxa" w:w="1440"/>
            <w:vAlign w:val="top"/>
            <w:tcMar>
              <w:top w:w="40" w:type="dxa"/>
              <w:left w:w="40" w:type="dxa"/>
              <w:bottom w:w="40" w:type="dxa"/>
              <w:right w:w="40" w:type="dxa"/>
            </w:tcMar>
          </w:tcPr>
          <w:p>
            <w:pPr>
              <w:spacing w:after="0"/>
            </w:pPr>
            <w:r/>
            <w:r>
              <w:rPr>
                <w:b/>
                <w:sz w:val="16"/>
              </w:rPr>
              <w:t>Fixed reuse</w:t>
            </w:r>
          </w:p>
        </w:tc>
      </w:tr>
      <w:tr>
        <w:trPr>
          <w:cantSplit/>
        </w:trPr>
        <w:tc>
          <w:tcPr>
            <w:tcW w:type="dxa" w:w="3312"/>
            <w:vAlign w:val="top"/>
            <w:tcMar>
              <w:top w:w="40" w:type="dxa"/>
              <w:left w:w="40" w:type="dxa"/>
              <w:bottom w:w="40" w:type="dxa"/>
              <w:right w:w="40" w:type="dxa"/>
            </w:tcMar>
          </w:tcPr>
          <w:p>
            <w:pPr>
              <w:spacing w:after="0"/>
            </w:pPr>
            <w:r/>
            <w:r>
              <w:rPr>
                <w:b w:val="0"/>
                <w:sz w:val="16"/>
              </w:rPr>
              <w:t>redis-layered-public-positive</w:t>
            </w:r>
          </w:p>
        </w:tc>
        <w:tc>
          <w:tcPr>
            <w:tcW w:type="dxa" w:w="1440"/>
            <w:vAlign w:val="top"/>
            <w:tcMar>
              <w:top w:w="40" w:type="dxa"/>
              <w:left w:w="40" w:type="dxa"/>
              <w:bottom w:w="40" w:type="dxa"/>
              <w:right w:w="40" w:type="dxa"/>
            </w:tcMar>
          </w:tcPr>
          <w:p>
            <w:pPr>
              <w:spacing w:after="0"/>
            </w:pPr>
            <w:r/>
            <w:r>
              <w:rPr>
                <w:b w:val="0"/>
                <w:sz w:val="16"/>
              </w:rPr>
              <w:t>524,288</w:t>
            </w:r>
          </w:p>
        </w:tc>
        <w:tc>
          <w:tcPr>
            <w:tcW w:type="dxa" w:w="1440"/>
            <w:vAlign w:val="top"/>
            <w:tcMar>
              <w:top w:w="40" w:type="dxa"/>
              <w:left w:w="40" w:type="dxa"/>
              <w:bottom w:w="40" w:type="dxa"/>
              <w:right w:w="40" w:type="dxa"/>
            </w:tcMar>
          </w:tcPr>
          <w:p>
            <w:pPr>
              <w:spacing w:after="0"/>
            </w:pPr>
            <w:r/>
            <w:r>
              <w:rPr>
                <w:b w:val="0"/>
                <w:sz w:val="16"/>
              </w:rPr>
              <w:t>21.37x</w:t>
            </w:r>
          </w:p>
        </w:tc>
        <w:tc>
          <w:tcPr>
            <w:tcW w:type="dxa" w:w="1440"/>
            <w:vAlign w:val="top"/>
            <w:tcMar>
              <w:top w:w="40" w:type="dxa"/>
              <w:left w:w="40" w:type="dxa"/>
              <w:bottom w:w="40" w:type="dxa"/>
              <w:right w:w="40" w:type="dxa"/>
            </w:tcMar>
          </w:tcPr>
          <w:p>
            <w:pPr>
              <w:spacing w:after="0"/>
            </w:pPr>
            <w:r/>
            <w:r>
              <w:rPr>
                <w:b w:val="0"/>
                <w:sz w:val="16"/>
              </w:rPr>
              <w:t>18.96x</w:t>
            </w:r>
          </w:p>
        </w:tc>
        <w:tc>
          <w:tcPr>
            <w:tcW w:type="dxa" w:w="1440"/>
            <w:vAlign w:val="top"/>
            <w:tcMar>
              <w:top w:w="40" w:type="dxa"/>
              <w:left w:w="40" w:type="dxa"/>
              <w:bottom w:w="40" w:type="dxa"/>
              <w:right w:w="40" w:type="dxa"/>
            </w:tcMar>
          </w:tcPr>
          <w:p>
            <w:pPr>
              <w:spacing w:after="0"/>
            </w:pPr>
            <w:r/>
            <w:r>
              <w:rPr>
                <w:b w:val="0"/>
                <w:sz w:val="16"/>
              </w:rPr>
              <w:t>21.33x</w:t>
            </w:r>
          </w:p>
        </w:tc>
      </w:tr>
    </w:tbl>
    <w:p/>
    <w:p>
      <w:r>
        <w:br w:type="page"/>
      </w:r>
    </w:p>
    <w:p>
      <w:pPr>
        <w:pStyle w:val="Heading2"/>
      </w:pPr>
      <w:r>
        <w:rPr>
          <w:rFonts w:ascii="Arial" w:hAnsi="Arial"/>
        </w:rPr>
        <w:t>7.4 Block-Size Sensitivity</w:t>
      </w:r>
    </w:p>
    <w:p>
      <w:pPr>
        <w:spacing w:after="80" w:before="0"/>
      </w:pPr>
      <w:r>
        <w:rPr>
          <w:sz w:val="20"/>
        </w:rPr>
        <w:t>Table 10 and Figure 3 show that the best block size is workload-dependent: smaller blocks capture more aligned reuse but pay more per-chunk overhead, while larger blocks lose alignment. The artifact therefore treats 4 KiB as a reproducible default rather than a universal optimum, and a production deployment would tune the chunk size per workload class. The content-defined chunker consistently underperforms fixed chunking on these aligned fixtures (at 4 KiB: 10.71x versus 28.49x on the disk snapshot, 4.60x versus 11.05x on the OCI layer), because the fixtures change bytes in place without insertions; CDC's insertion robustness is not exercised here, and its Python implementation is also the slowest component in Table 17.</w:t>
      </w:r>
    </w:p>
    <w:p>
      <w:pPr>
        <w:keepNext/>
        <w:spacing w:after="40" w:before="120"/>
      </w:pPr>
      <w:r>
        <w:rPr>
          <w:b/>
          <w:sz w:val="18"/>
        </w:rPr>
        <w:t>Table 10. Block-size sensitivity of the effective multiplier (fixed chunking).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cantSplit/>
          <w:tblHeader w:val="true"/>
        </w:trPr>
        <w:tc>
          <w:tcPr>
            <w:tcW w:type="dxa" w:w="2160"/>
            <w:vAlign w:val="top"/>
            <w:tcMar>
              <w:top w:w="40" w:type="dxa"/>
              <w:left w:w="40" w:type="dxa"/>
              <w:bottom w:w="40" w:type="dxa"/>
              <w:right w:w="40" w:type="dxa"/>
            </w:tcMar>
          </w:tcPr>
          <w:p>
            <w:pPr>
              <w:spacing w:after="0"/>
            </w:pPr>
            <w:r/>
            <w:r>
              <w:rPr>
                <w:b/>
                <w:sz w:val="16"/>
              </w:rPr>
              <w:t>Workload</w:t>
            </w:r>
          </w:p>
        </w:tc>
        <w:tc>
          <w:tcPr>
            <w:tcW w:type="dxa" w:w="1152"/>
            <w:vAlign w:val="top"/>
            <w:tcMar>
              <w:top w:w="40" w:type="dxa"/>
              <w:left w:w="40" w:type="dxa"/>
              <w:bottom w:w="40" w:type="dxa"/>
              <w:right w:w="40" w:type="dxa"/>
            </w:tcMar>
          </w:tcPr>
          <w:p>
            <w:pPr>
              <w:spacing w:after="0"/>
            </w:pPr>
            <w:r/>
            <w:r>
              <w:rPr>
                <w:b/>
                <w:sz w:val="16"/>
              </w:rPr>
              <w:t>1 KiB</w:t>
            </w:r>
          </w:p>
        </w:tc>
        <w:tc>
          <w:tcPr>
            <w:tcW w:type="dxa" w:w="1152"/>
            <w:vAlign w:val="top"/>
            <w:tcMar>
              <w:top w:w="40" w:type="dxa"/>
              <w:left w:w="40" w:type="dxa"/>
              <w:bottom w:w="40" w:type="dxa"/>
              <w:right w:w="40" w:type="dxa"/>
            </w:tcMar>
          </w:tcPr>
          <w:p>
            <w:pPr>
              <w:spacing w:after="0"/>
            </w:pPr>
            <w:r/>
            <w:r>
              <w:rPr>
                <w:b/>
                <w:sz w:val="16"/>
              </w:rPr>
              <w:t>2 KiB</w:t>
            </w:r>
          </w:p>
        </w:tc>
        <w:tc>
          <w:tcPr>
            <w:tcW w:type="dxa" w:w="1152"/>
            <w:vAlign w:val="top"/>
            <w:tcMar>
              <w:top w:w="40" w:type="dxa"/>
              <w:left w:w="40" w:type="dxa"/>
              <w:bottom w:w="40" w:type="dxa"/>
              <w:right w:w="40" w:type="dxa"/>
            </w:tcMar>
          </w:tcPr>
          <w:p>
            <w:pPr>
              <w:spacing w:after="0"/>
            </w:pPr>
            <w:r/>
            <w:r>
              <w:rPr>
                <w:b/>
                <w:sz w:val="16"/>
              </w:rPr>
              <w:t>4 KiB</w:t>
            </w:r>
          </w:p>
        </w:tc>
        <w:tc>
          <w:tcPr>
            <w:tcW w:type="dxa" w:w="1152"/>
            <w:vAlign w:val="top"/>
            <w:tcMar>
              <w:top w:w="40" w:type="dxa"/>
              <w:left w:w="40" w:type="dxa"/>
              <w:bottom w:w="40" w:type="dxa"/>
              <w:right w:w="40" w:type="dxa"/>
            </w:tcMar>
          </w:tcPr>
          <w:p>
            <w:pPr>
              <w:spacing w:after="0"/>
            </w:pPr>
            <w:r/>
            <w:r>
              <w:rPr>
                <w:b/>
                <w:sz w:val="16"/>
              </w:rPr>
              <w:t>8 KiB</w:t>
            </w:r>
          </w:p>
        </w:tc>
        <w:tc>
          <w:tcPr>
            <w:tcW w:type="dxa" w:w="1152"/>
            <w:vAlign w:val="top"/>
            <w:tcMar>
              <w:top w:w="40" w:type="dxa"/>
              <w:left w:w="40" w:type="dxa"/>
              <w:bottom w:w="40" w:type="dxa"/>
              <w:right w:w="40" w:type="dxa"/>
            </w:tcMar>
          </w:tcPr>
          <w:p>
            <w:pPr>
              <w:spacing w:after="0"/>
            </w:pPr>
            <w:r/>
            <w:r>
              <w:rPr>
                <w:b/>
                <w:sz w:val="16"/>
              </w:rPr>
              <w:t>16 KiB</w:t>
            </w:r>
          </w:p>
        </w:tc>
      </w:tr>
      <w:tr>
        <w:trPr>
          <w:cantSplit/>
        </w:trPr>
        <w:tc>
          <w:tcPr>
            <w:tcW w:type="dxa" w:w="2160"/>
            <w:vAlign w:val="top"/>
            <w:tcMar>
              <w:top w:w="40" w:type="dxa"/>
              <w:left w:w="40" w:type="dxa"/>
              <w:bottom w:w="40" w:type="dxa"/>
              <w:right w:w="40" w:type="dxa"/>
            </w:tcMar>
          </w:tcPr>
          <w:p>
            <w:pPr>
              <w:spacing w:after="0"/>
            </w:pPr>
            <w:r/>
            <w:r>
              <w:rPr>
                <w:b w:val="0"/>
                <w:sz w:val="16"/>
              </w:rPr>
              <w:t>disk snapshot</w:t>
            </w:r>
          </w:p>
        </w:tc>
        <w:tc>
          <w:tcPr>
            <w:tcW w:type="dxa" w:w="1152"/>
            <w:vAlign w:val="top"/>
            <w:tcMar>
              <w:top w:w="40" w:type="dxa"/>
              <w:left w:w="40" w:type="dxa"/>
              <w:bottom w:w="40" w:type="dxa"/>
              <w:right w:w="40" w:type="dxa"/>
            </w:tcMar>
          </w:tcPr>
          <w:p>
            <w:pPr>
              <w:spacing w:after="0"/>
            </w:pPr>
            <w:r/>
            <w:r>
              <w:rPr>
                <w:b w:val="0"/>
                <w:sz w:val="16"/>
              </w:rPr>
              <w:t>17.13x</w:t>
            </w:r>
          </w:p>
        </w:tc>
        <w:tc>
          <w:tcPr>
            <w:tcW w:type="dxa" w:w="1152"/>
            <w:vAlign w:val="top"/>
            <w:tcMar>
              <w:top w:w="40" w:type="dxa"/>
              <w:left w:w="40" w:type="dxa"/>
              <w:bottom w:w="40" w:type="dxa"/>
              <w:right w:w="40" w:type="dxa"/>
            </w:tcMar>
          </w:tcPr>
          <w:p>
            <w:pPr>
              <w:spacing w:after="0"/>
            </w:pPr>
            <w:r/>
            <w:r>
              <w:rPr>
                <w:b w:val="0"/>
                <w:sz w:val="16"/>
              </w:rPr>
              <w:t>23.33x</w:t>
            </w:r>
          </w:p>
        </w:tc>
        <w:tc>
          <w:tcPr>
            <w:tcW w:type="dxa" w:w="1152"/>
            <w:vAlign w:val="top"/>
            <w:tcMar>
              <w:top w:w="40" w:type="dxa"/>
              <w:left w:w="40" w:type="dxa"/>
              <w:bottom w:w="40" w:type="dxa"/>
              <w:right w:w="40" w:type="dxa"/>
            </w:tcMar>
          </w:tcPr>
          <w:p>
            <w:pPr>
              <w:spacing w:after="0"/>
            </w:pPr>
            <w:r/>
            <w:r>
              <w:rPr>
                <w:b w:val="0"/>
                <w:sz w:val="16"/>
              </w:rPr>
              <w:t>28.49x</w:t>
            </w:r>
          </w:p>
        </w:tc>
        <w:tc>
          <w:tcPr>
            <w:tcW w:type="dxa" w:w="1152"/>
            <w:vAlign w:val="top"/>
            <w:tcMar>
              <w:top w:w="40" w:type="dxa"/>
              <w:left w:w="40" w:type="dxa"/>
              <w:bottom w:w="40" w:type="dxa"/>
              <w:right w:w="40" w:type="dxa"/>
            </w:tcMar>
          </w:tcPr>
          <w:p>
            <w:pPr>
              <w:spacing w:after="0"/>
            </w:pPr>
            <w:r/>
            <w:r>
              <w:rPr>
                <w:b w:val="0"/>
                <w:sz w:val="16"/>
              </w:rPr>
              <w:t>17.08x</w:t>
            </w:r>
          </w:p>
        </w:tc>
        <w:tc>
          <w:tcPr>
            <w:tcW w:type="dxa" w:w="1152"/>
            <w:vAlign w:val="top"/>
            <w:tcMar>
              <w:top w:w="40" w:type="dxa"/>
              <w:left w:w="40" w:type="dxa"/>
              <w:bottom w:w="40" w:type="dxa"/>
              <w:right w:w="40" w:type="dxa"/>
            </w:tcMar>
          </w:tcPr>
          <w:p>
            <w:pPr>
              <w:spacing w:after="0"/>
            </w:pPr>
            <w:r/>
            <w:r>
              <w:rPr>
                <w:b w:val="0"/>
                <w:sz w:val="16"/>
              </w:rPr>
              <w:t>8.99x</w:t>
            </w:r>
          </w:p>
        </w:tc>
      </w:tr>
      <w:tr>
        <w:trPr>
          <w:cantSplit/>
        </w:trPr>
        <w:tc>
          <w:tcPr>
            <w:tcW w:type="dxa" w:w="2160"/>
            <w:vAlign w:val="top"/>
            <w:tcMar>
              <w:top w:w="40" w:type="dxa"/>
              <w:left w:w="40" w:type="dxa"/>
              <w:bottom w:w="40" w:type="dxa"/>
              <w:right w:w="40" w:type="dxa"/>
            </w:tcMar>
          </w:tcPr>
          <w:p>
            <w:pPr>
              <w:spacing w:after="0"/>
            </w:pPr>
            <w:r/>
            <w:r>
              <w:rPr>
                <w:b w:val="0"/>
                <w:sz w:val="16"/>
              </w:rPr>
              <w:t>oci layer</w:t>
            </w:r>
          </w:p>
        </w:tc>
        <w:tc>
          <w:tcPr>
            <w:tcW w:type="dxa" w:w="1152"/>
            <w:vAlign w:val="top"/>
            <w:tcMar>
              <w:top w:w="40" w:type="dxa"/>
              <w:left w:w="40" w:type="dxa"/>
              <w:bottom w:w="40" w:type="dxa"/>
              <w:right w:w="40" w:type="dxa"/>
            </w:tcMar>
          </w:tcPr>
          <w:p>
            <w:pPr>
              <w:spacing w:after="0"/>
            </w:pPr>
            <w:r/>
            <w:r>
              <w:rPr>
                <w:b w:val="0"/>
                <w:sz w:val="16"/>
              </w:rPr>
              <w:t>12.11x</w:t>
            </w:r>
          </w:p>
        </w:tc>
        <w:tc>
          <w:tcPr>
            <w:tcW w:type="dxa" w:w="1152"/>
            <w:vAlign w:val="top"/>
            <w:tcMar>
              <w:top w:w="40" w:type="dxa"/>
              <w:left w:w="40" w:type="dxa"/>
              <w:bottom w:w="40" w:type="dxa"/>
              <w:right w:w="40" w:type="dxa"/>
            </w:tcMar>
          </w:tcPr>
          <w:p>
            <w:pPr>
              <w:spacing w:after="0"/>
            </w:pPr>
            <w:r/>
            <w:r>
              <w:rPr>
                <w:b w:val="0"/>
                <w:sz w:val="16"/>
              </w:rPr>
              <w:t>11.86x</w:t>
            </w:r>
          </w:p>
        </w:tc>
        <w:tc>
          <w:tcPr>
            <w:tcW w:type="dxa" w:w="1152"/>
            <w:vAlign w:val="top"/>
            <w:tcMar>
              <w:top w:w="40" w:type="dxa"/>
              <w:left w:w="40" w:type="dxa"/>
              <w:bottom w:w="40" w:type="dxa"/>
              <w:right w:w="40" w:type="dxa"/>
            </w:tcMar>
          </w:tcPr>
          <w:p>
            <w:pPr>
              <w:spacing w:after="0"/>
            </w:pPr>
            <w:r/>
            <w:r>
              <w:rPr>
                <w:b w:val="0"/>
                <w:sz w:val="16"/>
              </w:rPr>
              <w:t>11.05x</w:t>
            </w:r>
          </w:p>
        </w:tc>
        <w:tc>
          <w:tcPr>
            <w:tcW w:type="dxa" w:w="1152"/>
            <w:vAlign w:val="top"/>
            <w:tcMar>
              <w:top w:w="40" w:type="dxa"/>
              <w:left w:w="40" w:type="dxa"/>
              <w:bottom w:w="40" w:type="dxa"/>
              <w:right w:w="40" w:type="dxa"/>
            </w:tcMar>
          </w:tcPr>
          <w:p>
            <w:pPr>
              <w:spacing w:after="0"/>
            </w:pPr>
            <w:r/>
            <w:r>
              <w:rPr>
                <w:b w:val="0"/>
                <w:sz w:val="16"/>
              </w:rPr>
              <w:t>5.91x</w:t>
            </w:r>
          </w:p>
        </w:tc>
        <w:tc>
          <w:tcPr>
            <w:tcW w:type="dxa" w:w="1152"/>
            <w:vAlign w:val="top"/>
            <w:tcMar>
              <w:top w:w="40" w:type="dxa"/>
              <w:left w:w="40" w:type="dxa"/>
              <w:bottom w:w="40" w:type="dxa"/>
              <w:right w:w="40" w:type="dxa"/>
            </w:tcMar>
          </w:tcPr>
          <w:p>
            <w:pPr>
              <w:spacing w:after="0"/>
            </w:pPr>
            <w:r/>
            <w:r>
              <w:rPr>
                <w:b w:val="0"/>
                <w:sz w:val="16"/>
              </w:rPr>
              <w:t>3.60x</w:t>
            </w:r>
          </w:p>
        </w:tc>
      </w:tr>
      <w:tr>
        <w:trPr>
          <w:cantSplit/>
        </w:trPr>
        <w:tc>
          <w:tcPr>
            <w:tcW w:type="dxa" w:w="2160"/>
            <w:vAlign w:val="top"/>
            <w:tcMar>
              <w:top w:w="40" w:type="dxa"/>
              <w:left w:w="40" w:type="dxa"/>
              <w:bottom w:w="40" w:type="dxa"/>
              <w:right w:w="40" w:type="dxa"/>
            </w:tcMar>
          </w:tcPr>
          <w:p>
            <w:pPr>
              <w:spacing w:after="0"/>
            </w:pPr>
            <w:r/>
            <w:r>
              <w:rPr>
                <w:b w:val="0"/>
                <w:sz w:val="16"/>
              </w:rPr>
              <w:t>repository snapshot</w:t>
            </w:r>
          </w:p>
        </w:tc>
        <w:tc>
          <w:tcPr>
            <w:tcW w:type="dxa" w:w="1152"/>
            <w:vAlign w:val="top"/>
            <w:tcMar>
              <w:top w:w="40" w:type="dxa"/>
              <w:left w:w="40" w:type="dxa"/>
              <w:bottom w:w="40" w:type="dxa"/>
              <w:right w:w="40" w:type="dxa"/>
            </w:tcMar>
          </w:tcPr>
          <w:p>
            <w:pPr>
              <w:spacing w:after="0"/>
            </w:pPr>
            <w:r/>
            <w:r>
              <w:rPr>
                <w:b w:val="0"/>
                <w:sz w:val="16"/>
              </w:rPr>
              <w:t>20.21x</w:t>
            </w:r>
          </w:p>
        </w:tc>
        <w:tc>
          <w:tcPr>
            <w:tcW w:type="dxa" w:w="1152"/>
            <w:vAlign w:val="top"/>
            <w:tcMar>
              <w:top w:w="40" w:type="dxa"/>
              <w:left w:w="40" w:type="dxa"/>
              <w:bottom w:w="40" w:type="dxa"/>
              <w:right w:w="40" w:type="dxa"/>
            </w:tcMar>
          </w:tcPr>
          <w:p>
            <w:pPr>
              <w:spacing w:after="0"/>
            </w:pPr>
            <w:r/>
            <w:r>
              <w:rPr>
                <w:b w:val="0"/>
                <w:sz w:val="16"/>
              </w:rPr>
              <w:t>24.99x</w:t>
            </w:r>
          </w:p>
        </w:tc>
        <w:tc>
          <w:tcPr>
            <w:tcW w:type="dxa" w:w="1152"/>
            <w:vAlign w:val="top"/>
            <w:tcMar>
              <w:top w:w="40" w:type="dxa"/>
              <w:left w:w="40" w:type="dxa"/>
              <w:bottom w:w="40" w:type="dxa"/>
              <w:right w:w="40" w:type="dxa"/>
            </w:tcMar>
          </w:tcPr>
          <w:p>
            <w:pPr>
              <w:spacing w:after="0"/>
            </w:pPr>
            <w:r/>
            <w:r>
              <w:rPr>
                <w:b w:val="0"/>
                <w:sz w:val="16"/>
              </w:rPr>
              <w:t>24.73x</w:t>
            </w:r>
          </w:p>
        </w:tc>
        <w:tc>
          <w:tcPr>
            <w:tcW w:type="dxa" w:w="1152"/>
            <w:vAlign w:val="top"/>
            <w:tcMar>
              <w:top w:w="40" w:type="dxa"/>
              <w:left w:w="40" w:type="dxa"/>
              <w:bottom w:w="40" w:type="dxa"/>
              <w:right w:w="40" w:type="dxa"/>
            </w:tcMar>
          </w:tcPr>
          <w:p>
            <w:pPr>
              <w:spacing w:after="0"/>
            </w:pPr>
            <w:r/>
            <w:r>
              <w:rPr>
                <w:b w:val="0"/>
                <w:sz w:val="16"/>
              </w:rPr>
              <w:t>14.45x</w:t>
            </w:r>
          </w:p>
        </w:tc>
        <w:tc>
          <w:tcPr>
            <w:tcW w:type="dxa" w:w="1152"/>
            <w:vAlign w:val="top"/>
            <w:tcMar>
              <w:top w:w="40" w:type="dxa"/>
              <w:left w:w="40" w:type="dxa"/>
              <w:bottom w:w="40" w:type="dxa"/>
              <w:right w:w="40" w:type="dxa"/>
            </w:tcMar>
          </w:tcPr>
          <w:p>
            <w:pPr>
              <w:spacing w:after="0"/>
            </w:pPr>
            <w:r/>
            <w:r>
              <w:rPr>
                <w:b w:val="0"/>
                <w:sz w:val="16"/>
              </w:rPr>
              <w:t>7.55x</w:t>
            </w:r>
          </w:p>
        </w:tc>
      </w:tr>
    </w:tbl>
    <w:p/>
    <w:p>
      <w:pPr>
        <w:jc w:val="center"/>
      </w:pPr>
      <w:r>
        <w:drawing>
          <wp:inline xmlns:a="http://schemas.openxmlformats.org/drawingml/2006/main" xmlns:pic="http://schemas.openxmlformats.org/drawingml/2006/picture">
            <wp:extent cx="5120640" cy="3345430"/>
            <wp:docPr id="3" name="Picture 3"/>
            <wp:cNvGraphicFramePr>
              <a:graphicFrameLocks noChangeAspect="1"/>
            </wp:cNvGraphicFramePr>
            <a:graphic>
              <a:graphicData uri="http://schemas.openxmlformats.org/drawingml/2006/picture">
                <pic:pic>
                  <pic:nvPicPr>
                    <pic:cNvPr id="0" name="block_size_sensitivity.png"/>
                    <pic:cNvPicPr/>
                  </pic:nvPicPr>
                  <pic:blipFill>
                    <a:blip r:embed="rId12"/>
                    <a:stretch>
                      <a:fillRect/>
                    </a:stretch>
                  </pic:blipFill>
                  <pic:spPr>
                    <a:xfrm>
                      <a:off x="0" y="0"/>
                      <a:ext cx="5120640" cy="3345430"/>
                    </a:xfrm>
                    <a:prstGeom prst="rect"/>
                  </pic:spPr>
                </pic:pic>
              </a:graphicData>
            </a:graphic>
          </wp:inline>
        </w:drawing>
      </w:r>
    </w:p>
    <w:p>
      <w:pPr>
        <w:spacing w:after="120" w:before="0"/>
      </w:pPr>
      <w:r>
        <w:rPr>
          <w:sz w:val="18"/>
        </w:rPr>
        <w:t>Figure 3. Block-size sensitivity of the effective multiplier for fixed chunking across three warm-update fixtures.</w:t>
      </w:r>
    </w:p>
    <w:p>
      <w:pPr>
        <w:pStyle w:val="Heading2"/>
      </w:pPr>
      <w:r>
        <w:rPr>
          <w:rFonts w:ascii="Arial" w:hAnsi="Arial"/>
        </w:rPr>
        <w:t>7.5 Package version-pair study (PyPI)</w:t>
      </w:r>
    </w:p>
    <w:p>
      <w:pPr>
        <w:spacing w:after="80" w:before="0"/>
      </w:pPr>
      <w:r>
        <w:rPr>
          <w:sz w:val="20"/>
        </w:rPr>
        <w:t>Table 11 applies the identical exact object encoder/decoder to six hash-pinned pairs of real PyPI wheels. The prior flat concatenation check has been removed because it used different boundaries and did not validate names. Patch releases with high file stability (rich, 77 of 83 objects unchanged; click, 14 of 22) reach about 11x to 12x, whereas jinja2, urllib3, and packaging change enough objects that gzip wins. The package/version selection remains author-chosen, so this is not population-weighted or a client trace. PyPI currently transfers compressed wheel archives rather than per-member objects; realizing these modeled gains would require a different registry serving abstraction. The gzip comparison is over the same uncompressed named-object stream and should not be mapped directly to today's wheel traffic.</w:t>
      </w:r>
    </w:p>
    <w:p>
      <w:pPr>
        <w:keepNext/>
        <w:spacing w:after="40" w:before="120"/>
      </w:pPr>
      <w:r>
        <w:rPr>
          <w:b/>
          <w:sz w:val="18"/>
        </w:rPr>
        <w:t>Table 11. PyPI version-pair study: real package upgrades (object-aligned, hash-pinned).</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rPr>
          <w:cantSplit/>
          <w:tblHeader w:val="true"/>
        </w:trPr>
        <w:tc>
          <w:tcPr>
            <w:tcW w:type="dxa" w:w="1440"/>
            <w:vAlign w:val="top"/>
            <w:tcMar>
              <w:top w:w="40" w:type="dxa"/>
              <w:left w:w="40" w:type="dxa"/>
              <w:bottom w:w="40" w:type="dxa"/>
              <w:right w:w="40" w:type="dxa"/>
            </w:tcMar>
          </w:tcPr>
          <w:p>
            <w:pPr>
              <w:spacing w:after="0"/>
            </w:pPr>
            <w:r/>
            <w:r>
              <w:rPr>
                <w:b/>
                <w:sz w:val="14"/>
              </w:rPr>
              <w:t>Package</w:t>
            </w:r>
          </w:p>
        </w:tc>
        <w:tc>
          <w:tcPr>
            <w:tcW w:type="dxa" w:w="1584"/>
            <w:vAlign w:val="top"/>
            <w:tcMar>
              <w:top w:w="40" w:type="dxa"/>
              <w:left w:w="40" w:type="dxa"/>
              <w:bottom w:w="40" w:type="dxa"/>
              <w:right w:w="40" w:type="dxa"/>
            </w:tcMar>
          </w:tcPr>
          <w:p>
            <w:pPr>
              <w:spacing w:after="0"/>
            </w:pPr>
            <w:r/>
            <w:r>
              <w:rPr>
                <w:b/>
                <w:sz w:val="14"/>
              </w:rPr>
              <w:t>Versions</w:t>
            </w:r>
          </w:p>
        </w:tc>
        <w:tc>
          <w:tcPr>
            <w:tcW w:type="dxa" w:w="1152"/>
            <w:vAlign w:val="top"/>
            <w:tcMar>
              <w:top w:w="40" w:type="dxa"/>
              <w:left w:w="40" w:type="dxa"/>
              <w:bottom w:w="40" w:type="dxa"/>
              <w:right w:w="40" w:type="dxa"/>
            </w:tcMar>
          </w:tcPr>
          <w:p>
            <w:pPr>
              <w:spacing w:after="0"/>
            </w:pPr>
            <w:r/>
            <w:r>
              <w:rPr>
                <w:b/>
                <w:sz w:val="14"/>
              </w:rPr>
              <w:t>Files unch.</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296"/>
            <w:vAlign w:val="top"/>
            <w:tcMar>
              <w:top w:w="40" w:type="dxa"/>
              <w:left w:w="40" w:type="dxa"/>
              <w:bottom w:w="40" w:type="dxa"/>
              <w:right w:w="40" w:type="dxa"/>
            </w:tcMar>
          </w:tcPr>
          <w:p>
            <w:pPr>
              <w:spacing w:after="0"/>
            </w:pPr>
            <w:r/>
            <w:r>
              <w:rPr>
                <w:b/>
                <w:sz w:val="14"/>
              </w:rPr>
              <w:t>Fixed reuse</w:t>
            </w:r>
          </w:p>
        </w:tc>
        <w:tc>
          <w:tcPr>
            <w:tcW w:type="dxa" w:w="1008"/>
            <w:vAlign w:val="top"/>
            <w:tcMar>
              <w:top w:w="40" w:type="dxa"/>
              <w:left w:w="40" w:type="dxa"/>
              <w:bottom w:w="40" w:type="dxa"/>
              <w:right w:w="40" w:type="dxa"/>
            </w:tcMar>
          </w:tcPr>
          <w:p>
            <w:pPr>
              <w:spacing w:after="0"/>
            </w:pPr>
            <w:r/>
            <w:r>
              <w:rPr>
                <w:b/>
                <w:sz w:val="14"/>
              </w:rPr>
              <w:t>gzip</w:t>
            </w:r>
          </w:p>
        </w:tc>
        <w:tc>
          <w:tcPr>
            <w:tcW w:type="dxa" w:w="864"/>
            <w:vAlign w:val="top"/>
            <w:tcMar>
              <w:top w:w="40" w:type="dxa"/>
              <w:left w:w="40" w:type="dxa"/>
              <w:bottom w:w="40" w:type="dxa"/>
              <w:right w:w="40" w:type="dxa"/>
            </w:tcMar>
          </w:tcPr>
          <w:p>
            <w:pPr>
              <w:spacing w:after="0"/>
            </w:pPr>
            <w:r/>
            <w:r>
              <w:rPr>
                <w:b/>
                <w:sz w:val="14"/>
              </w:rPr>
              <w:t>Recon.</w:t>
            </w:r>
          </w:p>
        </w:tc>
      </w:tr>
      <w:tr>
        <w:trPr>
          <w:cantSplit/>
        </w:trPr>
        <w:tc>
          <w:tcPr>
            <w:tcW w:type="dxa" w:w="1440"/>
            <w:vAlign w:val="top"/>
            <w:tcMar>
              <w:top w:w="40" w:type="dxa"/>
              <w:left w:w="40" w:type="dxa"/>
              <w:bottom w:w="40" w:type="dxa"/>
              <w:right w:w="40" w:type="dxa"/>
            </w:tcMar>
          </w:tcPr>
          <w:p>
            <w:pPr>
              <w:spacing w:after="0"/>
            </w:pPr>
            <w:r/>
            <w:r>
              <w:rPr>
                <w:b w:val="0"/>
                <w:sz w:val="14"/>
              </w:rPr>
              <w:t>rich</w:t>
            </w:r>
          </w:p>
        </w:tc>
        <w:tc>
          <w:tcPr>
            <w:tcW w:type="dxa" w:w="1584"/>
            <w:vAlign w:val="top"/>
            <w:tcMar>
              <w:top w:w="40" w:type="dxa"/>
              <w:left w:w="40" w:type="dxa"/>
              <w:bottom w:w="40" w:type="dxa"/>
              <w:right w:w="40" w:type="dxa"/>
            </w:tcMar>
          </w:tcPr>
          <w:p>
            <w:pPr>
              <w:spacing w:after="0"/>
            </w:pPr>
            <w:r/>
            <w:r>
              <w:rPr>
                <w:b w:val="0"/>
                <w:sz w:val="14"/>
              </w:rPr>
              <w:t>13.7.0-&gt;13.7.1</w:t>
            </w:r>
          </w:p>
        </w:tc>
        <w:tc>
          <w:tcPr>
            <w:tcW w:type="dxa" w:w="1152"/>
            <w:vAlign w:val="top"/>
            <w:tcMar>
              <w:top w:w="40" w:type="dxa"/>
              <w:left w:w="40" w:type="dxa"/>
              <w:bottom w:w="40" w:type="dxa"/>
              <w:right w:w="40" w:type="dxa"/>
            </w:tcMar>
          </w:tcPr>
          <w:p>
            <w:pPr>
              <w:spacing w:after="0"/>
            </w:pPr>
            <w:r/>
            <w:r>
              <w:rPr>
                <w:b w:val="0"/>
                <w:sz w:val="14"/>
              </w:rPr>
              <w:t>77/83</w:t>
            </w:r>
          </w:p>
        </w:tc>
        <w:tc>
          <w:tcPr>
            <w:tcW w:type="dxa" w:w="1152"/>
            <w:vAlign w:val="top"/>
            <w:tcMar>
              <w:top w:w="40" w:type="dxa"/>
              <w:left w:w="40" w:type="dxa"/>
              <w:bottom w:w="40" w:type="dxa"/>
              <w:right w:w="40" w:type="dxa"/>
            </w:tcMar>
          </w:tcPr>
          <w:p>
            <w:pPr>
              <w:spacing w:after="0"/>
            </w:pPr>
            <w:r/>
            <w:r>
              <w:rPr>
                <w:b w:val="0"/>
                <w:sz w:val="14"/>
              </w:rPr>
              <w:t>12.05x</w:t>
            </w:r>
          </w:p>
        </w:tc>
        <w:tc>
          <w:tcPr>
            <w:tcW w:type="dxa" w:w="1152"/>
            <w:vAlign w:val="top"/>
            <w:tcMar>
              <w:top w:w="40" w:type="dxa"/>
              <w:left w:w="40" w:type="dxa"/>
              <w:bottom w:w="40" w:type="dxa"/>
              <w:right w:w="40" w:type="dxa"/>
            </w:tcMar>
          </w:tcPr>
          <w:p>
            <w:pPr>
              <w:spacing w:after="0"/>
            </w:pPr>
            <w:r/>
            <w:r>
              <w:rPr>
                <w:b w:val="0"/>
                <w:sz w:val="14"/>
              </w:rPr>
              <w:t>10.92x</w:t>
            </w:r>
          </w:p>
        </w:tc>
        <w:tc>
          <w:tcPr>
            <w:tcW w:type="dxa" w:w="1296"/>
            <w:vAlign w:val="top"/>
            <w:tcMar>
              <w:top w:w="40" w:type="dxa"/>
              <w:left w:w="40" w:type="dxa"/>
              <w:bottom w:w="40" w:type="dxa"/>
              <w:right w:w="40" w:type="dxa"/>
            </w:tcMar>
          </w:tcPr>
          <w:p>
            <w:pPr>
              <w:spacing w:after="0"/>
            </w:pPr>
            <w:r/>
            <w:r>
              <w:rPr>
                <w:b w:val="0"/>
                <w:sz w:val="14"/>
              </w:rPr>
              <w:t>12.02x</w:t>
            </w:r>
          </w:p>
        </w:tc>
        <w:tc>
          <w:tcPr>
            <w:tcW w:type="dxa" w:w="1008"/>
            <w:vAlign w:val="top"/>
            <w:tcMar>
              <w:top w:w="40" w:type="dxa"/>
              <w:left w:w="40" w:type="dxa"/>
              <w:bottom w:w="40" w:type="dxa"/>
              <w:right w:w="40" w:type="dxa"/>
            </w:tcMar>
          </w:tcPr>
          <w:p>
            <w:pPr>
              <w:spacing w:after="0"/>
            </w:pPr>
            <w:r/>
            <w:r>
              <w:rPr>
                <w:b w:val="0"/>
                <w:sz w:val="14"/>
              </w:rPr>
              <w:t>4.42x</w:t>
            </w:r>
          </w:p>
        </w:tc>
        <w:tc>
          <w:tcPr>
            <w:tcW w:type="dxa" w:w="864"/>
            <w:vAlign w:val="top"/>
            <w:tcMar>
              <w:top w:w="40" w:type="dxa"/>
              <w:left w:w="40" w:type="dxa"/>
              <w:bottom w:w="40" w:type="dxa"/>
              <w:right w:w="40" w:type="dxa"/>
            </w:tcMar>
          </w:tcPr>
          <w:p>
            <w:pPr>
              <w:spacing w:after="0"/>
            </w:pPr>
            <w:r/>
            <w:r>
              <w:rPr>
                <w:b w:val="0"/>
                <w:sz w:val="14"/>
              </w:rPr>
              <w:t>OK</w:t>
            </w:r>
          </w:p>
        </w:tc>
      </w:tr>
      <w:tr>
        <w:trPr>
          <w:cantSplit/>
        </w:trPr>
        <w:tc>
          <w:tcPr>
            <w:tcW w:type="dxa" w:w="1440"/>
            <w:vAlign w:val="top"/>
            <w:tcMar>
              <w:top w:w="40" w:type="dxa"/>
              <w:left w:w="40" w:type="dxa"/>
              <w:bottom w:w="40" w:type="dxa"/>
              <w:right w:w="40" w:type="dxa"/>
            </w:tcMar>
          </w:tcPr>
          <w:p>
            <w:pPr>
              <w:spacing w:after="0"/>
            </w:pPr>
            <w:r/>
            <w:r>
              <w:rPr>
                <w:b w:val="0"/>
                <w:sz w:val="14"/>
              </w:rPr>
              <w:t>jinja2</w:t>
            </w:r>
          </w:p>
        </w:tc>
        <w:tc>
          <w:tcPr>
            <w:tcW w:type="dxa" w:w="1584"/>
            <w:vAlign w:val="top"/>
            <w:tcMar>
              <w:top w:w="40" w:type="dxa"/>
              <w:left w:w="40" w:type="dxa"/>
              <w:bottom w:w="40" w:type="dxa"/>
              <w:right w:w="40" w:type="dxa"/>
            </w:tcMar>
          </w:tcPr>
          <w:p>
            <w:pPr>
              <w:spacing w:after="0"/>
            </w:pPr>
            <w:r/>
            <w:r>
              <w:rPr>
                <w:b w:val="0"/>
                <w:sz w:val="14"/>
              </w:rPr>
              <w:t>3.1.3-&gt;3.1.4</w:t>
            </w:r>
          </w:p>
        </w:tc>
        <w:tc>
          <w:tcPr>
            <w:tcW w:type="dxa" w:w="1152"/>
            <w:vAlign w:val="top"/>
            <w:tcMar>
              <w:top w:w="40" w:type="dxa"/>
              <w:left w:w="40" w:type="dxa"/>
              <w:bottom w:w="40" w:type="dxa"/>
              <w:right w:w="40" w:type="dxa"/>
            </w:tcMar>
          </w:tcPr>
          <w:p>
            <w:pPr>
              <w:spacing w:after="0"/>
            </w:pPr>
            <w:r/>
            <w:r>
              <w:rPr>
                <w:b w:val="0"/>
                <w:sz w:val="14"/>
              </w:rPr>
              <w:t>8/31</w:t>
            </w:r>
          </w:p>
        </w:tc>
        <w:tc>
          <w:tcPr>
            <w:tcW w:type="dxa" w:w="1152"/>
            <w:vAlign w:val="top"/>
            <w:tcMar>
              <w:top w:w="40" w:type="dxa"/>
              <w:left w:w="40" w:type="dxa"/>
              <w:bottom w:w="40" w:type="dxa"/>
              <w:right w:w="40" w:type="dxa"/>
            </w:tcMar>
          </w:tcPr>
          <w:p>
            <w:pPr>
              <w:spacing w:after="0"/>
            </w:pPr>
            <w:r/>
            <w:r>
              <w:rPr>
                <w:b w:val="0"/>
                <w:sz w:val="14"/>
              </w:rPr>
              <w:t>1.09x</w:t>
            </w:r>
          </w:p>
        </w:tc>
        <w:tc>
          <w:tcPr>
            <w:tcW w:type="dxa" w:w="1152"/>
            <w:vAlign w:val="top"/>
            <w:tcMar>
              <w:top w:w="40" w:type="dxa"/>
              <w:left w:w="40" w:type="dxa"/>
              <w:bottom w:w="40" w:type="dxa"/>
              <w:right w:w="40" w:type="dxa"/>
            </w:tcMar>
          </w:tcPr>
          <w:p>
            <w:pPr>
              <w:spacing w:after="0"/>
            </w:pPr>
            <w:r/>
            <w:r>
              <w:rPr>
                <w:b w:val="0"/>
                <w:sz w:val="14"/>
              </w:rPr>
              <w:t>1.08x</w:t>
            </w:r>
          </w:p>
        </w:tc>
        <w:tc>
          <w:tcPr>
            <w:tcW w:type="dxa" w:w="1296"/>
            <w:vAlign w:val="top"/>
            <w:tcMar>
              <w:top w:w="40" w:type="dxa"/>
              <w:left w:w="40" w:type="dxa"/>
              <w:bottom w:w="40" w:type="dxa"/>
              <w:right w:w="40" w:type="dxa"/>
            </w:tcMar>
          </w:tcPr>
          <w:p>
            <w:pPr>
              <w:spacing w:after="0"/>
            </w:pPr>
            <w:r/>
            <w:r>
              <w:rPr>
                <w:b w:val="0"/>
                <w:sz w:val="14"/>
              </w:rPr>
              <w:t>1.09x</w:t>
            </w:r>
          </w:p>
        </w:tc>
        <w:tc>
          <w:tcPr>
            <w:tcW w:type="dxa" w:w="1008"/>
            <w:vAlign w:val="top"/>
            <w:tcMar>
              <w:top w:w="40" w:type="dxa"/>
              <w:left w:w="40" w:type="dxa"/>
              <w:bottom w:w="40" w:type="dxa"/>
              <w:right w:w="40" w:type="dxa"/>
            </w:tcMar>
          </w:tcPr>
          <w:p>
            <w:pPr>
              <w:spacing w:after="0"/>
            </w:pPr>
            <w:r/>
            <w:r>
              <w:rPr>
                <w:b w:val="0"/>
                <w:sz w:val="14"/>
              </w:rPr>
              <w:t>4.02x</w:t>
            </w:r>
          </w:p>
        </w:tc>
        <w:tc>
          <w:tcPr>
            <w:tcW w:type="dxa" w:w="864"/>
            <w:vAlign w:val="top"/>
            <w:tcMar>
              <w:top w:w="40" w:type="dxa"/>
              <w:left w:w="40" w:type="dxa"/>
              <w:bottom w:w="40" w:type="dxa"/>
              <w:right w:w="40" w:type="dxa"/>
            </w:tcMar>
          </w:tcPr>
          <w:p>
            <w:pPr>
              <w:spacing w:after="0"/>
            </w:pPr>
            <w:r/>
            <w:r>
              <w:rPr>
                <w:b w:val="0"/>
                <w:sz w:val="14"/>
              </w:rPr>
              <w:t>OK</w:t>
            </w:r>
          </w:p>
        </w:tc>
      </w:tr>
      <w:tr>
        <w:trPr>
          <w:cantSplit/>
        </w:trPr>
        <w:tc>
          <w:tcPr>
            <w:tcW w:type="dxa" w:w="1440"/>
            <w:vAlign w:val="top"/>
            <w:tcMar>
              <w:top w:w="40" w:type="dxa"/>
              <w:left w:w="40" w:type="dxa"/>
              <w:bottom w:w="40" w:type="dxa"/>
              <w:right w:w="40" w:type="dxa"/>
            </w:tcMar>
          </w:tcPr>
          <w:p>
            <w:pPr>
              <w:spacing w:after="0"/>
            </w:pPr>
            <w:r/>
            <w:r>
              <w:rPr>
                <w:b w:val="0"/>
                <w:sz w:val="14"/>
              </w:rPr>
              <w:t>click</w:t>
            </w:r>
          </w:p>
        </w:tc>
        <w:tc>
          <w:tcPr>
            <w:tcW w:type="dxa" w:w="1584"/>
            <w:vAlign w:val="top"/>
            <w:tcMar>
              <w:top w:w="40" w:type="dxa"/>
              <w:left w:w="40" w:type="dxa"/>
              <w:bottom w:w="40" w:type="dxa"/>
              <w:right w:w="40" w:type="dxa"/>
            </w:tcMar>
          </w:tcPr>
          <w:p>
            <w:pPr>
              <w:spacing w:after="0"/>
            </w:pPr>
            <w:r/>
            <w:r>
              <w:rPr>
                <w:b w:val="0"/>
                <w:sz w:val="14"/>
              </w:rPr>
              <w:t>8.1.6-&gt;8.1.7</w:t>
            </w:r>
          </w:p>
        </w:tc>
        <w:tc>
          <w:tcPr>
            <w:tcW w:type="dxa" w:w="1152"/>
            <w:vAlign w:val="top"/>
            <w:tcMar>
              <w:top w:w="40" w:type="dxa"/>
              <w:left w:w="40" w:type="dxa"/>
              <w:bottom w:w="40" w:type="dxa"/>
              <w:right w:w="40" w:type="dxa"/>
            </w:tcMar>
          </w:tcPr>
          <w:p>
            <w:pPr>
              <w:spacing w:after="0"/>
            </w:pPr>
            <w:r/>
            <w:r>
              <w:rPr>
                <w:b w:val="0"/>
                <w:sz w:val="14"/>
              </w:rPr>
              <w:t>14/22</w:t>
            </w:r>
          </w:p>
        </w:tc>
        <w:tc>
          <w:tcPr>
            <w:tcW w:type="dxa" w:w="1152"/>
            <w:vAlign w:val="top"/>
            <w:tcMar>
              <w:top w:w="40" w:type="dxa"/>
              <w:left w:w="40" w:type="dxa"/>
              <w:bottom w:w="40" w:type="dxa"/>
              <w:right w:w="40" w:type="dxa"/>
            </w:tcMar>
          </w:tcPr>
          <w:p>
            <w:pPr>
              <w:spacing w:after="0"/>
            </w:pPr>
            <w:r/>
            <w:r>
              <w:rPr>
                <w:b w:val="0"/>
                <w:sz w:val="14"/>
              </w:rPr>
              <w:t>10.93x</w:t>
            </w:r>
          </w:p>
        </w:tc>
        <w:tc>
          <w:tcPr>
            <w:tcW w:type="dxa" w:w="1152"/>
            <w:vAlign w:val="top"/>
            <w:tcMar>
              <w:top w:w="40" w:type="dxa"/>
              <w:left w:w="40" w:type="dxa"/>
              <w:bottom w:w="40" w:type="dxa"/>
              <w:right w:w="40" w:type="dxa"/>
            </w:tcMar>
          </w:tcPr>
          <w:p>
            <w:pPr>
              <w:spacing w:after="0"/>
            </w:pPr>
            <w:r/>
            <w:r>
              <w:rPr>
                <w:b w:val="0"/>
                <w:sz w:val="14"/>
              </w:rPr>
              <w:t>10.08x</w:t>
            </w:r>
          </w:p>
        </w:tc>
        <w:tc>
          <w:tcPr>
            <w:tcW w:type="dxa" w:w="1296"/>
            <w:vAlign w:val="top"/>
            <w:tcMar>
              <w:top w:w="40" w:type="dxa"/>
              <w:left w:w="40" w:type="dxa"/>
              <w:bottom w:w="40" w:type="dxa"/>
              <w:right w:w="40" w:type="dxa"/>
            </w:tcMar>
          </w:tcPr>
          <w:p>
            <w:pPr>
              <w:spacing w:after="0"/>
            </w:pPr>
            <w:r/>
            <w:r>
              <w:rPr>
                <w:b w:val="0"/>
                <w:sz w:val="14"/>
              </w:rPr>
              <w:t>10.90x</w:t>
            </w:r>
          </w:p>
        </w:tc>
        <w:tc>
          <w:tcPr>
            <w:tcW w:type="dxa" w:w="1008"/>
            <w:vAlign w:val="top"/>
            <w:tcMar>
              <w:top w:w="40" w:type="dxa"/>
              <w:left w:w="40" w:type="dxa"/>
              <w:bottom w:w="40" w:type="dxa"/>
              <w:right w:w="40" w:type="dxa"/>
            </w:tcMar>
          </w:tcPr>
          <w:p>
            <w:pPr>
              <w:spacing w:after="0"/>
            </w:pPr>
            <w:r/>
            <w:r>
              <w:rPr>
                <w:b w:val="0"/>
                <w:sz w:val="14"/>
              </w:rPr>
              <w:t>3.97x</w:t>
            </w:r>
          </w:p>
        </w:tc>
        <w:tc>
          <w:tcPr>
            <w:tcW w:type="dxa" w:w="864"/>
            <w:vAlign w:val="top"/>
            <w:tcMar>
              <w:top w:w="40" w:type="dxa"/>
              <w:left w:w="40" w:type="dxa"/>
              <w:bottom w:w="40" w:type="dxa"/>
              <w:right w:w="40" w:type="dxa"/>
            </w:tcMar>
          </w:tcPr>
          <w:p>
            <w:pPr>
              <w:spacing w:after="0"/>
            </w:pPr>
            <w:r/>
            <w:r>
              <w:rPr>
                <w:b w:val="0"/>
                <w:sz w:val="14"/>
              </w:rPr>
              <w:t>OK</w:t>
            </w:r>
          </w:p>
        </w:tc>
      </w:tr>
      <w:tr>
        <w:trPr>
          <w:cantSplit/>
        </w:trPr>
        <w:tc>
          <w:tcPr>
            <w:tcW w:type="dxa" w:w="1440"/>
            <w:vAlign w:val="top"/>
            <w:tcMar>
              <w:top w:w="40" w:type="dxa"/>
              <w:left w:w="40" w:type="dxa"/>
              <w:bottom w:w="40" w:type="dxa"/>
              <w:right w:w="40" w:type="dxa"/>
            </w:tcMar>
          </w:tcPr>
          <w:p>
            <w:pPr>
              <w:spacing w:after="0"/>
            </w:pPr>
            <w:r/>
            <w:r>
              <w:rPr>
                <w:b w:val="0"/>
                <w:sz w:val="14"/>
              </w:rPr>
              <w:t>werkzeug</w:t>
            </w:r>
          </w:p>
        </w:tc>
        <w:tc>
          <w:tcPr>
            <w:tcW w:type="dxa" w:w="1584"/>
            <w:vAlign w:val="top"/>
            <w:tcMar>
              <w:top w:w="40" w:type="dxa"/>
              <w:left w:w="40" w:type="dxa"/>
              <w:bottom w:w="40" w:type="dxa"/>
              <w:right w:w="40" w:type="dxa"/>
            </w:tcMar>
          </w:tcPr>
          <w:p>
            <w:pPr>
              <w:spacing w:after="0"/>
            </w:pPr>
            <w:r/>
            <w:r>
              <w:rPr>
                <w:b w:val="0"/>
                <w:sz w:val="14"/>
              </w:rPr>
              <w:t>3.0.1-&gt;3.0.2</w:t>
            </w:r>
          </w:p>
        </w:tc>
        <w:tc>
          <w:tcPr>
            <w:tcW w:type="dxa" w:w="1152"/>
            <w:vAlign w:val="top"/>
            <w:tcMar>
              <w:top w:w="40" w:type="dxa"/>
              <w:left w:w="40" w:type="dxa"/>
              <w:bottom w:w="40" w:type="dxa"/>
              <w:right w:w="40" w:type="dxa"/>
            </w:tcMar>
          </w:tcPr>
          <w:p>
            <w:pPr>
              <w:spacing w:after="0"/>
            </w:pPr>
            <w:r/>
            <w:r>
              <w:rPr>
                <w:b w:val="0"/>
                <w:sz w:val="14"/>
              </w:rPr>
              <w:t>51/72</w:t>
            </w:r>
          </w:p>
        </w:tc>
        <w:tc>
          <w:tcPr>
            <w:tcW w:type="dxa" w:w="1152"/>
            <w:vAlign w:val="top"/>
            <w:tcMar>
              <w:top w:w="40" w:type="dxa"/>
              <w:left w:w="40" w:type="dxa"/>
              <w:bottom w:w="40" w:type="dxa"/>
              <w:right w:w="40" w:type="dxa"/>
            </w:tcMar>
          </w:tcPr>
          <w:p>
            <w:pPr>
              <w:spacing w:after="0"/>
            </w:pPr>
            <w:r/>
            <w:r>
              <w:rPr>
                <w:b w:val="0"/>
                <w:sz w:val="14"/>
              </w:rPr>
              <w:t>3.02x</w:t>
            </w:r>
          </w:p>
        </w:tc>
        <w:tc>
          <w:tcPr>
            <w:tcW w:type="dxa" w:w="1152"/>
            <w:vAlign w:val="top"/>
            <w:tcMar>
              <w:top w:w="40" w:type="dxa"/>
              <w:left w:w="40" w:type="dxa"/>
              <w:bottom w:w="40" w:type="dxa"/>
              <w:right w:w="40" w:type="dxa"/>
            </w:tcMar>
          </w:tcPr>
          <w:p>
            <w:pPr>
              <w:spacing w:after="0"/>
            </w:pPr>
            <w:r/>
            <w:r>
              <w:rPr>
                <w:b w:val="0"/>
                <w:sz w:val="14"/>
              </w:rPr>
              <w:t>2.94x</w:t>
            </w:r>
          </w:p>
        </w:tc>
        <w:tc>
          <w:tcPr>
            <w:tcW w:type="dxa" w:w="1296"/>
            <w:vAlign w:val="top"/>
            <w:tcMar>
              <w:top w:w="40" w:type="dxa"/>
              <w:left w:w="40" w:type="dxa"/>
              <w:bottom w:w="40" w:type="dxa"/>
              <w:right w:w="40" w:type="dxa"/>
            </w:tcMar>
          </w:tcPr>
          <w:p>
            <w:pPr>
              <w:spacing w:after="0"/>
            </w:pPr>
            <w:r/>
            <w:r>
              <w:rPr>
                <w:b w:val="0"/>
                <w:sz w:val="14"/>
              </w:rPr>
              <w:t>3.02x</w:t>
            </w:r>
          </w:p>
        </w:tc>
        <w:tc>
          <w:tcPr>
            <w:tcW w:type="dxa" w:w="1008"/>
            <w:vAlign w:val="top"/>
            <w:tcMar>
              <w:top w:w="40" w:type="dxa"/>
              <w:left w:w="40" w:type="dxa"/>
              <w:bottom w:w="40" w:type="dxa"/>
              <w:right w:w="40" w:type="dxa"/>
            </w:tcMar>
          </w:tcPr>
          <w:p>
            <w:pPr>
              <w:spacing w:after="0"/>
            </w:pPr>
            <w:r/>
            <w:r>
              <w:rPr>
                <w:b w:val="0"/>
                <w:sz w:val="14"/>
              </w:rPr>
              <w:t>3.95x</w:t>
            </w:r>
          </w:p>
        </w:tc>
        <w:tc>
          <w:tcPr>
            <w:tcW w:type="dxa" w:w="864"/>
            <w:vAlign w:val="top"/>
            <w:tcMar>
              <w:top w:w="40" w:type="dxa"/>
              <w:left w:w="40" w:type="dxa"/>
              <w:bottom w:w="40" w:type="dxa"/>
              <w:right w:w="40" w:type="dxa"/>
            </w:tcMar>
          </w:tcPr>
          <w:p>
            <w:pPr>
              <w:spacing w:after="0"/>
            </w:pPr>
            <w:r/>
            <w:r>
              <w:rPr>
                <w:b w:val="0"/>
                <w:sz w:val="14"/>
              </w:rPr>
              <w:t>OK</w:t>
            </w:r>
          </w:p>
        </w:tc>
      </w:tr>
      <w:tr>
        <w:trPr>
          <w:cantSplit/>
        </w:trPr>
        <w:tc>
          <w:tcPr>
            <w:tcW w:type="dxa" w:w="1440"/>
            <w:vAlign w:val="top"/>
            <w:tcMar>
              <w:top w:w="40" w:type="dxa"/>
              <w:left w:w="40" w:type="dxa"/>
              <w:bottom w:w="40" w:type="dxa"/>
              <w:right w:w="40" w:type="dxa"/>
            </w:tcMar>
          </w:tcPr>
          <w:p>
            <w:pPr>
              <w:spacing w:after="0"/>
            </w:pPr>
            <w:r/>
            <w:r>
              <w:rPr>
                <w:b w:val="0"/>
                <w:sz w:val="14"/>
              </w:rPr>
              <w:t>urllib3</w:t>
            </w:r>
          </w:p>
        </w:tc>
        <w:tc>
          <w:tcPr>
            <w:tcW w:type="dxa" w:w="1584"/>
            <w:vAlign w:val="top"/>
            <w:tcMar>
              <w:top w:w="40" w:type="dxa"/>
              <w:left w:w="40" w:type="dxa"/>
              <w:bottom w:w="40" w:type="dxa"/>
              <w:right w:w="40" w:type="dxa"/>
            </w:tcMar>
          </w:tcPr>
          <w:p>
            <w:pPr>
              <w:spacing w:after="0"/>
            </w:pPr>
            <w:r/>
            <w:r>
              <w:rPr>
                <w:b w:val="0"/>
                <w:sz w:val="14"/>
              </w:rPr>
              <w:t>2.1.0-&gt;2.2.0</w:t>
            </w:r>
          </w:p>
        </w:tc>
        <w:tc>
          <w:tcPr>
            <w:tcW w:type="dxa" w:w="1152"/>
            <w:vAlign w:val="top"/>
            <w:tcMar>
              <w:top w:w="40" w:type="dxa"/>
              <w:left w:w="40" w:type="dxa"/>
              <w:bottom w:w="40" w:type="dxa"/>
              <w:right w:w="40" w:type="dxa"/>
            </w:tcMar>
          </w:tcPr>
          <w:p>
            <w:pPr>
              <w:spacing w:after="0"/>
            </w:pPr>
            <w:r/>
            <w:r>
              <w:rPr>
                <w:b w:val="0"/>
                <w:sz w:val="14"/>
              </w:rPr>
              <w:t>20/40</w:t>
            </w:r>
          </w:p>
        </w:tc>
        <w:tc>
          <w:tcPr>
            <w:tcW w:type="dxa" w:w="1152"/>
            <w:vAlign w:val="top"/>
            <w:tcMar>
              <w:top w:w="40" w:type="dxa"/>
              <w:left w:w="40" w:type="dxa"/>
              <w:bottom w:w="40" w:type="dxa"/>
              <w:right w:w="40" w:type="dxa"/>
            </w:tcMar>
          </w:tcPr>
          <w:p>
            <w:pPr>
              <w:spacing w:after="0"/>
            </w:pPr>
            <w:r/>
            <w:r>
              <w:rPr>
                <w:b w:val="0"/>
                <w:sz w:val="14"/>
              </w:rPr>
              <w:t>1.86x</w:t>
            </w:r>
          </w:p>
        </w:tc>
        <w:tc>
          <w:tcPr>
            <w:tcW w:type="dxa" w:w="1152"/>
            <w:vAlign w:val="top"/>
            <w:tcMar>
              <w:top w:w="40" w:type="dxa"/>
              <w:left w:w="40" w:type="dxa"/>
              <w:bottom w:w="40" w:type="dxa"/>
              <w:right w:w="40" w:type="dxa"/>
            </w:tcMar>
          </w:tcPr>
          <w:p>
            <w:pPr>
              <w:spacing w:after="0"/>
            </w:pPr>
            <w:r/>
            <w:r>
              <w:rPr>
                <w:b w:val="0"/>
                <w:sz w:val="14"/>
              </w:rPr>
              <w:t>1.83x</w:t>
            </w:r>
          </w:p>
        </w:tc>
        <w:tc>
          <w:tcPr>
            <w:tcW w:type="dxa" w:w="1296"/>
            <w:vAlign w:val="top"/>
            <w:tcMar>
              <w:top w:w="40" w:type="dxa"/>
              <w:left w:w="40" w:type="dxa"/>
              <w:bottom w:w="40" w:type="dxa"/>
              <w:right w:w="40" w:type="dxa"/>
            </w:tcMar>
          </w:tcPr>
          <w:p>
            <w:pPr>
              <w:spacing w:after="0"/>
            </w:pPr>
            <w:r/>
            <w:r>
              <w:rPr>
                <w:b w:val="0"/>
                <w:sz w:val="14"/>
              </w:rPr>
              <w:t>1.86x</w:t>
            </w:r>
          </w:p>
        </w:tc>
        <w:tc>
          <w:tcPr>
            <w:tcW w:type="dxa" w:w="1008"/>
            <w:vAlign w:val="top"/>
            <w:tcMar>
              <w:top w:w="40" w:type="dxa"/>
              <w:left w:w="40" w:type="dxa"/>
              <w:bottom w:w="40" w:type="dxa"/>
              <w:right w:w="40" w:type="dxa"/>
            </w:tcMar>
          </w:tcPr>
          <w:p>
            <w:pPr>
              <w:spacing w:after="0"/>
            </w:pPr>
            <w:r/>
            <w:r>
              <w:rPr>
                <w:b w:val="0"/>
                <w:sz w:val="14"/>
              </w:rPr>
              <w:t>3.80x</w:t>
            </w:r>
          </w:p>
        </w:tc>
        <w:tc>
          <w:tcPr>
            <w:tcW w:type="dxa" w:w="864"/>
            <w:vAlign w:val="top"/>
            <w:tcMar>
              <w:top w:w="40" w:type="dxa"/>
              <w:left w:w="40" w:type="dxa"/>
              <w:bottom w:w="40" w:type="dxa"/>
              <w:right w:w="40" w:type="dxa"/>
            </w:tcMar>
          </w:tcPr>
          <w:p>
            <w:pPr>
              <w:spacing w:after="0"/>
            </w:pPr>
            <w:r/>
            <w:r>
              <w:rPr>
                <w:b w:val="0"/>
                <w:sz w:val="14"/>
              </w:rPr>
              <w:t>OK</w:t>
            </w:r>
          </w:p>
        </w:tc>
      </w:tr>
      <w:tr>
        <w:trPr>
          <w:cantSplit/>
        </w:trPr>
        <w:tc>
          <w:tcPr>
            <w:tcW w:type="dxa" w:w="1440"/>
            <w:vAlign w:val="top"/>
            <w:tcMar>
              <w:top w:w="40" w:type="dxa"/>
              <w:left w:w="40" w:type="dxa"/>
              <w:bottom w:w="40" w:type="dxa"/>
              <w:right w:w="40" w:type="dxa"/>
            </w:tcMar>
          </w:tcPr>
          <w:p>
            <w:pPr>
              <w:spacing w:after="0"/>
            </w:pPr>
            <w:r/>
            <w:r>
              <w:rPr>
                <w:b w:val="0"/>
                <w:sz w:val="14"/>
              </w:rPr>
              <w:t>packaging</w:t>
            </w:r>
          </w:p>
        </w:tc>
        <w:tc>
          <w:tcPr>
            <w:tcW w:type="dxa" w:w="1584"/>
            <w:vAlign w:val="top"/>
            <w:tcMar>
              <w:top w:w="40" w:type="dxa"/>
              <w:left w:w="40" w:type="dxa"/>
              <w:bottom w:w="40" w:type="dxa"/>
              <w:right w:w="40" w:type="dxa"/>
            </w:tcMar>
          </w:tcPr>
          <w:p>
            <w:pPr>
              <w:spacing w:after="0"/>
            </w:pPr>
            <w:r/>
            <w:r>
              <w:rPr>
                <w:b w:val="0"/>
                <w:sz w:val="14"/>
              </w:rPr>
              <w:t>23.2-&gt;24.0</w:t>
            </w:r>
          </w:p>
        </w:tc>
        <w:tc>
          <w:tcPr>
            <w:tcW w:type="dxa" w:w="1152"/>
            <w:vAlign w:val="top"/>
            <w:tcMar>
              <w:top w:w="40" w:type="dxa"/>
              <w:left w:w="40" w:type="dxa"/>
              <w:bottom w:w="40" w:type="dxa"/>
              <w:right w:w="40" w:type="dxa"/>
            </w:tcMar>
          </w:tcPr>
          <w:p>
            <w:pPr>
              <w:spacing w:after="0"/>
            </w:pPr>
            <w:r/>
            <w:r>
              <w:rPr>
                <w:b w:val="0"/>
                <w:sz w:val="14"/>
              </w:rPr>
              <w:t>8/21</w:t>
            </w:r>
          </w:p>
        </w:tc>
        <w:tc>
          <w:tcPr>
            <w:tcW w:type="dxa" w:w="1152"/>
            <w:vAlign w:val="top"/>
            <w:tcMar>
              <w:top w:w="40" w:type="dxa"/>
              <w:left w:w="40" w:type="dxa"/>
              <w:bottom w:w="40" w:type="dxa"/>
              <w:right w:w="40" w:type="dxa"/>
            </w:tcMar>
          </w:tcPr>
          <w:p>
            <w:pPr>
              <w:spacing w:after="0"/>
            </w:pPr>
            <w:r/>
            <w:r>
              <w:rPr>
                <w:b w:val="0"/>
                <w:sz w:val="14"/>
              </w:rPr>
              <w:t>1.53x</w:t>
            </w:r>
          </w:p>
        </w:tc>
        <w:tc>
          <w:tcPr>
            <w:tcW w:type="dxa" w:w="1152"/>
            <w:vAlign w:val="top"/>
            <w:tcMar>
              <w:top w:w="40" w:type="dxa"/>
              <w:left w:w="40" w:type="dxa"/>
              <w:bottom w:w="40" w:type="dxa"/>
              <w:right w:w="40" w:type="dxa"/>
            </w:tcMar>
          </w:tcPr>
          <w:p>
            <w:pPr>
              <w:spacing w:after="0"/>
            </w:pPr>
            <w:r/>
            <w:r>
              <w:rPr>
                <w:b w:val="0"/>
                <w:sz w:val="14"/>
              </w:rPr>
              <w:t>1.50x</w:t>
            </w:r>
          </w:p>
        </w:tc>
        <w:tc>
          <w:tcPr>
            <w:tcW w:type="dxa" w:w="1296"/>
            <w:vAlign w:val="top"/>
            <w:tcMar>
              <w:top w:w="40" w:type="dxa"/>
              <w:left w:w="40" w:type="dxa"/>
              <w:bottom w:w="40" w:type="dxa"/>
              <w:right w:w="40" w:type="dxa"/>
            </w:tcMar>
          </w:tcPr>
          <w:p>
            <w:pPr>
              <w:spacing w:after="0"/>
            </w:pPr>
            <w:r/>
            <w:r>
              <w:rPr>
                <w:b w:val="0"/>
                <w:sz w:val="14"/>
              </w:rPr>
              <w:t>1.52x</w:t>
            </w:r>
          </w:p>
        </w:tc>
        <w:tc>
          <w:tcPr>
            <w:tcW w:type="dxa" w:w="1008"/>
            <w:vAlign w:val="top"/>
            <w:tcMar>
              <w:top w:w="40" w:type="dxa"/>
              <w:left w:w="40" w:type="dxa"/>
              <w:bottom w:w="40" w:type="dxa"/>
              <w:right w:w="40" w:type="dxa"/>
            </w:tcMar>
          </w:tcPr>
          <w:p>
            <w:pPr>
              <w:spacing w:after="0"/>
            </w:pPr>
            <w:r/>
            <w:r>
              <w:rPr>
                <w:b w:val="0"/>
                <w:sz w:val="14"/>
              </w:rPr>
              <w:t>3.77x</w:t>
            </w:r>
          </w:p>
        </w:tc>
        <w:tc>
          <w:tcPr>
            <w:tcW w:type="dxa" w:w="864"/>
            <w:vAlign w:val="top"/>
            <w:tcMar>
              <w:top w:w="40" w:type="dxa"/>
              <w:left w:w="40" w:type="dxa"/>
              <w:bottom w:w="40" w:type="dxa"/>
              <w:right w:w="40" w:type="dxa"/>
            </w:tcMar>
          </w:tcPr>
          <w:p>
            <w:pPr>
              <w:spacing w:after="0"/>
            </w:pPr>
            <w:r/>
            <w:r>
              <w:rPr>
                <w:b w:val="0"/>
                <w:sz w:val="14"/>
              </w:rPr>
              <w:t>OK</w:t>
            </w:r>
          </w:p>
        </w:tc>
      </w:tr>
    </w:tbl>
    <w:p/>
    <w:p>
      <w:pPr>
        <w:pStyle w:val="Heading2"/>
      </w:pPr>
      <w:r>
        <w:rPr>
          <w:rFonts w:ascii="Arial" w:hAnsi="Arial"/>
        </w:rPr>
        <w:t>7.6 Framing sensitivity and a dictionary-delta baseline</w:t>
      </w:r>
    </w:p>
    <w:p>
      <w:pPr>
        <w:spacing w:after="80" w:before="0"/>
      </w:pPr>
      <w:r>
        <w:rPr>
          <w:sz w:val="20"/>
        </w:rPr>
        <w:t>Table 12 reports two review-driven checks. First, it re-prices model frames at the compact binary profile selected for this experiment: fixed 79-byte overhead plus a 29-byte scope, or 108 bytes per FULL/REF. This is profile-specific; the native 16-byte scope costs 95 bytes. With exact object headers included, Redis falls from 9.31x to 7.65x and the layer-like case remains 21.37x to 15.28x. Second, zstd 1.5.7 [26] uses the prior serialized object stream with the pinned command zstd -3 --patch-from OLD NEW -o PATCH -f -q. It reaches about 66x to 1,801x and dominates whenever the exact prior stream and codec delta are acceptable. This is a whole-stream dictionary-delta baseline, not RFC 9842: it does not exercise HTTP dictionary advertisement, SHA-256 dictionary identity, availability/same-origin rules, or response failure handling. ReduLink is therefore not byte-optimal; its distinct abstraction is incremental chunk resolution with authenticated post-TLS context and explicit semantic repair.</w:t>
      </w:r>
    </w:p>
    <w:p>
      <w:pPr>
        <w:keepNext/>
        <w:spacing w:after="40" w:before="120"/>
      </w:pPr>
      <w:r>
        <w:rPr>
          <w:b/>
          <w:sz w:val="18"/>
        </w:rPr>
        <w:t>Table 12. Framing repricing (79 fixed bytes + 29-byte scope = 108 bytes) and pinned zstd 1.5.7 whole-stream dictionary delta on the same object streams.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cantSplit/>
          <w:tblHeader w:val="true"/>
        </w:trPr>
        <w:tc>
          <w:tcPr>
            <w:tcW w:type="dxa" w:w="2880"/>
            <w:vAlign w:val="top"/>
            <w:tcMar>
              <w:top w:w="40" w:type="dxa"/>
              <w:left w:w="40" w:type="dxa"/>
              <w:bottom w:w="40" w:type="dxa"/>
              <w:right w:w="40" w:type="dxa"/>
            </w:tcMar>
          </w:tcPr>
          <w:p>
            <w:pPr>
              <w:spacing w:after="0"/>
            </w:pPr>
            <w:r/>
            <w:r>
              <w:rPr>
                <w:b/>
                <w:sz w:val="14"/>
              </w:rPr>
              <w:t>Case</w:t>
            </w:r>
          </w:p>
        </w:tc>
        <w:tc>
          <w:tcPr>
            <w:tcW w:type="dxa" w:w="1440"/>
            <w:vAlign w:val="top"/>
            <w:tcMar>
              <w:top w:w="40" w:type="dxa"/>
              <w:left w:w="40" w:type="dxa"/>
              <w:bottom w:w="40" w:type="dxa"/>
              <w:right w:w="40" w:type="dxa"/>
            </w:tcMar>
          </w:tcPr>
          <w:p>
            <w:pPr>
              <w:spacing w:after="0"/>
            </w:pPr>
            <w:r/>
            <w:r>
              <w:rPr>
                <w:b/>
                <w:sz w:val="14"/>
              </w:rPr>
              <w:t>Input bytes</w:t>
            </w:r>
          </w:p>
        </w:tc>
        <w:tc>
          <w:tcPr>
            <w:tcW w:type="dxa" w:w="1296"/>
            <w:vAlign w:val="top"/>
            <w:tcMar>
              <w:top w:w="40" w:type="dxa"/>
              <w:left w:w="40" w:type="dxa"/>
              <w:bottom w:w="40" w:type="dxa"/>
              <w:right w:w="40" w:type="dxa"/>
            </w:tcMar>
          </w:tcPr>
          <w:p>
            <w:pPr>
              <w:spacing w:after="0"/>
            </w:pPr>
            <w:r/>
            <w:r>
              <w:rPr>
                <w:b/>
                <w:sz w:val="14"/>
              </w:rPr>
              <w:t>RL (model)</w:t>
            </w:r>
          </w:p>
        </w:tc>
        <w:tc>
          <w:tcPr>
            <w:tcW w:type="dxa" w:w="1584"/>
            <w:vAlign w:val="top"/>
            <w:tcMar>
              <w:top w:w="40" w:type="dxa"/>
              <w:left w:w="40" w:type="dxa"/>
              <w:bottom w:w="40" w:type="dxa"/>
              <w:right w:w="40" w:type="dxa"/>
            </w:tcMar>
          </w:tcPr>
          <w:p>
            <w:pPr>
              <w:spacing w:after="0"/>
            </w:pPr>
            <w:r/>
            <w:r>
              <w:rPr>
                <w:b/>
                <w:sz w:val="14"/>
              </w:rPr>
              <w:t>RL (wire-priced)</w:t>
            </w:r>
          </w:p>
        </w:tc>
        <w:tc>
          <w:tcPr>
            <w:tcW w:type="dxa" w:w="1728"/>
            <w:vAlign w:val="top"/>
            <w:tcMar>
              <w:top w:w="40" w:type="dxa"/>
              <w:left w:w="40" w:type="dxa"/>
              <w:bottom w:w="40" w:type="dxa"/>
              <w:right w:w="40" w:type="dxa"/>
            </w:tcMar>
          </w:tcPr>
          <w:p>
            <w:pPr>
              <w:spacing w:after="0"/>
            </w:pPr>
            <w:r/>
            <w:r>
              <w:rPr>
                <w:b/>
                <w:sz w:val="14"/>
              </w:rPr>
              <w:t>zstd --patch-from</w:t>
            </w:r>
          </w:p>
        </w:tc>
        <w:tc>
          <w:tcPr>
            <w:tcW w:type="dxa" w:w="1008"/>
            <w:vAlign w:val="top"/>
            <w:tcMar>
              <w:top w:w="40" w:type="dxa"/>
              <w:left w:w="40" w:type="dxa"/>
              <w:bottom w:w="40" w:type="dxa"/>
              <w:right w:w="40" w:type="dxa"/>
            </w:tcMar>
          </w:tcPr>
          <w:p>
            <w:pPr>
              <w:spacing w:after="0"/>
            </w:pPr>
            <w:r/>
            <w:r>
              <w:rPr>
                <w:b/>
                <w:sz w:val="14"/>
              </w:rPr>
              <w:t>gzip</w:t>
            </w:r>
          </w:p>
        </w:tc>
      </w:tr>
      <w:tr>
        <w:trPr>
          <w:cantSplit/>
        </w:trPr>
        <w:tc>
          <w:tcPr>
            <w:tcW w:type="dxa" w:w="2880"/>
            <w:vAlign w:val="top"/>
            <w:tcMar>
              <w:top w:w="40" w:type="dxa"/>
              <w:left w:w="40" w:type="dxa"/>
              <w:bottom w:w="40" w:type="dxa"/>
              <w:right w:w="40" w:type="dxa"/>
            </w:tcMar>
          </w:tcPr>
          <w:p>
            <w:pPr>
              <w:spacing w:after="0"/>
            </w:pPr>
            <w:r/>
            <w:r>
              <w:rPr>
                <w:b w:val="0"/>
                <w:sz w:val="14"/>
              </w:rPr>
              <w:t>click-8.1.7-to-8.1.8</w:t>
            </w:r>
          </w:p>
        </w:tc>
        <w:tc>
          <w:tcPr>
            <w:tcW w:type="dxa" w:w="1440"/>
            <w:vAlign w:val="top"/>
            <w:tcMar>
              <w:top w:w="40" w:type="dxa"/>
              <w:left w:w="40" w:type="dxa"/>
              <w:bottom w:w="40" w:type="dxa"/>
              <w:right w:w="40" w:type="dxa"/>
            </w:tcMar>
          </w:tcPr>
          <w:p>
            <w:pPr>
              <w:spacing w:after="0"/>
            </w:pPr>
            <w:r/>
            <w:r>
              <w:rPr>
                <w:b w:val="0"/>
                <w:sz w:val="14"/>
              </w:rPr>
              <w:t>947,826</w:t>
            </w:r>
          </w:p>
        </w:tc>
        <w:tc>
          <w:tcPr>
            <w:tcW w:type="dxa" w:w="1296"/>
            <w:vAlign w:val="top"/>
            <w:tcMar>
              <w:top w:w="40" w:type="dxa"/>
              <w:left w:w="40" w:type="dxa"/>
              <w:bottom w:w="40" w:type="dxa"/>
              <w:right w:w="40" w:type="dxa"/>
            </w:tcMar>
          </w:tcPr>
          <w:p>
            <w:pPr>
              <w:spacing w:after="0"/>
            </w:pPr>
            <w:r/>
            <w:r>
              <w:rPr>
                <w:b w:val="0"/>
                <w:sz w:val="14"/>
              </w:rPr>
              <w:t>1.92x</w:t>
            </w:r>
          </w:p>
        </w:tc>
        <w:tc>
          <w:tcPr>
            <w:tcW w:type="dxa" w:w="1584"/>
            <w:vAlign w:val="top"/>
            <w:tcMar>
              <w:top w:w="40" w:type="dxa"/>
              <w:left w:w="40" w:type="dxa"/>
              <w:bottom w:w="40" w:type="dxa"/>
              <w:right w:w="40" w:type="dxa"/>
            </w:tcMar>
          </w:tcPr>
          <w:p>
            <w:pPr>
              <w:spacing w:after="0"/>
            </w:pPr>
            <w:r/>
            <w:r>
              <w:rPr>
                <w:b w:val="0"/>
                <w:sz w:val="14"/>
              </w:rPr>
              <w:t>1.82x</w:t>
            </w:r>
          </w:p>
        </w:tc>
        <w:tc>
          <w:tcPr>
            <w:tcW w:type="dxa" w:w="1728"/>
            <w:vAlign w:val="top"/>
            <w:tcMar>
              <w:top w:w="40" w:type="dxa"/>
              <w:left w:w="40" w:type="dxa"/>
              <w:bottom w:w="40" w:type="dxa"/>
              <w:right w:w="40" w:type="dxa"/>
            </w:tcMar>
          </w:tcPr>
          <w:p>
            <w:pPr>
              <w:spacing w:after="0"/>
            </w:pPr>
            <w:r/>
            <w:r>
              <w:rPr>
                <w:b w:val="0"/>
                <w:sz w:val="14"/>
              </w:rPr>
              <w:t>66.51x</w:t>
            </w:r>
          </w:p>
        </w:tc>
        <w:tc>
          <w:tcPr>
            <w:tcW w:type="dxa" w:w="1008"/>
            <w:vAlign w:val="top"/>
            <w:tcMar>
              <w:top w:w="40" w:type="dxa"/>
              <w:left w:w="40" w:type="dxa"/>
              <w:bottom w:w="40" w:type="dxa"/>
              <w:right w:w="40" w:type="dxa"/>
            </w:tcMar>
          </w:tcPr>
          <w:p>
            <w:pPr>
              <w:spacing w:after="0"/>
            </w:pPr>
            <w:r/>
            <w:r>
              <w:rPr>
                <w:b w:val="0"/>
                <w:sz w:val="14"/>
              </w:rPr>
              <w:t>2.84x</w:t>
            </w:r>
          </w:p>
        </w:tc>
      </w:tr>
      <w:tr>
        <w:trPr>
          <w:cantSplit/>
        </w:trPr>
        <w:tc>
          <w:tcPr>
            <w:tcW w:type="dxa" w:w="2880"/>
            <w:vAlign w:val="top"/>
            <w:tcMar>
              <w:top w:w="40" w:type="dxa"/>
              <w:left w:w="40" w:type="dxa"/>
              <w:bottom w:w="40" w:type="dxa"/>
              <w:right w:w="40" w:type="dxa"/>
            </w:tcMar>
          </w:tcPr>
          <w:p>
            <w:pPr>
              <w:spacing w:after="0"/>
            </w:pPr>
            <w:r/>
            <w:r>
              <w:rPr>
                <w:b w:val="0"/>
                <w:sz w:val="14"/>
              </w:rPr>
              <w:t>redis-7.2.4-to-7.2.5</w:t>
            </w:r>
          </w:p>
        </w:tc>
        <w:tc>
          <w:tcPr>
            <w:tcW w:type="dxa" w:w="1440"/>
            <w:vAlign w:val="top"/>
            <w:tcMar>
              <w:top w:w="40" w:type="dxa"/>
              <w:left w:w="40" w:type="dxa"/>
              <w:bottom w:w="40" w:type="dxa"/>
              <w:right w:w="40" w:type="dxa"/>
            </w:tcMar>
          </w:tcPr>
          <w:p>
            <w:pPr>
              <w:spacing w:after="0"/>
            </w:pPr>
            <w:r/>
            <w:r>
              <w:rPr>
                <w:b w:val="0"/>
                <w:sz w:val="14"/>
              </w:rPr>
              <w:t>15,467,095</w:t>
            </w:r>
          </w:p>
        </w:tc>
        <w:tc>
          <w:tcPr>
            <w:tcW w:type="dxa" w:w="1296"/>
            <w:vAlign w:val="top"/>
            <w:tcMar>
              <w:top w:w="40" w:type="dxa"/>
              <w:left w:w="40" w:type="dxa"/>
              <w:bottom w:w="40" w:type="dxa"/>
              <w:right w:w="40" w:type="dxa"/>
            </w:tcMar>
          </w:tcPr>
          <w:p>
            <w:pPr>
              <w:spacing w:after="0"/>
            </w:pPr>
            <w:r/>
            <w:r>
              <w:rPr>
                <w:b w:val="0"/>
                <w:sz w:val="14"/>
              </w:rPr>
              <w:t>9.31x</w:t>
            </w:r>
          </w:p>
        </w:tc>
        <w:tc>
          <w:tcPr>
            <w:tcW w:type="dxa" w:w="1584"/>
            <w:vAlign w:val="top"/>
            <w:tcMar>
              <w:top w:w="40" w:type="dxa"/>
              <w:left w:w="40" w:type="dxa"/>
              <w:bottom w:w="40" w:type="dxa"/>
              <w:right w:w="40" w:type="dxa"/>
            </w:tcMar>
          </w:tcPr>
          <w:p>
            <w:pPr>
              <w:spacing w:after="0"/>
            </w:pPr>
            <w:r/>
            <w:r>
              <w:rPr>
                <w:b w:val="0"/>
                <w:sz w:val="14"/>
              </w:rPr>
              <w:t>7.65x</w:t>
            </w:r>
          </w:p>
        </w:tc>
        <w:tc>
          <w:tcPr>
            <w:tcW w:type="dxa" w:w="1728"/>
            <w:vAlign w:val="top"/>
            <w:tcMar>
              <w:top w:w="40" w:type="dxa"/>
              <w:left w:w="40" w:type="dxa"/>
              <w:bottom w:w="40" w:type="dxa"/>
              <w:right w:w="40" w:type="dxa"/>
            </w:tcMar>
          </w:tcPr>
          <w:p>
            <w:pPr>
              <w:spacing w:after="0"/>
            </w:pPr>
            <w:r/>
            <w:r>
              <w:rPr>
                <w:b w:val="0"/>
                <w:sz w:val="14"/>
              </w:rPr>
              <w:t>1800.59x</w:t>
            </w:r>
          </w:p>
        </w:tc>
        <w:tc>
          <w:tcPr>
            <w:tcW w:type="dxa" w:w="1008"/>
            <w:vAlign w:val="top"/>
            <w:tcMar>
              <w:top w:w="40" w:type="dxa"/>
              <w:left w:w="40" w:type="dxa"/>
              <w:bottom w:w="40" w:type="dxa"/>
              <w:right w:w="40" w:type="dxa"/>
            </w:tcMar>
          </w:tcPr>
          <w:p>
            <w:pPr>
              <w:spacing w:after="0"/>
            </w:pPr>
            <w:r/>
            <w:r>
              <w:rPr>
                <w:b w:val="0"/>
                <w:sz w:val="14"/>
              </w:rPr>
              <w:t>4.59x</w:t>
            </w:r>
          </w:p>
        </w:tc>
      </w:tr>
      <w:tr>
        <w:trPr>
          <w:cantSplit/>
        </w:trPr>
        <w:tc>
          <w:tcPr>
            <w:tcW w:type="dxa" w:w="2880"/>
            <w:vAlign w:val="top"/>
            <w:tcMar>
              <w:top w:w="40" w:type="dxa"/>
              <w:left w:w="40" w:type="dxa"/>
              <w:bottom w:w="40" w:type="dxa"/>
              <w:right w:w="40" w:type="dxa"/>
            </w:tcMar>
          </w:tcPr>
          <w:p>
            <w:pPr>
              <w:spacing w:after="0"/>
            </w:pPr>
            <w:r/>
            <w:r>
              <w:rPr>
                <w:b w:val="0"/>
                <w:sz w:val="14"/>
              </w:rPr>
              <w:t>nginx-1.25.3-to-1.25.4</w:t>
            </w:r>
          </w:p>
        </w:tc>
        <w:tc>
          <w:tcPr>
            <w:tcW w:type="dxa" w:w="1440"/>
            <w:vAlign w:val="top"/>
            <w:tcMar>
              <w:top w:w="40" w:type="dxa"/>
              <w:left w:w="40" w:type="dxa"/>
              <w:bottom w:w="40" w:type="dxa"/>
              <w:right w:w="40" w:type="dxa"/>
            </w:tcMar>
          </w:tcPr>
          <w:p>
            <w:pPr>
              <w:spacing w:after="0"/>
            </w:pPr>
            <w:r/>
            <w:r>
              <w:rPr>
                <w:b w:val="0"/>
                <w:sz w:val="14"/>
              </w:rPr>
              <w:t>7,357,392</w:t>
            </w:r>
          </w:p>
        </w:tc>
        <w:tc>
          <w:tcPr>
            <w:tcW w:type="dxa" w:w="1296"/>
            <w:vAlign w:val="top"/>
            <w:tcMar>
              <w:top w:w="40" w:type="dxa"/>
              <w:left w:w="40" w:type="dxa"/>
              <w:bottom w:w="40" w:type="dxa"/>
              <w:right w:w="40" w:type="dxa"/>
            </w:tcMar>
          </w:tcPr>
          <w:p>
            <w:pPr>
              <w:spacing w:after="0"/>
            </w:pPr>
            <w:r/>
            <w:r>
              <w:rPr>
                <w:b w:val="0"/>
                <w:sz w:val="14"/>
              </w:rPr>
              <w:t>4.33x</w:t>
            </w:r>
          </w:p>
        </w:tc>
        <w:tc>
          <w:tcPr>
            <w:tcW w:type="dxa" w:w="1584"/>
            <w:vAlign w:val="top"/>
            <w:tcMar>
              <w:top w:w="40" w:type="dxa"/>
              <w:left w:w="40" w:type="dxa"/>
              <w:bottom w:w="40" w:type="dxa"/>
              <w:right w:w="40" w:type="dxa"/>
            </w:tcMar>
          </w:tcPr>
          <w:p>
            <w:pPr>
              <w:spacing w:after="0"/>
            </w:pPr>
            <w:r/>
            <w:r>
              <w:rPr>
                <w:b w:val="0"/>
                <w:sz w:val="14"/>
              </w:rPr>
              <w:t>3.95x</w:t>
            </w:r>
          </w:p>
        </w:tc>
        <w:tc>
          <w:tcPr>
            <w:tcW w:type="dxa" w:w="1728"/>
            <w:vAlign w:val="top"/>
            <w:tcMar>
              <w:top w:w="40" w:type="dxa"/>
              <w:left w:w="40" w:type="dxa"/>
              <w:bottom w:w="40" w:type="dxa"/>
              <w:right w:w="40" w:type="dxa"/>
            </w:tcMar>
          </w:tcPr>
          <w:p>
            <w:pPr>
              <w:spacing w:after="0"/>
            </w:pPr>
            <w:r/>
            <w:r>
              <w:rPr>
                <w:b w:val="0"/>
                <w:sz w:val="14"/>
              </w:rPr>
              <w:t>1002.78x</w:t>
            </w:r>
          </w:p>
        </w:tc>
        <w:tc>
          <w:tcPr>
            <w:tcW w:type="dxa" w:w="1008"/>
            <w:vAlign w:val="top"/>
            <w:tcMar>
              <w:top w:w="40" w:type="dxa"/>
              <w:left w:w="40" w:type="dxa"/>
              <w:bottom w:w="40" w:type="dxa"/>
              <w:right w:w="40" w:type="dxa"/>
            </w:tcMar>
          </w:tcPr>
          <w:p>
            <w:pPr>
              <w:spacing w:after="0"/>
            </w:pPr>
            <w:r/>
            <w:r>
              <w:rPr>
                <w:b w:val="0"/>
                <w:sz w:val="14"/>
              </w:rPr>
              <w:t>6.07x</w:t>
            </w:r>
          </w:p>
        </w:tc>
      </w:tr>
      <w:tr>
        <w:trPr>
          <w:cantSplit/>
        </w:trPr>
        <w:tc>
          <w:tcPr>
            <w:tcW w:type="dxa" w:w="2880"/>
            <w:vAlign w:val="top"/>
            <w:tcMar>
              <w:top w:w="40" w:type="dxa"/>
              <w:left w:w="40" w:type="dxa"/>
              <w:bottom w:w="40" w:type="dxa"/>
              <w:right w:w="40" w:type="dxa"/>
            </w:tcMar>
          </w:tcPr>
          <w:p>
            <w:pPr>
              <w:spacing w:after="0"/>
            </w:pPr>
            <w:r/>
            <w:r>
              <w:rPr>
                <w:b w:val="0"/>
                <w:sz w:val="14"/>
              </w:rPr>
              <w:t>redis-layered-public-positive</w:t>
            </w:r>
          </w:p>
        </w:tc>
        <w:tc>
          <w:tcPr>
            <w:tcW w:type="dxa" w:w="1440"/>
            <w:vAlign w:val="top"/>
            <w:tcMar>
              <w:top w:w="40" w:type="dxa"/>
              <w:left w:w="40" w:type="dxa"/>
              <w:bottom w:w="40" w:type="dxa"/>
              <w:right w:w="40" w:type="dxa"/>
            </w:tcMar>
          </w:tcPr>
          <w:p>
            <w:pPr>
              <w:spacing w:after="0"/>
            </w:pPr>
            <w:r/>
            <w:r>
              <w:rPr>
                <w:b w:val="0"/>
                <w:sz w:val="14"/>
              </w:rPr>
              <w:t>524,288</w:t>
            </w:r>
          </w:p>
        </w:tc>
        <w:tc>
          <w:tcPr>
            <w:tcW w:type="dxa" w:w="1296"/>
            <w:vAlign w:val="top"/>
            <w:tcMar>
              <w:top w:w="40" w:type="dxa"/>
              <w:left w:w="40" w:type="dxa"/>
              <w:bottom w:w="40" w:type="dxa"/>
              <w:right w:w="40" w:type="dxa"/>
            </w:tcMar>
          </w:tcPr>
          <w:p>
            <w:pPr>
              <w:spacing w:after="0"/>
            </w:pPr>
            <w:r/>
            <w:r>
              <w:rPr>
                <w:b w:val="0"/>
                <w:sz w:val="14"/>
              </w:rPr>
              <w:t>21.37x</w:t>
            </w:r>
          </w:p>
        </w:tc>
        <w:tc>
          <w:tcPr>
            <w:tcW w:type="dxa" w:w="1584"/>
            <w:vAlign w:val="top"/>
            <w:tcMar>
              <w:top w:w="40" w:type="dxa"/>
              <w:left w:w="40" w:type="dxa"/>
              <w:bottom w:w="40" w:type="dxa"/>
              <w:right w:w="40" w:type="dxa"/>
            </w:tcMar>
          </w:tcPr>
          <w:p>
            <w:pPr>
              <w:spacing w:after="0"/>
            </w:pPr>
            <w:r/>
            <w:r>
              <w:rPr>
                <w:b w:val="0"/>
                <w:sz w:val="14"/>
              </w:rPr>
              <w:t>15.28x</w:t>
            </w:r>
          </w:p>
        </w:tc>
        <w:tc>
          <w:tcPr>
            <w:tcW w:type="dxa" w:w="1728"/>
            <w:vAlign w:val="top"/>
            <w:tcMar>
              <w:top w:w="40" w:type="dxa"/>
              <w:left w:w="40" w:type="dxa"/>
              <w:bottom w:w="40" w:type="dxa"/>
              <w:right w:w="40" w:type="dxa"/>
            </w:tcMar>
          </w:tcPr>
          <w:p>
            <w:pPr>
              <w:spacing w:after="0"/>
            </w:pPr>
            <w:r/>
            <w:r>
              <w:rPr>
                <w:b w:val="0"/>
                <w:sz w:val="14"/>
              </w:rPr>
              <w:t>1795.51x</w:t>
            </w:r>
          </w:p>
        </w:tc>
        <w:tc>
          <w:tcPr>
            <w:tcW w:type="dxa" w:w="1008"/>
            <w:vAlign w:val="top"/>
            <w:tcMar>
              <w:top w:w="40" w:type="dxa"/>
              <w:left w:w="40" w:type="dxa"/>
              <w:bottom w:w="40" w:type="dxa"/>
              <w:right w:w="40" w:type="dxa"/>
            </w:tcMar>
          </w:tcPr>
          <w:p>
            <w:pPr>
              <w:spacing w:after="0"/>
            </w:pPr>
            <w:r/>
            <w:r>
              <w:rPr>
                <w:b w:val="0"/>
                <w:sz w:val="14"/>
              </w:rPr>
              <w:t>4.24x</w:t>
            </w:r>
          </w:p>
        </w:tc>
      </w:tr>
      <w:tr>
        <w:trPr>
          <w:cantSplit/>
        </w:trPr>
        <w:tc>
          <w:tcPr>
            <w:tcW w:type="dxa" w:w="2880"/>
            <w:vAlign w:val="top"/>
            <w:tcMar>
              <w:top w:w="40" w:type="dxa"/>
              <w:left w:w="40" w:type="dxa"/>
              <w:bottom w:w="40" w:type="dxa"/>
              <w:right w:w="40" w:type="dxa"/>
            </w:tcMar>
          </w:tcPr>
          <w:p>
            <w:pPr>
              <w:spacing w:after="0"/>
            </w:pPr>
            <w:r/>
            <w:r>
              <w:rPr>
                <w:b w:val="0"/>
                <w:sz w:val="14"/>
              </w:rPr>
              <w:t>pypi rich-13.7.0-to-13.7.1</w:t>
            </w:r>
          </w:p>
        </w:tc>
        <w:tc>
          <w:tcPr>
            <w:tcW w:type="dxa" w:w="1440"/>
            <w:vAlign w:val="top"/>
            <w:tcMar>
              <w:top w:w="40" w:type="dxa"/>
              <w:left w:w="40" w:type="dxa"/>
              <w:bottom w:w="40" w:type="dxa"/>
              <w:right w:w="40" w:type="dxa"/>
            </w:tcMar>
          </w:tcPr>
          <w:p>
            <w:pPr>
              <w:spacing w:after="0"/>
            </w:pPr>
            <w:r/>
            <w:r>
              <w:rPr>
                <w:b w:val="0"/>
                <w:sz w:val="14"/>
              </w:rPr>
              <w:t>947,654</w:t>
            </w:r>
          </w:p>
        </w:tc>
        <w:tc>
          <w:tcPr>
            <w:tcW w:type="dxa" w:w="1296"/>
            <w:vAlign w:val="top"/>
            <w:tcMar>
              <w:top w:w="40" w:type="dxa"/>
              <w:left w:w="40" w:type="dxa"/>
              <w:bottom w:w="40" w:type="dxa"/>
              <w:right w:w="40" w:type="dxa"/>
            </w:tcMar>
          </w:tcPr>
          <w:p>
            <w:pPr>
              <w:spacing w:after="0"/>
            </w:pPr>
            <w:r/>
            <w:r>
              <w:rPr>
                <w:b w:val="0"/>
                <w:sz w:val="14"/>
              </w:rPr>
              <w:t>12.05x</w:t>
            </w:r>
          </w:p>
        </w:tc>
        <w:tc>
          <w:tcPr>
            <w:tcW w:type="dxa" w:w="1584"/>
            <w:vAlign w:val="top"/>
            <w:tcMar>
              <w:top w:w="40" w:type="dxa"/>
              <w:left w:w="40" w:type="dxa"/>
              <w:bottom w:w="40" w:type="dxa"/>
              <w:right w:w="40" w:type="dxa"/>
            </w:tcMar>
          </w:tcPr>
          <w:p>
            <w:pPr>
              <w:spacing w:after="0"/>
            </w:pPr>
            <w:r/>
            <w:r>
              <w:rPr>
                <w:b w:val="0"/>
                <w:sz w:val="14"/>
              </w:rPr>
              <w:t>9.49x</w:t>
            </w:r>
          </w:p>
        </w:tc>
        <w:tc>
          <w:tcPr>
            <w:tcW w:type="dxa" w:w="1728"/>
            <w:vAlign w:val="top"/>
            <w:tcMar>
              <w:top w:w="40" w:type="dxa"/>
              <w:left w:w="40" w:type="dxa"/>
              <w:bottom w:w="40" w:type="dxa"/>
              <w:right w:w="40" w:type="dxa"/>
            </w:tcMar>
          </w:tcPr>
          <w:p>
            <w:pPr>
              <w:spacing w:after="0"/>
            </w:pPr>
            <w:r/>
            <w:r>
              <w:rPr>
                <w:b w:val="0"/>
                <w:sz w:val="14"/>
              </w:rPr>
              <w:t>591.91x</w:t>
            </w:r>
          </w:p>
        </w:tc>
        <w:tc>
          <w:tcPr>
            <w:tcW w:type="dxa" w:w="1008"/>
            <w:vAlign w:val="top"/>
            <w:tcMar>
              <w:top w:w="40" w:type="dxa"/>
              <w:left w:w="40" w:type="dxa"/>
              <w:bottom w:w="40" w:type="dxa"/>
              <w:right w:w="40" w:type="dxa"/>
            </w:tcMar>
          </w:tcPr>
          <w:p>
            <w:pPr>
              <w:spacing w:after="0"/>
            </w:pPr>
            <w:r/>
            <w:r>
              <w:rPr>
                <w:b w:val="0"/>
                <w:sz w:val="14"/>
              </w:rPr>
              <w:t>4.42x</w:t>
            </w:r>
          </w:p>
        </w:tc>
      </w:tr>
      <w:tr>
        <w:trPr>
          <w:cantSplit/>
        </w:trPr>
        <w:tc>
          <w:tcPr>
            <w:tcW w:type="dxa" w:w="2880"/>
            <w:vAlign w:val="top"/>
            <w:tcMar>
              <w:top w:w="40" w:type="dxa"/>
              <w:left w:w="40" w:type="dxa"/>
              <w:bottom w:w="40" w:type="dxa"/>
              <w:right w:w="40" w:type="dxa"/>
            </w:tcMar>
          </w:tcPr>
          <w:p>
            <w:pPr>
              <w:spacing w:after="0"/>
            </w:pPr>
            <w:r/>
            <w:r>
              <w:rPr>
                <w:b w:val="0"/>
                <w:sz w:val="14"/>
              </w:rPr>
              <w:t>pypi jinja2-3.1.3-to-3.1.4</w:t>
            </w:r>
          </w:p>
        </w:tc>
        <w:tc>
          <w:tcPr>
            <w:tcW w:type="dxa" w:w="1440"/>
            <w:vAlign w:val="top"/>
            <w:tcMar>
              <w:top w:w="40" w:type="dxa"/>
              <w:left w:w="40" w:type="dxa"/>
              <w:bottom w:w="40" w:type="dxa"/>
              <w:right w:w="40" w:type="dxa"/>
            </w:tcMar>
          </w:tcPr>
          <w:p>
            <w:pPr>
              <w:spacing w:after="0"/>
            </w:pPr>
            <w:r/>
            <w:r>
              <w:rPr>
                <w:b w:val="0"/>
                <w:sz w:val="14"/>
              </w:rPr>
              <w:t>491,214</w:t>
            </w:r>
          </w:p>
        </w:tc>
        <w:tc>
          <w:tcPr>
            <w:tcW w:type="dxa" w:w="1296"/>
            <w:vAlign w:val="top"/>
            <w:tcMar>
              <w:top w:w="40" w:type="dxa"/>
              <w:left w:w="40" w:type="dxa"/>
              <w:bottom w:w="40" w:type="dxa"/>
              <w:right w:w="40" w:type="dxa"/>
            </w:tcMar>
          </w:tcPr>
          <w:p>
            <w:pPr>
              <w:spacing w:after="0"/>
            </w:pPr>
            <w:r/>
            <w:r>
              <w:rPr>
                <w:b w:val="0"/>
                <w:sz w:val="14"/>
              </w:rPr>
              <w:t>1.09x</w:t>
            </w:r>
          </w:p>
        </w:tc>
        <w:tc>
          <w:tcPr>
            <w:tcW w:type="dxa" w:w="1584"/>
            <w:vAlign w:val="top"/>
            <w:tcMar>
              <w:top w:w="40" w:type="dxa"/>
              <w:left w:w="40" w:type="dxa"/>
              <w:bottom w:w="40" w:type="dxa"/>
              <w:right w:w="40" w:type="dxa"/>
            </w:tcMar>
          </w:tcPr>
          <w:p>
            <w:pPr>
              <w:spacing w:after="0"/>
            </w:pPr>
            <w:r/>
            <w:r>
              <w:rPr>
                <w:b w:val="0"/>
                <w:sz w:val="14"/>
              </w:rPr>
              <w:t>1.07x</w:t>
            </w:r>
          </w:p>
        </w:tc>
        <w:tc>
          <w:tcPr>
            <w:tcW w:type="dxa" w:w="1728"/>
            <w:vAlign w:val="top"/>
            <w:tcMar>
              <w:top w:w="40" w:type="dxa"/>
              <w:left w:w="40" w:type="dxa"/>
              <w:bottom w:w="40" w:type="dxa"/>
              <w:right w:w="40" w:type="dxa"/>
            </w:tcMar>
          </w:tcPr>
          <w:p>
            <w:pPr>
              <w:spacing w:after="0"/>
            </w:pPr>
            <w:r/>
            <w:r>
              <w:rPr>
                <w:b w:val="0"/>
                <w:sz w:val="14"/>
              </w:rPr>
              <w:t>170.74x</w:t>
            </w:r>
          </w:p>
        </w:tc>
        <w:tc>
          <w:tcPr>
            <w:tcW w:type="dxa" w:w="1008"/>
            <w:vAlign w:val="top"/>
            <w:tcMar>
              <w:top w:w="40" w:type="dxa"/>
              <w:left w:w="40" w:type="dxa"/>
              <w:bottom w:w="40" w:type="dxa"/>
              <w:right w:w="40" w:type="dxa"/>
            </w:tcMar>
          </w:tcPr>
          <w:p>
            <w:pPr>
              <w:spacing w:after="0"/>
            </w:pPr>
            <w:r/>
            <w:r>
              <w:rPr>
                <w:b w:val="0"/>
                <w:sz w:val="14"/>
              </w:rPr>
              <w:t>4.02x</w:t>
            </w:r>
          </w:p>
        </w:tc>
      </w:tr>
      <w:tr>
        <w:trPr>
          <w:cantSplit/>
        </w:trPr>
        <w:tc>
          <w:tcPr>
            <w:tcW w:type="dxa" w:w="2880"/>
            <w:vAlign w:val="top"/>
            <w:tcMar>
              <w:top w:w="40" w:type="dxa"/>
              <w:left w:w="40" w:type="dxa"/>
              <w:bottom w:w="40" w:type="dxa"/>
              <w:right w:w="40" w:type="dxa"/>
            </w:tcMar>
          </w:tcPr>
          <w:p>
            <w:pPr>
              <w:spacing w:after="0"/>
            </w:pPr>
            <w:r/>
            <w:r>
              <w:rPr>
                <w:b w:val="0"/>
                <w:sz w:val="14"/>
              </w:rPr>
              <w:t>pypi click-8.1.6-to-8.1.7</w:t>
            </w:r>
          </w:p>
        </w:tc>
        <w:tc>
          <w:tcPr>
            <w:tcW w:type="dxa" w:w="1440"/>
            <w:vAlign w:val="top"/>
            <w:tcMar>
              <w:top w:w="40" w:type="dxa"/>
              <w:left w:w="40" w:type="dxa"/>
              <w:bottom w:w="40" w:type="dxa"/>
              <w:right w:w="40" w:type="dxa"/>
            </w:tcMar>
          </w:tcPr>
          <w:p>
            <w:pPr>
              <w:spacing w:after="0"/>
            </w:pPr>
            <w:r/>
            <w:r>
              <w:rPr>
                <w:b w:val="0"/>
                <w:sz w:val="14"/>
              </w:rPr>
              <w:t>353,767</w:t>
            </w:r>
          </w:p>
        </w:tc>
        <w:tc>
          <w:tcPr>
            <w:tcW w:type="dxa" w:w="1296"/>
            <w:vAlign w:val="top"/>
            <w:tcMar>
              <w:top w:w="40" w:type="dxa"/>
              <w:left w:w="40" w:type="dxa"/>
              <w:bottom w:w="40" w:type="dxa"/>
              <w:right w:w="40" w:type="dxa"/>
            </w:tcMar>
          </w:tcPr>
          <w:p>
            <w:pPr>
              <w:spacing w:after="0"/>
            </w:pPr>
            <w:r/>
            <w:r>
              <w:rPr>
                <w:b w:val="0"/>
                <w:sz w:val="14"/>
              </w:rPr>
              <w:t>10.93x</w:t>
            </w:r>
          </w:p>
        </w:tc>
        <w:tc>
          <w:tcPr>
            <w:tcW w:type="dxa" w:w="1584"/>
            <w:vAlign w:val="top"/>
            <w:tcMar>
              <w:top w:w="40" w:type="dxa"/>
              <w:left w:w="40" w:type="dxa"/>
              <w:bottom w:w="40" w:type="dxa"/>
              <w:right w:w="40" w:type="dxa"/>
            </w:tcMar>
          </w:tcPr>
          <w:p>
            <w:pPr>
              <w:spacing w:after="0"/>
            </w:pPr>
            <w:r/>
            <w:r>
              <w:rPr>
                <w:b w:val="0"/>
                <w:sz w:val="14"/>
              </w:rPr>
              <w:t>8.92x</w:t>
            </w:r>
          </w:p>
        </w:tc>
        <w:tc>
          <w:tcPr>
            <w:tcW w:type="dxa" w:w="1728"/>
            <w:vAlign w:val="top"/>
            <w:tcMar>
              <w:top w:w="40" w:type="dxa"/>
              <w:left w:w="40" w:type="dxa"/>
              <w:bottom w:w="40" w:type="dxa"/>
              <w:right w:w="40" w:type="dxa"/>
            </w:tcMar>
          </w:tcPr>
          <w:p>
            <w:pPr>
              <w:spacing w:after="0"/>
            </w:pPr>
            <w:r/>
            <w:r>
              <w:rPr>
                <w:b w:val="0"/>
                <w:sz w:val="14"/>
              </w:rPr>
              <w:t>631.73x</w:t>
            </w:r>
          </w:p>
        </w:tc>
        <w:tc>
          <w:tcPr>
            <w:tcW w:type="dxa" w:w="1008"/>
            <w:vAlign w:val="top"/>
            <w:tcMar>
              <w:top w:w="40" w:type="dxa"/>
              <w:left w:w="40" w:type="dxa"/>
              <w:bottom w:w="40" w:type="dxa"/>
              <w:right w:w="40" w:type="dxa"/>
            </w:tcMar>
          </w:tcPr>
          <w:p>
            <w:pPr>
              <w:spacing w:after="0"/>
            </w:pPr>
            <w:r/>
            <w:r>
              <w:rPr>
                <w:b w:val="0"/>
                <w:sz w:val="14"/>
              </w:rPr>
              <w:t>3.97x</w:t>
            </w:r>
          </w:p>
        </w:tc>
      </w:tr>
      <w:tr>
        <w:trPr>
          <w:cantSplit/>
        </w:trPr>
        <w:tc>
          <w:tcPr>
            <w:tcW w:type="dxa" w:w="2880"/>
            <w:vAlign w:val="top"/>
            <w:tcMar>
              <w:top w:w="40" w:type="dxa"/>
              <w:left w:w="40" w:type="dxa"/>
              <w:bottom w:w="40" w:type="dxa"/>
              <w:right w:w="40" w:type="dxa"/>
            </w:tcMar>
          </w:tcPr>
          <w:p>
            <w:pPr>
              <w:spacing w:after="0"/>
            </w:pPr>
            <w:r/>
            <w:r>
              <w:rPr>
                <w:b w:val="0"/>
                <w:sz w:val="14"/>
              </w:rPr>
              <w:t>pypi werkzeug-3.0.1-to-3.0.2</w:t>
            </w:r>
          </w:p>
        </w:tc>
        <w:tc>
          <w:tcPr>
            <w:tcW w:type="dxa" w:w="1440"/>
            <w:vAlign w:val="top"/>
            <w:tcMar>
              <w:top w:w="40" w:type="dxa"/>
              <w:left w:w="40" w:type="dxa"/>
              <w:bottom w:w="40" w:type="dxa"/>
              <w:right w:w="40" w:type="dxa"/>
            </w:tcMar>
          </w:tcPr>
          <w:p>
            <w:pPr>
              <w:spacing w:after="0"/>
            </w:pPr>
            <w:r/>
            <w:r>
              <w:rPr>
                <w:b w:val="0"/>
                <w:sz w:val="14"/>
              </w:rPr>
              <w:t>762,091</w:t>
            </w:r>
          </w:p>
        </w:tc>
        <w:tc>
          <w:tcPr>
            <w:tcW w:type="dxa" w:w="1296"/>
            <w:vAlign w:val="top"/>
            <w:tcMar>
              <w:top w:w="40" w:type="dxa"/>
              <w:left w:w="40" w:type="dxa"/>
              <w:bottom w:w="40" w:type="dxa"/>
              <w:right w:w="40" w:type="dxa"/>
            </w:tcMar>
          </w:tcPr>
          <w:p>
            <w:pPr>
              <w:spacing w:after="0"/>
            </w:pPr>
            <w:r/>
            <w:r>
              <w:rPr>
                <w:b w:val="0"/>
                <w:sz w:val="14"/>
              </w:rPr>
              <w:t>3.02x</w:t>
            </w:r>
          </w:p>
        </w:tc>
        <w:tc>
          <w:tcPr>
            <w:tcW w:type="dxa" w:w="1584"/>
            <w:vAlign w:val="top"/>
            <w:tcMar>
              <w:top w:w="40" w:type="dxa"/>
              <w:left w:w="40" w:type="dxa"/>
              <w:bottom w:w="40" w:type="dxa"/>
              <w:right w:w="40" w:type="dxa"/>
            </w:tcMar>
          </w:tcPr>
          <w:p>
            <w:pPr>
              <w:spacing w:after="0"/>
            </w:pPr>
            <w:r/>
            <w:r>
              <w:rPr>
                <w:b w:val="0"/>
                <w:sz w:val="14"/>
              </w:rPr>
              <w:t>2.83x</w:t>
            </w:r>
          </w:p>
        </w:tc>
        <w:tc>
          <w:tcPr>
            <w:tcW w:type="dxa" w:w="1728"/>
            <w:vAlign w:val="top"/>
            <w:tcMar>
              <w:top w:w="40" w:type="dxa"/>
              <w:left w:w="40" w:type="dxa"/>
              <w:bottom w:w="40" w:type="dxa"/>
              <w:right w:w="40" w:type="dxa"/>
            </w:tcMar>
          </w:tcPr>
          <w:p>
            <w:pPr>
              <w:spacing w:after="0"/>
            </w:pPr>
            <w:r/>
            <w:r>
              <w:rPr>
                <w:b w:val="0"/>
                <w:sz w:val="14"/>
              </w:rPr>
              <w:t>402.58x</w:t>
            </w:r>
          </w:p>
        </w:tc>
        <w:tc>
          <w:tcPr>
            <w:tcW w:type="dxa" w:w="1008"/>
            <w:vAlign w:val="top"/>
            <w:tcMar>
              <w:top w:w="40" w:type="dxa"/>
              <w:left w:w="40" w:type="dxa"/>
              <w:bottom w:w="40" w:type="dxa"/>
              <w:right w:w="40" w:type="dxa"/>
            </w:tcMar>
          </w:tcPr>
          <w:p>
            <w:pPr>
              <w:spacing w:after="0"/>
            </w:pPr>
            <w:r/>
            <w:r>
              <w:rPr>
                <w:b w:val="0"/>
                <w:sz w:val="14"/>
              </w:rPr>
              <w:t>3.95x</w:t>
            </w:r>
          </w:p>
        </w:tc>
      </w:tr>
      <w:tr>
        <w:trPr>
          <w:cantSplit/>
        </w:trPr>
        <w:tc>
          <w:tcPr>
            <w:tcW w:type="dxa" w:w="2880"/>
            <w:vAlign w:val="top"/>
            <w:tcMar>
              <w:top w:w="40" w:type="dxa"/>
              <w:left w:w="40" w:type="dxa"/>
              <w:bottom w:w="40" w:type="dxa"/>
              <w:right w:w="40" w:type="dxa"/>
            </w:tcMar>
          </w:tcPr>
          <w:p>
            <w:pPr>
              <w:spacing w:after="0"/>
            </w:pPr>
            <w:r/>
            <w:r>
              <w:rPr>
                <w:b w:val="0"/>
                <w:sz w:val="14"/>
              </w:rPr>
              <w:t>pypi urllib3-2.1.0-to-2.2.0</w:t>
            </w:r>
          </w:p>
        </w:tc>
        <w:tc>
          <w:tcPr>
            <w:tcW w:type="dxa" w:w="1440"/>
            <w:vAlign w:val="top"/>
            <w:tcMar>
              <w:top w:w="40" w:type="dxa"/>
              <w:left w:w="40" w:type="dxa"/>
              <w:bottom w:w="40" w:type="dxa"/>
              <w:right w:w="40" w:type="dxa"/>
            </w:tcMar>
          </w:tcPr>
          <w:p>
            <w:pPr>
              <w:spacing w:after="0"/>
            </w:pPr>
            <w:r/>
            <w:r>
              <w:rPr>
                <w:b w:val="0"/>
                <w:sz w:val="14"/>
              </w:rPr>
              <w:t>391,321</w:t>
            </w:r>
          </w:p>
        </w:tc>
        <w:tc>
          <w:tcPr>
            <w:tcW w:type="dxa" w:w="1296"/>
            <w:vAlign w:val="top"/>
            <w:tcMar>
              <w:top w:w="40" w:type="dxa"/>
              <w:left w:w="40" w:type="dxa"/>
              <w:bottom w:w="40" w:type="dxa"/>
              <w:right w:w="40" w:type="dxa"/>
            </w:tcMar>
          </w:tcPr>
          <w:p>
            <w:pPr>
              <w:spacing w:after="0"/>
            </w:pPr>
            <w:r/>
            <w:r>
              <w:rPr>
                <w:b w:val="0"/>
                <w:sz w:val="14"/>
              </w:rPr>
              <w:t>1.86x</w:t>
            </w:r>
          </w:p>
        </w:tc>
        <w:tc>
          <w:tcPr>
            <w:tcW w:type="dxa" w:w="1584"/>
            <w:vAlign w:val="top"/>
            <w:tcMar>
              <w:top w:w="40" w:type="dxa"/>
              <w:left w:w="40" w:type="dxa"/>
              <w:bottom w:w="40" w:type="dxa"/>
              <w:right w:w="40" w:type="dxa"/>
            </w:tcMar>
          </w:tcPr>
          <w:p>
            <w:pPr>
              <w:spacing w:after="0"/>
            </w:pPr>
            <w:r/>
            <w:r>
              <w:rPr>
                <w:b w:val="0"/>
                <w:sz w:val="14"/>
              </w:rPr>
              <w:t>1.78x</w:t>
            </w:r>
          </w:p>
        </w:tc>
        <w:tc>
          <w:tcPr>
            <w:tcW w:type="dxa" w:w="1728"/>
            <w:vAlign w:val="top"/>
            <w:tcMar>
              <w:top w:w="40" w:type="dxa"/>
              <w:left w:w="40" w:type="dxa"/>
              <w:bottom w:w="40" w:type="dxa"/>
              <w:right w:w="40" w:type="dxa"/>
            </w:tcMar>
          </w:tcPr>
          <w:p>
            <w:pPr>
              <w:spacing w:after="0"/>
            </w:pPr>
            <w:r/>
            <w:r>
              <w:rPr>
                <w:b w:val="0"/>
                <w:sz w:val="14"/>
              </w:rPr>
              <w:t>29.51x</w:t>
            </w:r>
          </w:p>
        </w:tc>
        <w:tc>
          <w:tcPr>
            <w:tcW w:type="dxa" w:w="1008"/>
            <w:vAlign w:val="top"/>
            <w:tcMar>
              <w:top w:w="40" w:type="dxa"/>
              <w:left w:w="40" w:type="dxa"/>
              <w:bottom w:w="40" w:type="dxa"/>
              <w:right w:w="40" w:type="dxa"/>
            </w:tcMar>
          </w:tcPr>
          <w:p>
            <w:pPr>
              <w:spacing w:after="0"/>
            </w:pPr>
            <w:r/>
            <w:r>
              <w:rPr>
                <w:b w:val="0"/>
                <w:sz w:val="14"/>
              </w:rPr>
              <w:t>3.80x</w:t>
            </w:r>
          </w:p>
        </w:tc>
      </w:tr>
      <w:tr>
        <w:trPr>
          <w:cantSplit/>
        </w:trPr>
        <w:tc>
          <w:tcPr>
            <w:tcW w:type="dxa" w:w="2880"/>
            <w:vAlign w:val="top"/>
            <w:tcMar>
              <w:top w:w="40" w:type="dxa"/>
              <w:left w:w="40" w:type="dxa"/>
              <w:bottom w:w="40" w:type="dxa"/>
              <w:right w:w="40" w:type="dxa"/>
            </w:tcMar>
          </w:tcPr>
          <w:p>
            <w:pPr>
              <w:spacing w:after="0"/>
            </w:pPr>
            <w:r/>
            <w:r>
              <w:rPr>
                <w:b w:val="0"/>
                <w:sz w:val="14"/>
              </w:rPr>
              <w:t>pypi packaging-23.2-to-24.0</w:t>
            </w:r>
          </w:p>
        </w:tc>
        <w:tc>
          <w:tcPr>
            <w:tcW w:type="dxa" w:w="1440"/>
            <w:vAlign w:val="top"/>
            <w:tcMar>
              <w:top w:w="40" w:type="dxa"/>
              <w:left w:w="40" w:type="dxa"/>
              <w:bottom w:w="40" w:type="dxa"/>
              <w:right w:w="40" w:type="dxa"/>
            </w:tcMar>
          </w:tcPr>
          <w:p>
            <w:pPr>
              <w:spacing w:after="0"/>
            </w:pPr>
            <w:r/>
            <w:r>
              <w:rPr>
                <w:b w:val="0"/>
                <w:sz w:val="14"/>
              </w:rPr>
              <w:t>174,172</w:t>
            </w:r>
          </w:p>
        </w:tc>
        <w:tc>
          <w:tcPr>
            <w:tcW w:type="dxa" w:w="1296"/>
            <w:vAlign w:val="top"/>
            <w:tcMar>
              <w:top w:w="40" w:type="dxa"/>
              <w:left w:w="40" w:type="dxa"/>
              <w:bottom w:w="40" w:type="dxa"/>
              <w:right w:w="40" w:type="dxa"/>
            </w:tcMar>
          </w:tcPr>
          <w:p>
            <w:pPr>
              <w:spacing w:after="0"/>
            </w:pPr>
            <w:r/>
            <w:r>
              <w:rPr>
                <w:b w:val="0"/>
                <w:sz w:val="14"/>
              </w:rPr>
              <w:t>1.53x</w:t>
            </w:r>
          </w:p>
        </w:tc>
        <w:tc>
          <w:tcPr>
            <w:tcW w:type="dxa" w:w="1584"/>
            <w:vAlign w:val="top"/>
            <w:tcMar>
              <w:top w:w="40" w:type="dxa"/>
              <w:left w:w="40" w:type="dxa"/>
              <w:bottom w:w="40" w:type="dxa"/>
              <w:right w:w="40" w:type="dxa"/>
            </w:tcMar>
          </w:tcPr>
          <w:p>
            <w:pPr>
              <w:spacing w:after="0"/>
            </w:pPr>
            <w:r/>
            <w:r>
              <w:rPr>
                <w:b w:val="0"/>
                <w:sz w:val="14"/>
              </w:rPr>
              <w:t>1.47x</w:t>
            </w:r>
          </w:p>
        </w:tc>
        <w:tc>
          <w:tcPr>
            <w:tcW w:type="dxa" w:w="1728"/>
            <w:vAlign w:val="top"/>
            <w:tcMar>
              <w:top w:w="40" w:type="dxa"/>
              <w:left w:w="40" w:type="dxa"/>
              <w:bottom w:w="40" w:type="dxa"/>
              <w:right w:w="40" w:type="dxa"/>
            </w:tcMar>
          </w:tcPr>
          <w:p>
            <w:pPr>
              <w:spacing w:after="0"/>
            </w:pPr>
            <w:r/>
            <w:r>
              <w:rPr>
                <w:b w:val="0"/>
                <w:sz w:val="14"/>
              </w:rPr>
              <w:t>81.35x</w:t>
            </w:r>
          </w:p>
        </w:tc>
        <w:tc>
          <w:tcPr>
            <w:tcW w:type="dxa" w:w="1008"/>
            <w:vAlign w:val="top"/>
            <w:tcMar>
              <w:top w:w="40" w:type="dxa"/>
              <w:left w:w="40" w:type="dxa"/>
              <w:bottom w:w="40" w:type="dxa"/>
              <w:right w:w="40" w:type="dxa"/>
            </w:tcMar>
          </w:tcPr>
          <w:p>
            <w:pPr>
              <w:spacing w:after="0"/>
            </w:pPr>
            <w:r/>
            <w:r>
              <w:rPr>
                <w:b w:val="0"/>
                <w:sz w:val="14"/>
              </w:rPr>
              <w:t>3.77x</w:t>
            </w:r>
          </w:p>
        </w:tc>
      </w:tr>
    </w:tbl>
    <w:p/>
    <w:p>
      <w:pPr>
        <w:pStyle w:val="Heading1"/>
      </w:pPr>
      <w:r>
        <w:rPr>
          <w:rFonts w:ascii="Arial" w:hAnsi="Arial"/>
        </w:rPr>
        <w:t>8. Native QUIC Experiments</w:t>
      </w:r>
    </w:p>
    <w:p>
      <w:pPr>
        <w:pStyle w:val="Heading2"/>
      </w:pPr>
      <w:r>
        <w:rPr>
          <w:rFonts w:ascii="Arial" w:hAnsi="Arial"/>
        </w:rPr>
        <w:t>8.1 Stream mapping under loss</w:t>
      </w:r>
    </w:p>
    <w:p>
      <w:pPr>
        <w:spacing w:after="80" w:before="0"/>
      </w:pPr>
      <w:r>
        <w:rPr>
          <w:sz w:val="20"/>
        </w:rPr>
        <w:t>Table 13 compares raw and ReduLink stream mapping at zero and periodic datagram loss, and Table 14 reports positive and negative workload cases. Every run verifies the ephemeral server certificate, uses a fresh record-key surrogate/context, checks HELLO metadata, and reconstructs exactly. The compressed-negative control correctly yields no gain. The Redis-layered corpus reaches 21.37x in the offline model but about 3.83x over QUIC because the native experiment uses 1 KiB chunks, pays the 95-byte native framing profile (79 + 16-byte scope) rather than the model's 32-byte REF charge, and deliberately withholds every seventh dictionary chunk, forcing 72 payload-bearing repairs. Offline tables isolate representation accounting; QUIC tables are end-to-end stream evidence.</w:t>
      </w:r>
    </w:p>
    <w:p>
      <w:pPr>
        <w:keepNext/>
        <w:spacing w:after="40" w:before="120"/>
      </w:pPr>
      <w:r>
        <w:rPr>
          <w:b/>
          <w:sz w:val="18"/>
        </w:rPr>
        <w:t>Table 13. Native aioquic stream mapping: raw versus ReduLink under zero and periodic datagram loss.</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cantSplit/>
          <w:tblHeader w:val="true"/>
        </w:trPr>
        <w:tc>
          <w:tcPr>
            <w:tcW w:type="dxa" w:w="2592"/>
            <w:vAlign w:val="top"/>
            <w:tcMar>
              <w:top w:w="40" w:type="dxa"/>
              <w:left w:w="40" w:type="dxa"/>
              <w:bottom w:w="40" w:type="dxa"/>
              <w:right w:w="40" w:type="dxa"/>
            </w:tcMar>
          </w:tcPr>
          <w:p>
            <w:pPr>
              <w:spacing w:after="0"/>
            </w:pPr>
            <w:r/>
            <w:r>
              <w:rPr>
                <w:b/>
                <w:sz w:val="16"/>
              </w:rPr>
              <w:t>Method</w:t>
            </w:r>
          </w:p>
        </w:tc>
        <w:tc>
          <w:tcPr>
            <w:tcW w:type="dxa" w:w="1296"/>
            <w:vAlign w:val="top"/>
            <w:tcMar>
              <w:top w:w="40" w:type="dxa"/>
              <w:left w:w="40" w:type="dxa"/>
              <w:bottom w:w="40" w:type="dxa"/>
              <w:right w:w="40" w:type="dxa"/>
            </w:tcMar>
          </w:tcPr>
          <w:p>
            <w:pPr>
              <w:spacing w:after="0"/>
            </w:pPr>
            <w:r/>
            <w:r>
              <w:rPr>
                <w:b/>
                <w:sz w:val="16"/>
              </w:rPr>
              <w:t>Loss every</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152"/>
            <w:vAlign w:val="top"/>
            <w:tcMar>
              <w:top w:w="40" w:type="dxa"/>
              <w:left w:w="40" w:type="dxa"/>
              <w:bottom w:w="40" w:type="dxa"/>
              <w:right w:w="40" w:type="dxa"/>
            </w:tcMar>
          </w:tcPr>
          <w:p>
            <w:pPr>
              <w:spacing w:after="0"/>
            </w:pPr>
            <w:r/>
            <w:r>
              <w:rPr>
                <w:b/>
                <w:sz w:val="16"/>
              </w:rPr>
              <w:t>Recon.</w:t>
            </w:r>
          </w:p>
        </w:tc>
      </w:tr>
      <w:tr>
        <w:trPr>
          <w:cantSplit/>
        </w:trP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0.90x</w:t>
            </w:r>
          </w:p>
        </w:tc>
        <w:tc>
          <w:tcPr>
            <w:tcW w:type="dxa" w:w="1152"/>
            <w:vAlign w:val="top"/>
            <w:tcMar>
              <w:top w:w="40" w:type="dxa"/>
              <w:left w:w="40" w:type="dxa"/>
              <w:bottom w:w="40" w:type="dxa"/>
              <w:right w:w="40" w:type="dxa"/>
            </w:tcMar>
          </w:tcPr>
          <w:p>
            <w:pPr>
              <w:spacing w:after="0"/>
            </w:pPr>
            <w:r/>
            <w:r>
              <w:rPr>
                <w:b w:val="0"/>
                <w:sz w:val="16"/>
              </w:rPr>
              <w:t>OK</w:t>
            </w:r>
          </w:p>
        </w:tc>
      </w:tr>
      <w:tr>
        <w:trPr>
          <w:cantSplit/>
        </w:trP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2.60x</w:t>
            </w:r>
          </w:p>
        </w:tc>
        <w:tc>
          <w:tcPr>
            <w:tcW w:type="dxa" w:w="1152"/>
            <w:vAlign w:val="top"/>
            <w:tcMar>
              <w:top w:w="40" w:type="dxa"/>
              <w:left w:w="40" w:type="dxa"/>
              <w:bottom w:w="40" w:type="dxa"/>
              <w:right w:w="40" w:type="dxa"/>
            </w:tcMar>
          </w:tcPr>
          <w:p>
            <w:pPr>
              <w:spacing w:after="0"/>
            </w:pPr>
            <w:r/>
            <w:r>
              <w:rPr>
                <w:b w:val="0"/>
                <w:sz w:val="16"/>
              </w:rPr>
              <w:t>OK</w:t>
            </w:r>
          </w:p>
        </w:tc>
      </w:tr>
      <w:tr>
        <w:trPr>
          <w:cantSplit/>
        </w:trP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0.80x</w:t>
            </w:r>
          </w:p>
        </w:tc>
        <w:tc>
          <w:tcPr>
            <w:tcW w:type="dxa" w:w="1152"/>
            <w:vAlign w:val="top"/>
            <w:tcMar>
              <w:top w:w="40" w:type="dxa"/>
              <w:left w:w="40" w:type="dxa"/>
              <w:bottom w:w="40" w:type="dxa"/>
              <w:right w:w="40" w:type="dxa"/>
            </w:tcMar>
          </w:tcPr>
          <w:p>
            <w:pPr>
              <w:spacing w:after="0"/>
            </w:pPr>
            <w:r/>
            <w:r>
              <w:rPr>
                <w:b w:val="0"/>
                <w:sz w:val="16"/>
              </w:rPr>
              <w:t>OK</w:t>
            </w:r>
          </w:p>
        </w:tc>
      </w:tr>
      <w:tr>
        <w:trPr>
          <w:cantSplit/>
        </w:trP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2.34x</w:t>
            </w:r>
          </w:p>
        </w:tc>
        <w:tc>
          <w:tcPr>
            <w:tcW w:type="dxa" w:w="1152"/>
            <w:vAlign w:val="top"/>
            <w:tcMar>
              <w:top w:w="40" w:type="dxa"/>
              <w:left w:w="40" w:type="dxa"/>
              <w:bottom w:w="40" w:type="dxa"/>
              <w:right w:w="40" w:type="dxa"/>
            </w:tcMar>
          </w:tcPr>
          <w:p>
            <w:pPr>
              <w:spacing w:after="0"/>
            </w:pPr>
            <w:r/>
            <w:r>
              <w:rPr>
                <w:b w:val="0"/>
                <w:sz w:val="16"/>
              </w:rPr>
              <w:t>OK</w:t>
            </w:r>
          </w:p>
        </w:tc>
      </w:tr>
    </w:tbl>
    <w:p/>
    <w:p>
      <w:pPr>
        <w:keepNext/>
        <w:spacing w:after="40" w:before="120"/>
      </w:pPr>
      <w:r>
        <w:rPr>
          <w:b/>
          <w:sz w:val="18"/>
        </w:rPr>
        <w:t>Table 14. Native aioquic stream mapping across positive and negative workload cases.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cantSplit/>
          <w:tblHeader w:val="true"/>
        </w:trPr>
        <w:tc>
          <w:tcPr>
            <w:tcW w:type="dxa" w:w="2592"/>
            <w:vAlign w:val="top"/>
            <w:tcMar>
              <w:top w:w="40" w:type="dxa"/>
              <w:left w:w="40" w:type="dxa"/>
              <w:bottom w:w="40" w:type="dxa"/>
              <w:right w:w="40" w:type="dxa"/>
            </w:tcMar>
          </w:tcPr>
          <w:p>
            <w:pPr>
              <w:spacing w:after="0"/>
            </w:pPr>
            <w:r/>
            <w:r>
              <w:rPr>
                <w:b/>
                <w:sz w:val="16"/>
              </w:rPr>
              <w:t>Case</w:t>
            </w:r>
          </w:p>
        </w:tc>
        <w:tc>
          <w:tcPr>
            <w:tcW w:type="dxa" w:w="1296"/>
            <w:vAlign w:val="top"/>
            <w:tcMar>
              <w:top w:w="40" w:type="dxa"/>
              <w:left w:w="40" w:type="dxa"/>
              <w:bottom w:w="40" w:type="dxa"/>
              <w:right w:w="40" w:type="dxa"/>
            </w:tcMar>
          </w:tcPr>
          <w:p>
            <w:pPr>
              <w:spacing w:after="0"/>
            </w:pPr>
            <w:r/>
            <w:r>
              <w:rPr>
                <w:b/>
                <w:sz w:val="16"/>
              </w:rPr>
              <w:t>Input</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008"/>
            <w:vAlign w:val="top"/>
            <w:tcMar>
              <w:top w:w="40" w:type="dxa"/>
              <w:left w:w="40" w:type="dxa"/>
              <w:bottom w:w="40" w:type="dxa"/>
              <w:right w:w="40" w:type="dxa"/>
            </w:tcMar>
          </w:tcPr>
          <w:p>
            <w:pPr>
              <w:spacing w:after="0"/>
            </w:pPr>
            <w:r/>
            <w:r>
              <w:rPr>
                <w:b/>
                <w:sz w:val="16"/>
              </w:rPr>
              <w:t>Misses</w:t>
            </w:r>
          </w:p>
        </w:tc>
        <w:tc>
          <w:tcPr>
            <w:tcW w:type="dxa" w:w="1008"/>
            <w:vAlign w:val="top"/>
            <w:tcMar>
              <w:top w:w="40" w:type="dxa"/>
              <w:left w:w="40" w:type="dxa"/>
              <w:bottom w:w="40" w:type="dxa"/>
              <w:right w:w="40" w:type="dxa"/>
            </w:tcMar>
          </w:tcPr>
          <w:p>
            <w:pPr>
              <w:spacing w:after="0"/>
            </w:pPr>
            <w:r/>
            <w:r>
              <w:rPr>
                <w:b/>
                <w:sz w:val="16"/>
              </w:rPr>
              <w:t>Recon.</w:t>
            </w:r>
          </w:p>
        </w:tc>
      </w:tr>
      <w:tr>
        <w:trPr>
          <w:cantSplit/>
        </w:trPr>
        <w:tc>
          <w:tcPr>
            <w:tcW w:type="dxa" w:w="2592"/>
            <w:vAlign w:val="top"/>
            <w:tcMar>
              <w:top w:w="40" w:type="dxa"/>
              <w:left w:w="40" w:type="dxa"/>
              <w:bottom w:w="40" w:type="dxa"/>
              <w:right w:w="40" w:type="dxa"/>
            </w:tcMar>
          </w:tcPr>
          <w:p>
            <w:pPr>
              <w:spacing w:after="0"/>
            </w:pPr>
            <w:r/>
            <w:r>
              <w:rPr>
                <w:b w:val="0"/>
                <w:sz w:val="16"/>
              </w:rPr>
              <w:t>demo positive</w:t>
            </w:r>
          </w:p>
        </w:tc>
        <w:tc>
          <w:tcPr>
            <w:tcW w:type="dxa" w:w="1296"/>
            <w:vAlign w:val="top"/>
            <w:tcMar>
              <w:top w:w="40" w:type="dxa"/>
              <w:left w:w="40" w:type="dxa"/>
              <w:bottom w:w="40" w:type="dxa"/>
              <w:right w:w="40" w:type="dxa"/>
            </w:tcMar>
          </w:tcPr>
          <w:p>
            <w:pPr>
              <w:spacing w:after="0"/>
            </w:pPr>
            <w:r/>
            <w:r>
              <w:rPr>
                <w:b w:val="0"/>
                <w:sz w:val="16"/>
              </w:rPr>
              <w:t>98,304</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2.60x</w:t>
            </w:r>
          </w:p>
        </w:tc>
        <w:tc>
          <w:tcPr>
            <w:tcW w:type="dxa" w:w="1008"/>
            <w:vAlign w:val="top"/>
            <w:tcMar>
              <w:top w:w="40" w:type="dxa"/>
              <w:left w:w="40" w:type="dxa"/>
              <w:bottom w:w="40" w:type="dxa"/>
              <w:right w:w="40" w:type="dxa"/>
            </w:tcMar>
          </w:tcPr>
          <w:p>
            <w:pPr>
              <w:spacing w:after="0"/>
            </w:pPr>
            <w:r/>
            <w:r>
              <w:rPr>
                <w:b w:val="0"/>
                <w:sz w:val="16"/>
              </w:rPr>
              <w:t>13</w:t>
            </w:r>
          </w:p>
        </w:tc>
        <w:tc>
          <w:tcPr>
            <w:tcW w:type="dxa" w:w="1008"/>
            <w:vAlign w:val="top"/>
            <w:tcMar>
              <w:top w:w="40" w:type="dxa"/>
              <w:left w:w="40" w:type="dxa"/>
              <w:bottom w:w="40" w:type="dxa"/>
              <w:right w:w="40" w:type="dxa"/>
            </w:tcMar>
          </w:tcPr>
          <w:p>
            <w:pPr>
              <w:spacing w:after="0"/>
            </w:pPr>
            <w:r/>
            <w:r>
              <w:rPr>
                <w:b w:val="0"/>
                <w:sz w:val="16"/>
              </w:rPr>
              <w:t>OK</w:t>
            </w:r>
          </w:p>
        </w:tc>
      </w:tr>
      <w:tr>
        <w:trPr>
          <w:cantSplit/>
        </w:trPr>
        <w:tc>
          <w:tcPr>
            <w:tcW w:type="dxa" w:w="2592"/>
            <w:vAlign w:val="top"/>
            <w:tcMar>
              <w:top w:w="40" w:type="dxa"/>
              <w:left w:w="40" w:type="dxa"/>
              <w:bottom w:w="40" w:type="dxa"/>
              <w:right w:w="40" w:type="dxa"/>
            </w:tcMar>
          </w:tcPr>
          <w:p>
            <w:pPr>
              <w:spacing w:after="0"/>
            </w:pPr>
            <w:r/>
            <w:r>
              <w:rPr>
                <w:b w:val="0"/>
                <w:sz w:val="16"/>
              </w:rPr>
              <w:t>compressed negative</w:t>
            </w:r>
          </w:p>
        </w:tc>
        <w:tc>
          <w:tcPr>
            <w:tcW w:type="dxa" w:w="1296"/>
            <w:vAlign w:val="top"/>
            <w:tcMar>
              <w:top w:w="40" w:type="dxa"/>
              <w:left w:w="40" w:type="dxa"/>
              <w:bottom w:w="40" w:type="dxa"/>
              <w:right w:w="40" w:type="dxa"/>
            </w:tcMar>
          </w:tcPr>
          <w:p>
            <w:pPr>
              <w:spacing w:after="0"/>
            </w:pPr>
            <w:r/>
            <w:r>
              <w:rPr>
                <w:b w:val="0"/>
                <w:sz w:val="16"/>
              </w:rPr>
              <w:t>262,242</w:t>
            </w:r>
          </w:p>
        </w:tc>
        <w:tc>
          <w:tcPr>
            <w:tcW w:type="dxa" w:w="1296"/>
            <w:vAlign w:val="top"/>
            <w:tcMar>
              <w:top w:w="40" w:type="dxa"/>
              <w:left w:w="40" w:type="dxa"/>
              <w:bottom w:w="40" w:type="dxa"/>
              <w:right w:w="40" w:type="dxa"/>
            </w:tcMar>
          </w:tcPr>
          <w:p>
            <w:pPr>
              <w:spacing w:after="0"/>
            </w:pPr>
            <w:r/>
            <w:r>
              <w:rPr>
                <w:b w:val="0"/>
                <w:sz w:val="16"/>
              </w:rPr>
              <w:t>0.91x</w:t>
            </w:r>
          </w:p>
        </w:tc>
        <w:tc>
          <w:tcPr>
            <w:tcW w:type="dxa" w:w="1296"/>
            <w:vAlign w:val="top"/>
            <w:tcMar>
              <w:top w:w="40" w:type="dxa"/>
              <w:left w:w="40" w:type="dxa"/>
              <w:bottom w:w="40" w:type="dxa"/>
              <w:right w:w="40" w:type="dxa"/>
            </w:tcMar>
          </w:tcPr>
          <w:p>
            <w:pPr>
              <w:spacing w:after="0"/>
            </w:pPr>
            <w:r/>
            <w:r>
              <w:rPr>
                <w:b w:val="0"/>
                <w:sz w:val="16"/>
              </w:rPr>
              <w:t>0.85x</w:t>
            </w:r>
          </w:p>
        </w:tc>
        <w:tc>
          <w:tcPr>
            <w:tcW w:type="dxa" w:w="1008"/>
            <w:vAlign w:val="top"/>
            <w:tcMar>
              <w:top w:w="40" w:type="dxa"/>
              <w:left w:w="40" w:type="dxa"/>
              <w:bottom w:w="40" w:type="dxa"/>
              <w:right w:w="40" w:type="dxa"/>
            </w:tcMar>
          </w:tcPr>
          <w:p>
            <w:pPr>
              <w:spacing w:after="0"/>
            </w:pPr>
            <w:r/>
            <w:r>
              <w:rPr>
                <w:b w:val="0"/>
                <w:sz w:val="16"/>
              </w:rPr>
              <w:t>0</w:t>
            </w:r>
          </w:p>
        </w:tc>
        <w:tc>
          <w:tcPr>
            <w:tcW w:type="dxa" w:w="1008"/>
            <w:vAlign w:val="top"/>
            <w:tcMar>
              <w:top w:w="40" w:type="dxa"/>
              <w:left w:w="40" w:type="dxa"/>
              <w:bottom w:w="40" w:type="dxa"/>
              <w:right w:w="40" w:type="dxa"/>
            </w:tcMar>
          </w:tcPr>
          <w:p>
            <w:pPr>
              <w:spacing w:after="0"/>
            </w:pPr>
            <w:r/>
            <w:r>
              <w:rPr>
                <w:b w:val="0"/>
                <w:sz w:val="16"/>
              </w:rPr>
              <w:t>OK</w:t>
            </w:r>
          </w:p>
        </w:tc>
      </w:tr>
      <w:tr>
        <w:trPr>
          <w:cantSplit/>
        </w:trPr>
        <w:tc>
          <w:tcPr>
            <w:tcW w:type="dxa" w:w="2592"/>
            <w:vAlign w:val="top"/>
            <w:tcMar>
              <w:top w:w="40" w:type="dxa"/>
              <w:left w:w="40" w:type="dxa"/>
              <w:bottom w:w="40" w:type="dxa"/>
              <w:right w:w="40" w:type="dxa"/>
            </w:tcMar>
          </w:tcPr>
          <w:p>
            <w:pPr>
              <w:spacing w:after="0"/>
            </w:pPr>
            <w:r/>
            <w:r>
              <w:rPr>
                <w:b w:val="0"/>
                <w:sz w:val="16"/>
              </w:rPr>
              <w:t>Redis layered</w:t>
            </w:r>
          </w:p>
        </w:tc>
        <w:tc>
          <w:tcPr>
            <w:tcW w:type="dxa" w:w="1296"/>
            <w:vAlign w:val="top"/>
            <w:tcMar>
              <w:top w:w="40" w:type="dxa"/>
              <w:left w:w="40" w:type="dxa"/>
              <w:bottom w:w="40" w:type="dxa"/>
              <w:right w:w="40" w:type="dxa"/>
            </w:tcMar>
          </w:tcPr>
          <w:p>
            <w:pPr>
              <w:spacing w:after="0"/>
            </w:pPr>
            <w:r/>
            <w:r>
              <w:rPr>
                <w:b w:val="0"/>
                <w:sz w:val="16"/>
              </w:rPr>
              <w:t>524,288</w:t>
            </w:r>
          </w:p>
        </w:tc>
        <w:tc>
          <w:tcPr>
            <w:tcW w:type="dxa" w:w="1296"/>
            <w:vAlign w:val="top"/>
            <w:tcMar>
              <w:top w:w="40" w:type="dxa"/>
              <w:left w:w="40" w:type="dxa"/>
              <w:bottom w:w="40" w:type="dxa"/>
              <w:right w:w="40" w:type="dxa"/>
            </w:tcMar>
          </w:tcPr>
          <w:p>
            <w:pPr>
              <w:spacing w:after="0"/>
            </w:pPr>
            <w:r/>
            <w:r>
              <w:rPr>
                <w:b w:val="0"/>
                <w:sz w:val="16"/>
              </w:rPr>
              <w:t>3.83x</w:t>
            </w:r>
          </w:p>
        </w:tc>
        <w:tc>
          <w:tcPr>
            <w:tcW w:type="dxa" w:w="1296"/>
            <w:vAlign w:val="top"/>
            <w:tcMar>
              <w:top w:w="40" w:type="dxa"/>
              <w:left w:w="40" w:type="dxa"/>
              <w:bottom w:w="40" w:type="dxa"/>
              <w:right w:w="40" w:type="dxa"/>
            </w:tcMar>
          </w:tcPr>
          <w:p>
            <w:pPr>
              <w:spacing w:after="0"/>
            </w:pPr>
            <w:r/>
            <w:r>
              <w:rPr>
                <w:b w:val="0"/>
                <w:sz w:val="16"/>
              </w:rPr>
              <w:t>3.50x</w:t>
            </w:r>
          </w:p>
        </w:tc>
        <w:tc>
          <w:tcPr>
            <w:tcW w:type="dxa" w:w="1008"/>
            <w:vAlign w:val="top"/>
            <w:tcMar>
              <w:top w:w="40" w:type="dxa"/>
              <w:left w:w="40" w:type="dxa"/>
              <w:bottom w:w="40" w:type="dxa"/>
              <w:right w:w="40" w:type="dxa"/>
            </w:tcMar>
          </w:tcPr>
          <w:p>
            <w:pPr>
              <w:spacing w:after="0"/>
            </w:pPr>
            <w:r/>
            <w:r>
              <w:rPr>
                <w:b w:val="0"/>
                <w:sz w:val="16"/>
              </w:rPr>
              <w:t>72</w:t>
            </w:r>
          </w:p>
        </w:tc>
        <w:tc>
          <w:tcPr>
            <w:tcW w:type="dxa" w:w="1008"/>
            <w:vAlign w:val="top"/>
            <w:tcMar>
              <w:top w:w="40" w:type="dxa"/>
              <w:left w:w="40" w:type="dxa"/>
              <w:bottom w:w="40" w:type="dxa"/>
              <w:right w:w="40" w:type="dxa"/>
            </w:tcMar>
          </w:tcPr>
          <w:p>
            <w:pPr>
              <w:spacing w:after="0"/>
            </w:pPr>
            <w:r/>
            <w:r>
              <w:rPr>
                <w:b w:val="0"/>
                <w:sz w:val="16"/>
              </w:rPr>
              <w:t>OK</w:t>
            </w:r>
          </w:p>
        </w:tc>
      </w:tr>
    </w:tbl>
    <w:p/>
    <w:p>
      <w:pPr>
        <w:jc w:val="center"/>
      </w:pPr>
      <w:r>
        <w:drawing>
          <wp:inline xmlns:a="http://schemas.openxmlformats.org/drawingml/2006/main" xmlns:pic="http://schemas.openxmlformats.org/drawingml/2006/picture">
            <wp:extent cx="5852160" cy="3009682"/>
            <wp:docPr id="4" name="Picture 4"/>
            <wp:cNvGraphicFramePr>
              <a:graphicFrameLocks noChangeAspect="1"/>
            </wp:cNvGraphicFramePr>
            <a:graphic>
              <a:graphicData uri="http://schemas.openxmlformats.org/drawingml/2006/picture">
                <pic:pic>
                  <pic:nvPicPr>
                    <pic:cNvPr id="0" name="quic_workload_cases.png"/>
                    <pic:cNvPicPr/>
                  </pic:nvPicPr>
                  <pic:blipFill>
                    <a:blip r:embed="rId13"/>
                    <a:stretch>
                      <a:fillRect/>
                    </a:stretch>
                  </pic:blipFill>
                  <pic:spPr>
                    <a:xfrm>
                      <a:off x="0" y="0"/>
                      <a:ext cx="5852160" cy="3009682"/>
                    </a:xfrm>
                    <a:prstGeom prst="rect"/>
                  </pic:spPr>
                </pic:pic>
              </a:graphicData>
            </a:graphic>
          </wp:inline>
        </w:drawing>
      </w:r>
    </w:p>
    <w:p>
      <w:pPr>
        <w:spacing w:after="120" w:before="0"/>
      </w:pPr>
      <w:r>
        <w:rPr>
          <w:sz w:val="18"/>
        </w:rPr>
        <w:t>Figure 4. Native aioquic stream mapping on positive and negative workload cases.</w:t>
      </w:r>
    </w:p>
    <w:p>
      <w:pPr>
        <w:pStyle w:val="Heading2"/>
      </w:pPr>
      <w:r>
        <w:rPr>
          <w:rFonts w:ascii="Arial" w:hAnsi="Arial"/>
        </w:rPr>
        <w:t>8.2 Repeated trials and scaling</w:t>
      </w:r>
    </w:p>
    <w:p>
      <w:pPr>
        <w:spacing w:after="80" w:before="0"/>
      </w:pPr>
      <w:r>
        <w:rPr>
          <w:sz w:val="20"/>
        </w:rPr>
        <w:t>Table 15 reports 20 repeated trials of the native demo workload. The ReduLink stream multiplier is near-deterministic for fixed bytes, while elapsed times vary across localhost runs; reporting both avoids selecting one favorable timing. Table 16 scales from 96 to 16,384 blocks (96 KiB to 16 MiB). With the default 8,192-chunk budget, the 16,384-chunk warm set overflows the LRU; sequential FULL admission cascade-evicts remaining warm entries and degrades to a FULL-only 0.92x while still reconstructing exactly. Raising the budget to 24,576 restores 3.96x. Dictionary sizing relative to the warm working set is therefore a provisioning requirement; the single-run elapsed times are host-dependent diagnostics, not a speedup claim.</w:t>
      </w:r>
    </w:p>
    <w:p>
      <w:pPr>
        <w:keepNext/>
        <w:spacing w:after="40" w:before="120"/>
      </w:pPr>
      <w:r>
        <w:rPr>
          <w:b/>
          <w:sz w:val="18"/>
        </w:rPr>
        <w:t>Table 15. Repeated native QUIC trials (n = 20): run-to-run stability of multipliers and elapsed time.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cantSplit/>
          <w:tblHeader w:val="true"/>
        </w:trPr>
        <w:tc>
          <w:tcPr>
            <w:tcW w:type="dxa" w:w="2880"/>
            <w:vAlign w:val="top"/>
            <w:tcMar>
              <w:top w:w="40" w:type="dxa"/>
              <w:left w:w="40" w:type="dxa"/>
              <w:bottom w:w="40" w:type="dxa"/>
              <w:right w:w="40" w:type="dxa"/>
            </w:tcMar>
          </w:tcPr>
          <w:p>
            <w:pPr>
              <w:spacing w:after="0"/>
            </w:pPr>
            <w:r/>
            <w:r>
              <w:rPr>
                <w:b/>
                <w:sz w:val="14"/>
              </w:rPr>
              <w:t>Metric</w:t>
            </w:r>
          </w:p>
        </w:tc>
        <w:tc>
          <w:tcPr>
            <w:tcW w:type="dxa" w:w="720"/>
            <w:vAlign w:val="top"/>
            <w:tcMar>
              <w:top w:w="40" w:type="dxa"/>
              <w:left w:w="40" w:type="dxa"/>
              <w:bottom w:w="40" w:type="dxa"/>
              <w:right w:w="40" w:type="dxa"/>
            </w:tcMar>
          </w:tcPr>
          <w:p>
            <w:pPr>
              <w:spacing w:after="0"/>
            </w:pPr>
            <w:r/>
            <w:r>
              <w:rPr>
                <w:b/>
                <w:sz w:val="14"/>
              </w:rPr>
              <w:t>n</w:t>
            </w:r>
          </w:p>
        </w:tc>
        <w:tc>
          <w:tcPr>
            <w:tcW w:type="dxa" w:w="1440"/>
            <w:vAlign w:val="top"/>
            <w:tcMar>
              <w:top w:w="40" w:type="dxa"/>
              <w:left w:w="40" w:type="dxa"/>
              <w:bottom w:w="40" w:type="dxa"/>
              <w:right w:w="40" w:type="dxa"/>
            </w:tcMar>
          </w:tcPr>
          <w:p>
            <w:pPr>
              <w:spacing w:after="0"/>
            </w:pPr>
            <w:r/>
            <w:r>
              <w:rPr>
                <w:b/>
                <w:sz w:val="14"/>
              </w:rPr>
              <w:t>Mean</w:t>
            </w:r>
          </w:p>
        </w:tc>
        <w:tc>
          <w:tcPr>
            <w:tcW w:type="dxa" w:w="1440"/>
            <w:vAlign w:val="top"/>
            <w:tcMar>
              <w:top w:w="40" w:type="dxa"/>
              <w:left w:w="40" w:type="dxa"/>
              <w:bottom w:w="40" w:type="dxa"/>
              <w:right w:w="40" w:type="dxa"/>
            </w:tcMar>
          </w:tcPr>
          <w:p>
            <w:pPr>
              <w:spacing w:after="0"/>
            </w:pPr>
            <w:r/>
            <w:r>
              <w:rPr>
                <w:b/>
                <w:sz w:val="14"/>
              </w:rPr>
              <w:t>Std. dev.</w:t>
            </w:r>
          </w:p>
        </w:tc>
        <w:tc>
          <w:tcPr>
            <w:tcW w:type="dxa" w:w="1440"/>
            <w:vAlign w:val="top"/>
            <w:tcMar>
              <w:top w:w="40" w:type="dxa"/>
              <w:left w:w="40" w:type="dxa"/>
              <w:bottom w:w="40" w:type="dxa"/>
              <w:right w:w="40" w:type="dxa"/>
            </w:tcMar>
          </w:tcPr>
          <w:p>
            <w:pPr>
              <w:spacing w:after="0"/>
            </w:pPr>
            <w:r/>
            <w:r>
              <w:rPr>
                <w:b/>
                <w:sz w:val="14"/>
              </w:rPr>
              <w:t>Min</w:t>
            </w:r>
          </w:p>
        </w:tc>
        <w:tc>
          <w:tcPr>
            <w:tcW w:type="dxa" w:w="1440"/>
            <w:vAlign w:val="top"/>
            <w:tcMar>
              <w:top w:w="40" w:type="dxa"/>
              <w:left w:w="40" w:type="dxa"/>
              <w:bottom w:w="40" w:type="dxa"/>
              <w:right w:w="40" w:type="dxa"/>
            </w:tcMar>
          </w:tcPr>
          <w:p>
            <w:pPr>
              <w:spacing w:after="0"/>
            </w:pPr>
            <w:r/>
            <w:r>
              <w:rPr>
                <w:b/>
                <w:sz w:val="14"/>
              </w:rPr>
              <w:t>Max</w:t>
            </w:r>
          </w:p>
        </w:tc>
      </w:tr>
      <w:tr>
        <w:trPr>
          <w:cantSplit/>
        </w:trPr>
        <w:tc>
          <w:tcPr>
            <w:tcW w:type="dxa" w:w="2880"/>
            <w:vAlign w:val="top"/>
            <w:tcMar>
              <w:top w:w="40" w:type="dxa"/>
              <w:left w:w="40" w:type="dxa"/>
              <w:bottom w:w="40" w:type="dxa"/>
              <w:right w:w="40" w:type="dxa"/>
            </w:tcMar>
          </w:tcPr>
          <w:p>
            <w:pPr>
              <w:spacing w:after="0"/>
            </w:pPr>
            <w:r/>
            <w:r>
              <w:rPr>
                <w:b w:val="0"/>
                <w:sz w:val="14"/>
              </w:rPr>
              <w:t>raw client ms</w:t>
            </w:r>
          </w:p>
        </w:tc>
        <w:tc>
          <w:tcPr>
            <w:tcW w:type="dxa" w:w="720"/>
            <w:vAlign w:val="top"/>
            <w:tcMar>
              <w:top w:w="40" w:type="dxa"/>
              <w:left w:w="40" w:type="dxa"/>
              <w:bottom w:w="40" w:type="dxa"/>
              <w:right w:w="40" w:type="dxa"/>
            </w:tcMar>
          </w:tcPr>
          <w:p>
            <w:pPr>
              <w:spacing w:after="0"/>
            </w:pPr>
            <w:r/>
            <w:r>
              <w:rPr>
                <w:b w:val="0"/>
                <w:sz w:val="14"/>
              </w:rPr>
              <w:t>20</w:t>
            </w:r>
          </w:p>
        </w:tc>
        <w:tc>
          <w:tcPr>
            <w:tcW w:type="dxa" w:w="1440"/>
            <w:vAlign w:val="top"/>
            <w:tcMar>
              <w:top w:w="40" w:type="dxa"/>
              <w:left w:w="40" w:type="dxa"/>
              <w:bottom w:w="40" w:type="dxa"/>
              <w:right w:w="40" w:type="dxa"/>
            </w:tcMar>
          </w:tcPr>
          <w:p>
            <w:pPr>
              <w:spacing w:after="0"/>
            </w:pPr>
            <w:r/>
            <w:r>
              <w:rPr>
                <w:b w:val="0"/>
                <w:sz w:val="14"/>
              </w:rPr>
              <w:t>103.185400</w:t>
            </w:r>
          </w:p>
        </w:tc>
        <w:tc>
          <w:tcPr>
            <w:tcW w:type="dxa" w:w="1440"/>
            <w:vAlign w:val="top"/>
            <w:tcMar>
              <w:top w:w="40" w:type="dxa"/>
              <w:left w:w="40" w:type="dxa"/>
              <w:bottom w:w="40" w:type="dxa"/>
              <w:right w:w="40" w:type="dxa"/>
            </w:tcMar>
          </w:tcPr>
          <w:p>
            <w:pPr>
              <w:spacing w:after="0"/>
            </w:pPr>
            <w:r/>
            <w:r>
              <w:rPr>
                <w:b w:val="0"/>
                <w:sz w:val="14"/>
              </w:rPr>
              <w:t>4.531822</w:t>
            </w:r>
          </w:p>
        </w:tc>
        <w:tc>
          <w:tcPr>
            <w:tcW w:type="dxa" w:w="1440"/>
            <w:vAlign w:val="top"/>
            <w:tcMar>
              <w:top w:w="40" w:type="dxa"/>
              <w:left w:w="40" w:type="dxa"/>
              <w:bottom w:w="40" w:type="dxa"/>
              <w:right w:w="40" w:type="dxa"/>
            </w:tcMar>
          </w:tcPr>
          <w:p>
            <w:pPr>
              <w:spacing w:after="0"/>
            </w:pPr>
            <w:r/>
            <w:r>
              <w:rPr>
                <w:b w:val="0"/>
                <w:sz w:val="14"/>
              </w:rPr>
              <w:t>99.378000</w:t>
            </w:r>
          </w:p>
        </w:tc>
        <w:tc>
          <w:tcPr>
            <w:tcW w:type="dxa" w:w="1440"/>
            <w:vAlign w:val="top"/>
            <w:tcMar>
              <w:top w:w="40" w:type="dxa"/>
              <w:left w:w="40" w:type="dxa"/>
              <w:bottom w:w="40" w:type="dxa"/>
              <w:right w:w="40" w:type="dxa"/>
            </w:tcMar>
          </w:tcPr>
          <w:p>
            <w:pPr>
              <w:spacing w:after="0"/>
            </w:pPr>
            <w:r/>
            <w:r>
              <w:rPr>
                <w:b w:val="0"/>
                <w:sz w:val="14"/>
              </w:rPr>
              <w:t>120.714000</w:t>
            </w:r>
          </w:p>
        </w:tc>
      </w:tr>
      <w:tr>
        <w:trPr>
          <w:cantSplit/>
        </w:trPr>
        <w:tc>
          <w:tcPr>
            <w:tcW w:type="dxa" w:w="2880"/>
            <w:vAlign w:val="top"/>
            <w:tcMar>
              <w:top w:w="40" w:type="dxa"/>
              <w:left w:w="40" w:type="dxa"/>
              <w:bottom w:w="40" w:type="dxa"/>
              <w:right w:w="40" w:type="dxa"/>
            </w:tcMar>
          </w:tcPr>
          <w:p>
            <w:pPr>
              <w:spacing w:after="0"/>
            </w:pPr>
            <w:r/>
            <w:r>
              <w:rPr>
                <w:b w:val="0"/>
                <w:sz w:val="14"/>
              </w:rPr>
              <w:t>redulink stream multiplier</w:t>
            </w:r>
          </w:p>
        </w:tc>
        <w:tc>
          <w:tcPr>
            <w:tcW w:type="dxa" w:w="720"/>
            <w:vAlign w:val="top"/>
            <w:tcMar>
              <w:top w:w="40" w:type="dxa"/>
              <w:left w:w="40" w:type="dxa"/>
              <w:bottom w:w="40" w:type="dxa"/>
              <w:right w:w="40" w:type="dxa"/>
            </w:tcMar>
          </w:tcPr>
          <w:p>
            <w:pPr>
              <w:spacing w:after="0"/>
            </w:pPr>
            <w:r/>
            <w:r>
              <w:rPr>
                <w:b w:val="0"/>
                <w:sz w:val="14"/>
              </w:rPr>
              <w:t>20</w:t>
            </w:r>
          </w:p>
        </w:tc>
        <w:tc>
          <w:tcPr>
            <w:tcW w:type="dxa" w:w="1440"/>
            <w:vAlign w:val="top"/>
            <w:tcMar>
              <w:top w:w="40" w:type="dxa"/>
              <w:left w:w="40" w:type="dxa"/>
              <w:bottom w:w="40" w:type="dxa"/>
              <w:right w:w="40" w:type="dxa"/>
            </w:tcMar>
          </w:tcPr>
          <w:p>
            <w:pPr>
              <w:spacing w:after="0"/>
            </w:pPr>
            <w:r/>
            <w:r>
              <w:rPr>
                <w:b w:val="0"/>
                <w:sz w:val="14"/>
              </w:rPr>
              <w:t>3.190150</w:t>
            </w:r>
          </w:p>
        </w:tc>
        <w:tc>
          <w:tcPr>
            <w:tcW w:type="dxa" w:w="1440"/>
            <w:vAlign w:val="top"/>
            <w:tcMar>
              <w:top w:w="40" w:type="dxa"/>
              <w:left w:w="40" w:type="dxa"/>
              <w:bottom w:w="40" w:type="dxa"/>
              <w:right w:w="40" w:type="dxa"/>
            </w:tcMar>
          </w:tcPr>
          <w:p>
            <w:pPr>
              <w:spacing w:after="0"/>
            </w:pPr>
            <w:r/>
            <w:r>
              <w:rPr>
                <w:b w:val="0"/>
                <w:sz w:val="14"/>
              </w:rPr>
              <w:t>0.000038</w:t>
            </w:r>
          </w:p>
        </w:tc>
        <w:tc>
          <w:tcPr>
            <w:tcW w:type="dxa" w:w="1440"/>
            <w:vAlign w:val="top"/>
            <w:tcMar>
              <w:top w:w="40" w:type="dxa"/>
              <w:left w:w="40" w:type="dxa"/>
              <w:bottom w:w="40" w:type="dxa"/>
              <w:right w:w="40" w:type="dxa"/>
            </w:tcMar>
          </w:tcPr>
          <w:p>
            <w:pPr>
              <w:spacing w:after="0"/>
            </w:pPr>
            <w:r/>
            <w:r>
              <w:rPr>
                <w:b w:val="0"/>
                <w:sz w:val="14"/>
              </w:rPr>
              <w:t>3.190135</w:t>
            </w:r>
          </w:p>
        </w:tc>
        <w:tc>
          <w:tcPr>
            <w:tcW w:type="dxa" w:w="1440"/>
            <w:vAlign w:val="top"/>
            <w:tcMar>
              <w:top w:w="40" w:type="dxa"/>
              <w:left w:w="40" w:type="dxa"/>
              <w:bottom w:w="40" w:type="dxa"/>
              <w:right w:w="40" w:type="dxa"/>
            </w:tcMar>
          </w:tcPr>
          <w:p>
            <w:pPr>
              <w:spacing w:after="0"/>
            </w:pPr>
            <w:r/>
            <w:r>
              <w:rPr>
                <w:b w:val="0"/>
                <w:sz w:val="14"/>
              </w:rPr>
              <w:t>3.190238</w:t>
            </w:r>
          </w:p>
        </w:tc>
      </w:tr>
      <w:tr>
        <w:trPr>
          <w:cantSplit/>
        </w:trPr>
        <w:tc>
          <w:tcPr>
            <w:tcW w:type="dxa" w:w="2880"/>
            <w:vAlign w:val="top"/>
            <w:tcMar>
              <w:top w:w="40" w:type="dxa"/>
              <w:left w:w="40" w:type="dxa"/>
              <w:bottom w:w="40" w:type="dxa"/>
              <w:right w:w="40" w:type="dxa"/>
            </w:tcMar>
          </w:tcPr>
          <w:p>
            <w:pPr>
              <w:spacing w:after="0"/>
            </w:pPr>
            <w:r/>
            <w:r>
              <w:rPr>
                <w:b w:val="0"/>
                <w:sz w:val="14"/>
              </w:rPr>
              <w:t>redulink udp est multiplier</w:t>
            </w:r>
          </w:p>
        </w:tc>
        <w:tc>
          <w:tcPr>
            <w:tcW w:type="dxa" w:w="720"/>
            <w:vAlign w:val="top"/>
            <w:tcMar>
              <w:top w:w="40" w:type="dxa"/>
              <w:left w:w="40" w:type="dxa"/>
              <w:bottom w:w="40" w:type="dxa"/>
              <w:right w:w="40" w:type="dxa"/>
            </w:tcMar>
          </w:tcPr>
          <w:p>
            <w:pPr>
              <w:spacing w:after="0"/>
            </w:pPr>
            <w:r/>
            <w:r>
              <w:rPr>
                <w:b w:val="0"/>
                <w:sz w:val="14"/>
              </w:rPr>
              <w:t>20</w:t>
            </w:r>
          </w:p>
        </w:tc>
        <w:tc>
          <w:tcPr>
            <w:tcW w:type="dxa" w:w="1440"/>
            <w:vAlign w:val="top"/>
            <w:tcMar>
              <w:top w:w="40" w:type="dxa"/>
              <w:left w:w="40" w:type="dxa"/>
              <w:bottom w:w="40" w:type="dxa"/>
              <w:right w:w="40" w:type="dxa"/>
            </w:tcMar>
          </w:tcPr>
          <w:p>
            <w:pPr>
              <w:spacing w:after="0"/>
            </w:pPr>
            <w:r/>
            <w:r>
              <w:rPr>
                <w:b w:val="0"/>
                <w:sz w:val="14"/>
              </w:rPr>
              <w:t>2.602875</w:t>
            </w:r>
          </w:p>
        </w:tc>
        <w:tc>
          <w:tcPr>
            <w:tcW w:type="dxa" w:w="1440"/>
            <w:vAlign w:val="top"/>
            <w:tcMar>
              <w:top w:w="40" w:type="dxa"/>
              <w:left w:w="40" w:type="dxa"/>
              <w:bottom w:w="40" w:type="dxa"/>
              <w:right w:w="40" w:type="dxa"/>
            </w:tcMar>
          </w:tcPr>
          <w:p>
            <w:pPr>
              <w:spacing w:after="0"/>
            </w:pPr>
            <w:r/>
            <w:r>
              <w:rPr>
                <w:b w:val="0"/>
                <w:sz w:val="14"/>
              </w:rPr>
              <w:t>0.003894</w:t>
            </w:r>
          </w:p>
        </w:tc>
        <w:tc>
          <w:tcPr>
            <w:tcW w:type="dxa" w:w="1440"/>
            <w:vAlign w:val="top"/>
            <w:tcMar>
              <w:top w:w="40" w:type="dxa"/>
              <w:left w:w="40" w:type="dxa"/>
              <w:bottom w:w="40" w:type="dxa"/>
              <w:right w:w="40" w:type="dxa"/>
            </w:tcMar>
          </w:tcPr>
          <w:p>
            <w:pPr>
              <w:spacing w:after="0"/>
            </w:pPr>
            <w:r/>
            <w:r>
              <w:rPr>
                <w:b w:val="0"/>
                <w:sz w:val="14"/>
              </w:rPr>
              <w:t>2.596102</w:t>
            </w:r>
          </w:p>
        </w:tc>
        <w:tc>
          <w:tcPr>
            <w:tcW w:type="dxa" w:w="1440"/>
            <w:vAlign w:val="top"/>
            <w:tcMar>
              <w:top w:w="40" w:type="dxa"/>
              <w:left w:w="40" w:type="dxa"/>
              <w:bottom w:w="40" w:type="dxa"/>
              <w:right w:w="40" w:type="dxa"/>
            </w:tcMar>
          </w:tcPr>
          <w:p>
            <w:pPr>
              <w:spacing w:after="0"/>
            </w:pPr>
            <w:r/>
            <w:r>
              <w:rPr>
                <w:b w:val="0"/>
                <w:sz w:val="14"/>
              </w:rPr>
              <w:t>2.608294</w:t>
            </w:r>
          </w:p>
        </w:tc>
      </w:tr>
      <w:tr>
        <w:trPr>
          <w:cantSplit/>
        </w:trPr>
        <w:tc>
          <w:tcPr>
            <w:tcW w:type="dxa" w:w="2880"/>
            <w:vAlign w:val="top"/>
            <w:tcMar>
              <w:top w:w="40" w:type="dxa"/>
              <w:left w:w="40" w:type="dxa"/>
              <w:bottom w:w="40" w:type="dxa"/>
              <w:right w:w="40" w:type="dxa"/>
            </w:tcMar>
          </w:tcPr>
          <w:p>
            <w:pPr>
              <w:spacing w:after="0"/>
            </w:pPr>
            <w:r/>
            <w:r>
              <w:rPr>
                <w:b w:val="0"/>
                <w:sz w:val="14"/>
              </w:rPr>
              <w:t>redulink client ms</w:t>
            </w:r>
          </w:p>
        </w:tc>
        <w:tc>
          <w:tcPr>
            <w:tcW w:type="dxa" w:w="720"/>
            <w:vAlign w:val="top"/>
            <w:tcMar>
              <w:top w:w="40" w:type="dxa"/>
              <w:left w:w="40" w:type="dxa"/>
              <w:bottom w:w="40" w:type="dxa"/>
              <w:right w:w="40" w:type="dxa"/>
            </w:tcMar>
          </w:tcPr>
          <w:p>
            <w:pPr>
              <w:spacing w:after="0"/>
            </w:pPr>
            <w:r/>
            <w:r>
              <w:rPr>
                <w:b w:val="0"/>
                <w:sz w:val="14"/>
              </w:rPr>
              <w:t>20</w:t>
            </w:r>
          </w:p>
        </w:tc>
        <w:tc>
          <w:tcPr>
            <w:tcW w:type="dxa" w:w="1440"/>
            <w:vAlign w:val="top"/>
            <w:tcMar>
              <w:top w:w="40" w:type="dxa"/>
              <w:left w:w="40" w:type="dxa"/>
              <w:bottom w:w="40" w:type="dxa"/>
              <w:right w:w="40" w:type="dxa"/>
            </w:tcMar>
          </w:tcPr>
          <w:p>
            <w:pPr>
              <w:spacing w:after="0"/>
            </w:pPr>
            <w:r/>
            <w:r>
              <w:rPr>
                <w:b w:val="0"/>
                <w:sz w:val="14"/>
              </w:rPr>
              <w:t>101.877150</w:t>
            </w:r>
          </w:p>
        </w:tc>
        <w:tc>
          <w:tcPr>
            <w:tcW w:type="dxa" w:w="1440"/>
            <w:vAlign w:val="top"/>
            <w:tcMar>
              <w:top w:w="40" w:type="dxa"/>
              <w:left w:w="40" w:type="dxa"/>
              <w:bottom w:w="40" w:type="dxa"/>
              <w:right w:w="40" w:type="dxa"/>
            </w:tcMar>
          </w:tcPr>
          <w:p>
            <w:pPr>
              <w:spacing w:after="0"/>
            </w:pPr>
            <w:r/>
            <w:r>
              <w:rPr>
                <w:b w:val="0"/>
                <w:sz w:val="14"/>
              </w:rPr>
              <w:t>3.900543</w:t>
            </w:r>
          </w:p>
        </w:tc>
        <w:tc>
          <w:tcPr>
            <w:tcW w:type="dxa" w:w="1440"/>
            <w:vAlign w:val="top"/>
            <w:tcMar>
              <w:top w:w="40" w:type="dxa"/>
              <w:left w:w="40" w:type="dxa"/>
              <w:bottom w:w="40" w:type="dxa"/>
              <w:right w:w="40" w:type="dxa"/>
            </w:tcMar>
          </w:tcPr>
          <w:p>
            <w:pPr>
              <w:spacing w:after="0"/>
            </w:pPr>
            <w:r/>
            <w:r>
              <w:rPr>
                <w:b w:val="0"/>
                <w:sz w:val="14"/>
              </w:rPr>
              <w:t>99.065000</w:t>
            </w:r>
          </w:p>
        </w:tc>
        <w:tc>
          <w:tcPr>
            <w:tcW w:type="dxa" w:w="1440"/>
            <w:vAlign w:val="top"/>
            <w:tcMar>
              <w:top w:w="40" w:type="dxa"/>
              <w:left w:w="40" w:type="dxa"/>
              <w:bottom w:w="40" w:type="dxa"/>
              <w:right w:w="40" w:type="dxa"/>
            </w:tcMar>
          </w:tcPr>
          <w:p>
            <w:pPr>
              <w:spacing w:after="0"/>
            </w:pPr>
            <w:r/>
            <w:r>
              <w:rPr>
                <w:b w:val="0"/>
                <w:sz w:val="14"/>
              </w:rPr>
              <w:t>116.933000</w:t>
            </w:r>
          </w:p>
        </w:tc>
      </w:tr>
    </w:tbl>
    <w:p/>
    <w:p>
      <w:pPr>
        <w:keepNext/>
        <w:spacing w:after="40" w:before="120"/>
      </w:pPr>
      <w:r>
        <w:rPr>
          <w:b/>
          <w:sz w:val="18"/>
        </w:rPr>
        <w:t>Table 16. Payload scaling of the native aioquic stream mapping, including the dictionary-budget overflow and recovery at 16 MiB.</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rPr>
          <w:cantSplit/>
          <w:tblHeader w:val="true"/>
        </w:trPr>
        <w:tc>
          <w:tcPr>
            <w:tcW w:type="dxa" w:w="1296"/>
            <w:vAlign w:val="top"/>
            <w:tcMar>
              <w:top w:w="40" w:type="dxa"/>
              <w:left w:w="40" w:type="dxa"/>
              <w:bottom w:w="40" w:type="dxa"/>
              <w:right w:w="40" w:type="dxa"/>
            </w:tcMar>
          </w:tcPr>
          <w:p>
            <w:pPr>
              <w:spacing w:after="0"/>
            </w:pPr>
            <w:r/>
            <w:r>
              <w:rPr>
                <w:b/>
                <w:sz w:val="14"/>
              </w:rPr>
              <w:t>Blocks</w:t>
            </w:r>
          </w:p>
        </w:tc>
        <w:tc>
          <w:tcPr>
            <w:tcW w:type="dxa" w:w="1584"/>
            <w:vAlign w:val="top"/>
            <w:tcMar>
              <w:top w:w="40" w:type="dxa"/>
              <w:left w:w="40" w:type="dxa"/>
              <w:bottom w:w="40" w:type="dxa"/>
              <w:right w:w="40" w:type="dxa"/>
            </w:tcMar>
          </w:tcPr>
          <w:p>
            <w:pPr>
              <w:spacing w:after="0"/>
            </w:pPr>
            <w:r/>
            <w:r>
              <w:rPr>
                <w:b/>
                <w:sz w:val="14"/>
              </w:rPr>
              <w:t>Input bytes</w:t>
            </w:r>
          </w:p>
        </w:tc>
        <w:tc>
          <w:tcPr>
            <w:tcW w:type="dxa" w:w="1296"/>
            <w:vAlign w:val="top"/>
            <w:tcMar>
              <w:top w:w="40" w:type="dxa"/>
              <w:left w:w="40" w:type="dxa"/>
              <w:bottom w:w="40" w:type="dxa"/>
              <w:right w:w="40" w:type="dxa"/>
            </w:tcMar>
          </w:tcPr>
          <w:p>
            <w:pPr>
              <w:spacing w:after="0"/>
            </w:pPr>
            <w:r/>
            <w:r>
              <w:rPr>
                <w:b/>
                <w:sz w:val="14"/>
              </w:rPr>
              <w:t>Dict budget</w:t>
            </w:r>
          </w:p>
        </w:tc>
        <w:tc>
          <w:tcPr>
            <w:tcW w:type="dxa" w:w="1152"/>
            <w:vAlign w:val="top"/>
            <w:tcMar>
              <w:top w:w="40" w:type="dxa"/>
              <w:left w:w="40" w:type="dxa"/>
              <w:bottom w:w="40" w:type="dxa"/>
              <w:right w:w="40" w:type="dxa"/>
            </w:tcMar>
          </w:tcPr>
          <w:p>
            <w:pPr>
              <w:spacing w:after="0"/>
            </w:pPr>
            <w:r/>
            <w:r>
              <w:rPr>
                <w:b/>
                <w:sz w:val="14"/>
              </w:rPr>
              <w:t>Stream x</w:t>
            </w:r>
          </w:p>
        </w:tc>
        <w:tc>
          <w:tcPr>
            <w:tcW w:type="dxa" w:w="1152"/>
            <w:vAlign w:val="top"/>
            <w:tcMar>
              <w:top w:w="40" w:type="dxa"/>
              <w:left w:w="40" w:type="dxa"/>
              <w:bottom w:w="40" w:type="dxa"/>
              <w:right w:w="40" w:type="dxa"/>
            </w:tcMar>
          </w:tcPr>
          <w:p>
            <w:pPr>
              <w:spacing w:after="0"/>
            </w:pPr>
            <w:r/>
            <w:r>
              <w:rPr>
                <w:b/>
                <w:sz w:val="14"/>
              </w:rPr>
              <w:t>Misses</w:t>
            </w:r>
          </w:p>
        </w:tc>
        <w:tc>
          <w:tcPr>
            <w:tcW w:type="dxa" w:w="1296"/>
            <w:vAlign w:val="top"/>
            <w:tcMar>
              <w:top w:w="40" w:type="dxa"/>
              <w:left w:w="40" w:type="dxa"/>
              <w:bottom w:w="40" w:type="dxa"/>
              <w:right w:w="40" w:type="dxa"/>
            </w:tcMar>
          </w:tcPr>
          <w:p>
            <w:pPr>
              <w:spacing w:after="0"/>
            </w:pPr>
            <w:r/>
            <w:r>
              <w:rPr>
                <w:b/>
                <w:sz w:val="14"/>
              </w:rPr>
              <w:t>Client ms</w:t>
            </w:r>
          </w:p>
        </w:tc>
        <w:tc>
          <w:tcPr>
            <w:tcW w:type="dxa" w:w="1008"/>
            <w:vAlign w:val="top"/>
            <w:tcMar>
              <w:top w:w="40" w:type="dxa"/>
              <w:left w:w="40" w:type="dxa"/>
              <w:bottom w:w="40" w:type="dxa"/>
              <w:right w:w="40" w:type="dxa"/>
            </w:tcMar>
          </w:tcPr>
          <w:p>
            <w:pPr>
              <w:spacing w:after="0"/>
            </w:pPr>
            <w:r/>
            <w:r>
              <w:rPr>
                <w:b/>
                <w:sz w:val="14"/>
              </w:rPr>
              <w:t>Recon.</w:t>
            </w:r>
          </w:p>
        </w:tc>
      </w:tr>
      <w:tr>
        <w:trPr>
          <w:cantSplit/>
        </w:trPr>
        <w:tc>
          <w:tcPr>
            <w:tcW w:type="dxa" w:w="1296"/>
            <w:vAlign w:val="top"/>
            <w:tcMar>
              <w:top w:w="40" w:type="dxa"/>
              <w:left w:w="40" w:type="dxa"/>
              <w:bottom w:w="40" w:type="dxa"/>
              <w:right w:w="40" w:type="dxa"/>
            </w:tcMar>
          </w:tcPr>
          <w:p>
            <w:pPr>
              <w:spacing w:after="0"/>
            </w:pPr>
            <w:r/>
            <w:r>
              <w:rPr>
                <w:b w:val="0"/>
                <w:sz w:val="14"/>
              </w:rPr>
              <w:t>96</w:t>
            </w:r>
          </w:p>
        </w:tc>
        <w:tc>
          <w:tcPr>
            <w:tcW w:type="dxa" w:w="1584"/>
            <w:vAlign w:val="top"/>
            <w:tcMar>
              <w:top w:w="40" w:type="dxa"/>
              <w:left w:w="40" w:type="dxa"/>
              <w:bottom w:w="40" w:type="dxa"/>
              <w:right w:w="40" w:type="dxa"/>
            </w:tcMar>
          </w:tcPr>
          <w:p>
            <w:pPr>
              <w:spacing w:after="0"/>
            </w:pPr>
            <w:r/>
            <w:r>
              <w:rPr>
                <w:b w:val="0"/>
                <w:sz w:val="14"/>
              </w:rPr>
              <w:t>98,304</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3.19x</w:t>
            </w:r>
          </w:p>
        </w:tc>
        <w:tc>
          <w:tcPr>
            <w:tcW w:type="dxa" w:w="1152"/>
            <w:vAlign w:val="top"/>
            <w:tcMar>
              <w:top w:w="40" w:type="dxa"/>
              <w:left w:w="40" w:type="dxa"/>
              <w:bottom w:w="40" w:type="dxa"/>
              <w:right w:w="40" w:type="dxa"/>
            </w:tcMar>
          </w:tcPr>
          <w:p>
            <w:pPr>
              <w:spacing w:after="0"/>
            </w:pPr>
            <w:r/>
            <w:r>
              <w:rPr>
                <w:b w:val="0"/>
                <w:sz w:val="14"/>
              </w:rPr>
              <w:t>13</w:t>
            </w:r>
          </w:p>
        </w:tc>
        <w:tc>
          <w:tcPr>
            <w:tcW w:type="dxa" w:w="1296"/>
            <w:vAlign w:val="top"/>
            <w:tcMar>
              <w:top w:w="40" w:type="dxa"/>
              <w:left w:w="40" w:type="dxa"/>
              <w:bottom w:w="40" w:type="dxa"/>
              <w:right w:w="40" w:type="dxa"/>
            </w:tcMar>
          </w:tcPr>
          <w:p>
            <w:pPr>
              <w:spacing w:after="0"/>
            </w:pPr>
            <w:r/>
            <w:r>
              <w:rPr>
                <w:b w:val="0"/>
                <w:sz w:val="14"/>
              </w:rPr>
              <w:t>103.1</w:t>
            </w:r>
          </w:p>
        </w:tc>
        <w:tc>
          <w:tcPr>
            <w:tcW w:type="dxa" w:w="1008"/>
            <w:vAlign w:val="top"/>
            <w:tcMar>
              <w:top w:w="40" w:type="dxa"/>
              <w:left w:w="40" w:type="dxa"/>
              <w:bottom w:w="40" w:type="dxa"/>
              <w:right w:w="40" w:type="dxa"/>
            </w:tcMar>
          </w:tcPr>
          <w:p>
            <w:pPr>
              <w:spacing w:after="0"/>
            </w:pPr>
            <w:r/>
            <w:r>
              <w:rPr>
                <w:b w:val="0"/>
                <w:sz w:val="14"/>
              </w:rPr>
              <w:t>OK</w:t>
            </w:r>
          </w:p>
        </w:tc>
      </w:tr>
      <w:tr>
        <w:trPr>
          <w:cantSplit/>
        </w:trPr>
        <w:tc>
          <w:tcPr>
            <w:tcW w:type="dxa" w:w="1296"/>
            <w:vAlign w:val="top"/>
            <w:tcMar>
              <w:top w:w="40" w:type="dxa"/>
              <w:left w:w="40" w:type="dxa"/>
              <w:bottom w:w="40" w:type="dxa"/>
              <w:right w:w="40" w:type="dxa"/>
            </w:tcMar>
          </w:tcPr>
          <w:p>
            <w:pPr>
              <w:spacing w:after="0"/>
            </w:pPr>
            <w:r/>
            <w:r>
              <w:rPr>
                <w:b w:val="0"/>
                <w:sz w:val="14"/>
              </w:rPr>
              <w:t>512</w:t>
            </w:r>
          </w:p>
        </w:tc>
        <w:tc>
          <w:tcPr>
            <w:tcW w:type="dxa" w:w="1584"/>
            <w:vAlign w:val="top"/>
            <w:tcMar>
              <w:top w:w="40" w:type="dxa"/>
              <w:left w:w="40" w:type="dxa"/>
              <w:bottom w:w="40" w:type="dxa"/>
              <w:right w:w="40" w:type="dxa"/>
            </w:tcMar>
          </w:tcPr>
          <w:p>
            <w:pPr>
              <w:spacing w:after="0"/>
            </w:pPr>
            <w:r/>
            <w:r>
              <w:rPr>
                <w:b w:val="0"/>
                <w:sz w:val="14"/>
              </w:rPr>
              <w:t>524,288</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3.77x</w:t>
            </w:r>
          </w:p>
        </w:tc>
        <w:tc>
          <w:tcPr>
            <w:tcW w:type="dxa" w:w="1152"/>
            <w:vAlign w:val="top"/>
            <w:tcMar>
              <w:top w:w="40" w:type="dxa"/>
              <w:left w:w="40" w:type="dxa"/>
              <w:bottom w:w="40" w:type="dxa"/>
              <w:right w:w="40" w:type="dxa"/>
            </w:tcMar>
          </w:tcPr>
          <w:p>
            <w:pPr>
              <w:spacing w:after="0"/>
            </w:pPr>
            <w:r/>
            <w:r>
              <w:rPr>
                <w:b w:val="0"/>
                <w:sz w:val="14"/>
              </w:rPr>
              <w:t>73</w:t>
            </w:r>
          </w:p>
        </w:tc>
        <w:tc>
          <w:tcPr>
            <w:tcW w:type="dxa" w:w="1296"/>
            <w:vAlign w:val="top"/>
            <w:tcMar>
              <w:top w:w="40" w:type="dxa"/>
              <w:left w:w="40" w:type="dxa"/>
              <w:bottom w:w="40" w:type="dxa"/>
              <w:right w:w="40" w:type="dxa"/>
            </w:tcMar>
          </w:tcPr>
          <w:p>
            <w:pPr>
              <w:spacing w:after="0"/>
            </w:pPr>
            <w:r/>
            <w:r>
              <w:rPr>
                <w:b w:val="0"/>
                <w:sz w:val="14"/>
              </w:rPr>
              <w:t>123.7</w:t>
            </w:r>
          </w:p>
        </w:tc>
        <w:tc>
          <w:tcPr>
            <w:tcW w:type="dxa" w:w="1008"/>
            <w:vAlign w:val="top"/>
            <w:tcMar>
              <w:top w:w="40" w:type="dxa"/>
              <w:left w:w="40" w:type="dxa"/>
              <w:bottom w:w="40" w:type="dxa"/>
              <w:right w:w="40" w:type="dxa"/>
            </w:tcMar>
          </w:tcPr>
          <w:p>
            <w:pPr>
              <w:spacing w:after="0"/>
            </w:pPr>
            <w:r/>
            <w:r>
              <w:rPr>
                <w:b w:val="0"/>
                <w:sz w:val="14"/>
              </w:rPr>
              <w:t>OK</w:t>
            </w:r>
          </w:p>
        </w:tc>
      </w:tr>
      <w:tr>
        <w:trPr>
          <w:cantSplit/>
        </w:trPr>
        <w:tc>
          <w:tcPr>
            <w:tcW w:type="dxa" w:w="1296"/>
            <w:vAlign w:val="top"/>
            <w:tcMar>
              <w:top w:w="40" w:type="dxa"/>
              <w:left w:w="40" w:type="dxa"/>
              <w:bottom w:w="40" w:type="dxa"/>
              <w:right w:w="40" w:type="dxa"/>
            </w:tcMar>
          </w:tcPr>
          <w:p>
            <w:pPr>
              <w:spacing w:after="0"/>
            </w:pPr>
            <w:r/>
            <w:r>
              <w:rPr>
                <w:b w:val="0"/>
                <w:sz w:val="14"/>
              </w:rPr>
              <w:t>1024</w:t>
            </w:r>
          </w:p>
        </w:tc>
        <w:tc>
          <w:tcPr>
            <w:tcW w:type="dxa" w:w="1584"/>
            <w:vAlign w:val="top"/>
            <w:tcMar>
              <w:top w:w="40" w:type="dxa"/>
              <w:left w:w="40" w:type="dxa"/>
              <w:bottom w:w="40" w:type="dxa"/>
              <w:right w:w="40" w:type="dxa"/>
            </w:tcMar>
          </w:tcPr>
          <w:p>
            <w:pPr>
              <w:spacing w:after="0"/>
            </w:pPr>
            <w:r/>
            <w:r>
              <w:rPr>
                <w:b w:val="0"/>
                <w:sz w:val="14"/>
              </w:rPr>
              <w:t>1,048,576</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3.87x</w:t>
            </w:r>
          </w:p>
        </w:tc>
        <w:tc>
          <w:tcPr>
            <w:tcW w:type="dxa" w:w="1152"/>
            <w:vAlign w:val="top"/>
            <w:tcMar>
              <w:top w:w="40" w:type="dxa"/>
              <w:left w:w="40" w:type="dxa"/>
              <w:bottom w:w="40" w:type="dxa"/>
              <w:right w:w="40" w:type="dxa"/>
            </w:tcMar>
          </w:tcPr>
          <w:p>
            <w:pPr>
              <w:spacing w:after="0"/>
            </w:pPr>
            <w:r/>
            <w:r>
              <w:rPr>
                <w:b w:val="0"/>
                <w:sz w:val="14"/>
              </w:rPr>
              <w:t>146</w:t>
            </w:r>
          </w:p>
        </w:tc>
        <w:tc>
          <w:tcPr>
            <w:tcW w:type="dxa" w:w="1296"/>
            <w:vAlign w:val="top"/>
            <w:tcMar>
              <w:top w:w="40" w:type="dxa"/>
              <w:left w:w="40" w:type="dxa"/>
              <w:bottom w:w="40" w:type="dxa"/>
              <w:right w:w="40" w:type="dxa"/>
            </w:tcMar>
          </w:tcPr>
          <w:p>
            <w:pPr>
              <w:spacing w:after="0"/>
            </w:pPr>
            <w:r/>
            <w:r>
              <w:rPr>
                <w:b w:val="0"/>
                <w:sz w:val="14"/>
              </w:rPr>
              <w:t>150.7</w:t>
            </w:r>
          </w:p>
        </w:tc>
        <w:tc>
          <w:tcPr>
            <w:tcW w:type="dxa" w:w="1008"/>
            <w:vAlign w:val="top"/>
            <w:tcMar>
              <w:top w:w="40" w:type="dxa"/>
              <w:left w:w="40" w:type="dxa"/>
              <w:bottom w:w="40" w:type="dxa"/>
              <w:right w:w="40" w:type="dxa"/>
            </w:tcMar>
          </w:tcPr>
          <w:p>
            <w:pPr>
              <w:spacing w:after="0"/>
            </w:pPr>
            <w:r/>
            <w:r>
              <w:rPr>
                <w:b w:val="0"/>
                <w:sz w:val="14"/>
              </w:rPr>
              <w:t>OK</w:t>
            </w:r>
          </w:p>
        </w:tc>
      </w:tr>
      <w:tr>
        <w:trPr>
          <w:cantSplit/>
        </w:trPr>
        <w:tc>
          <w:tcPr>
            <w:tcW w:type="dxa" w:w="1296"/>
            <w:vAlign w:val="top"/>
            <w:tcMar>
              <w:top w:w="40" w:type="dxa"/>
              <w:left w:w="40" w:type="dxa"/>
              <w:bottom w:w="40" w:type="dxa"/>
              <w:right w:w="40" w:type="dxa"/>
            </w:tcMar>
          </w:tcPr>
          <w:p>
            <w:pPr>
              <w:spacing w:after="0"/>
            </w:pPr>
            <w:r/>
            <w:r>
              <w:rPr>
                <w:b w:val="0"/>
                <w:sz w:val="14"/>
              </w:rPr>
              <w:t>4096</w:t>
            </w:r>
          </w:p>
        </w:tc>
        <w:tc>
          <w:tcPr>
            <w:tcW w:type="dxa" w:w="1584"/>
            <w:vAlign w:val="top"/>
            <w:tcMar>
              <w:top w:w="40" w:type="dxa"/>
              <w:left w:w="40" w:type="dxa"/>
              <w:bottom w:w="40" w:type="dxa"/>
              <w:right w:w="40" w:type="dxa"/>
            </w:tcMar>
          </w:tcPr>
          <w:p>
            <w:pPr>
              <w:spacing w:after="0"/>
            </w:pPr>
            <w:r/>
            <w:r>
              <w:rPr>
                <w:b w:val="0"/>
                <w:sz w:val="14"/>
              </w:rPr>
              <w:t>4,194,304</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3.94x</w:t>
            </w:r>
          </w:p>
        </w:tc>
        <w:tc>
          <w:tcPr>
            <w:tcW w:type="dxa" w:w="1152"/>
            <w:vAlign w:val="top"/>
            <w:tcMar>
              <w:top w:w="40" w:type="dxa"/>
              <w:left w:w="40" w:type="dxa"/>
              <w:bottom w:w="40" w:type="dxa"/>
              <w:right w:w="40" w:type="dxa"/>
            </w:tcMar>
          </w:tcPr>
          <w:p>
            <w:pPr>
              <w:spacing w:after="0"/>
            </w:pPr>
            <w:r/>
            <w:r>
              <w:rPr>
                <w:b w:val="0"/>
                <w:sz w:val="14"/>
              </w:rPr>
              <w:t>585</w:t>
            </w:r>
          </w:p>
        </w:tc>
        <w:tc>
          <w:tcPr>
            <w:tcW w:type="dxa" w:w="1296"/>
            <w:vAlign w:val="top"/>
            <w:tcMar>
              <w:top w:w="40" w:type="dxa"/>
              <w:left w:w="40" w:type="dxa"/>
              <w:bottom w:w="40" w:type="dxa"/>
              <w:right w:w="40" w:type="dxa"/>
            </w:tcMar>
          </w:tcPr>
          <w:p>
            <w:pPr>
              <w:spacing w:after="0"/>
            </w:pPr>
            <w:r/>
            <w:r>
              <w:rPr>
                <w:b w:val="0"/>
                <w:sz w:val="14"/>
              </w:rPr>
              <w:t>373.1</w:t>
            </w:r>
          </w:p>
        </w:tc>
        <w:tc>
          <w:tcPr>
            <w:tcW w:type="dxa" w:w="1008"/>
            <w:vAlign w:val="top"/>
            <w:tcMar>
              <w:top w:w="40" w:type="dxa"/>
              <w:left w:w="40" w:type="dxa"/>
              <w:bottom w:w="40" w:type="dxa"/>
              <w:right w:w="40" w:type="dxa"/>
            </w:tcMar>
          </w:tcPr>
          <w:p>
            <w:pPr>
              <w:spacing w:after="0"/>
            </w:pPr>
            <w:r/>
            <w:r>
              <w:rPr>
                <w:b w:val="0"/>
                <w:sz w:val="14"/>
              </w:rPr>
              <w:t>OK</w:t>
            </w:r>
          </w:p>
        </w:tc>
      </w:tr>
      <w:tr>
        <w:trPr>
          <w:cantSplit/>
        </w:trPr>
        <w:tc>
          <w:tcPr>
            <w:tcW w:type="dxa" w:w="1296"/>
            <w:vAlign w:val="top"/>
            <w:tcMar>
              <w:top w:w="40" w:type="dxa"/>
              <w:left w:w="40" w:type="dxa"/>
              <w:bottom w:w="40" w:type="dxa"/>
              <w:right w:w="40" w:type="dxa"/>
            </w:tcMar>
          </w:tcPr>
          <w:p>
            <w:pPr>
              <w:spacing w:after="0"/>
            </w:pPr>
            <w:r/>
            <w:r>
              <w:rPr>
                <w:b w:val="0"/>
                <w:sz w:val="14"/>
              </w:rPr>
              <w:t>16384</w:t>
            </w:r>
          </w:p>
        </w:tc>
        <w:tc>
          <w:tcPr>
            <w:tcW w:type="dxa" w:w="1584"/>
            <w:vAlign w:val="top"/>
            <w:tcMar>
              <w:top w:w="40" w:type="dxa"/>
              <w:left w:w="40" w:type="dxa"/>
              <w:bottom w:w="40" w:type="dxa"/>
              <w:right w:w="40" w:type="dxa"/>
            </w:tcMar>
          </w:tcPr>
          <w:p>
            <w:pPr>
              <w:spacing w:after="0"/>
            </w:pPr>
            <w:r/>
            <w:r>
              <w:rPr>
                <w:b w:val="0"/>
                <w:sz w:val="14"/>
              </w:rPr>
              <w:t>16,777,216</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0.92x</w:t>
            </w:r>
          </w:p>
        </w:tc>
        <w:tc>
          <w:tcPr>
            <w:tcW w:type="dxa" w:w="1152"/>
            <w:vAlign w:val="top"/>
            <w:tcMar>
              <w:top w:w="40" w:type="dxa"/>
              <w:left w:w="40" w:type="dxa"/>
              <w:bottom w:w="40" w:type="dxa"/>
              <w:right w:w="40" w:type="dxa"/>
            </w:tcMar>
          </w:tcPr>
          <w:p>
            <w:pPr>
              <w:spacing w:after="0"/>
            </w:pPr>
            <w:r/>
            <w:r>
              <w:rPr>
                <w:b w:val="0"/>
                <w:sz w:val="14"/>
              </w:rPr>
              <w:t>0</w:t>
            </w:r>
          </w:p>
        </w:tc>
        <w:tc>
          <w:tcPr>
            <w:tcW w:type="dxa" w:w="1296"/>
            <w:vAlign w:val="top"/>
            <w:tcMar>
              <w:top w:w="40" w:type="dxa"/>
              <w:left w:w="40" w:type="dxa"/>
              <w:bottom w:w="40" w:type="dxa"/>
              <w:right w:w="40" w:type="dxa"/>
            </w:tcMar>
          </w:tcPr>
          <w:p>
            <w:pPr>
              <w:spacing w:after="0"/>
            </w:pPr>
            <w:r/>
            <w:r>
              <w:rPr>
                <w:b w:val="0"/>
                <w:sz w:val="14"/>
              </w:rPr>
              <w:t>2235.4</w:t>
            </w:r>
          </w:p>
        </w:tc>
        <w:tc>
          <w:tcPr>
            <w:tcW w:type="dxa" w:w="1008"/>
            <w:vAlign w:val="top"/>
            <w:tcMar>
              <w:top w:w="40" w:type="dxa"/>
              <w:left w:w="40" w:type="dxa"/>
              <w:bottom w:w="40" w:type="dxa"/>
              <w:right w:w="40" w:type="dxa"/>
            </w:tcMar>
          </w:tcPr>
          <w:p>
            <w:pPr>
              <w:spacing w:after="0"/>
            </w:pPr>
            <w:r/>
            <w:r>
              <w:rPr>
                <w:b w:val="0"/>
                <w:sz w:val="14"/>
              </w:rPr>
              <w:t>OK</w:t>
            </w:r>
          </w:p>
        </w:tc>
      </w:tr>
      <w:tr>
        <w:trPr>
          <w:cantSplit/>
        </w:trPr>
        <w:tc>
          <w:tcPr>
            <w:tcW w:type="dxa" w:w="1296"/>
            <w:vAlign w:val="top"/>
            <w:tcMar>
              <w:top w:w="40" w:type="dxa"/>
              <w:left w:w="40" w:type="dxa"/>
              <w:bottom w:w="40" w:type="dxa"/>
              <w:right w:w="40" w:type="dxa"/>
            </w:tcMar>
          </w:tcPr>
          <w:p>
            <w:pPr>
              <w:spacing w:after="0"/>
            </w:pPr>
            <w:r/>
            <w:r>
              <w:rPr>
                <w:b w:val="0"/>
                <w:sz w:val="14"/>
              </w:rPr>
              <w:t>16384</w:t>
            </w:r>
          </w:p>
        </w:tc>
        <w:tc>
          <w:tcPr>
            <w:tcW w:type="dxa" w:w="1584"/>
            <w:vAlign w:val="top"/>
            <w:tcMar>
              <w:top w:w="40" w:type="dxa"/>
              <w:left w:w="40" w:type="dxa"/>
              <w:bottom w:w="40" w:type="dxa"/>
              <w:right w:w="40" w:type="dxa"/>
            </w:tcMar>
          </w:tcPr>
          <w:p>
            <w:pPr>
              <w:spacing w:after="0"/>
            </w:pPr>
            <w:r/>
            <w:r>
              <w:rPr>
                <w:b w:val="0"/>
                <w:sz w:val="14"/>
              </w:rPr>
              <w:t>16,777,216</w:t>
            </w:r>
          </w:p>
        </w:tc>
        <w:tc>
          <w:tcPr>
            <w:tcW w:type="dxa" w:w="1296"/>
            <w:vAlign w:val="top"/>
            <w:tcMar>
              <w:top w:w="40" w:type="dxa"/>
              <w:left w:w="40" w:type="dxa"/>
              <w:bottom w:w="40" w:type="dxa"/>
              <w:right w:w="40" w:type="dxa"/>
            </w:tcMar>
          </w:tcPr>
          <w:p>
            <w:pPr>
              <w:spacing w:after="0"/>
            </w:pPr>
            <w:r/>
            <w:r>
              <w:rPr>
                <w:b w:val="0"/>
                <w:sz w:val="14"/>
              </w:rPr>
              <w:t>24,576</w:t>
            </w:r>
          </w:p>
        </w:tc>
        <w:tc>
          <w:tcPr>
            <w:tcW w:type="dxa" w:w="1152"/>
            <w:vAlign w:val="top"/>
            <w:tcMar>
              <w:top w:w="40" w:type="dxa"/>
              <w:left w:w="40" w:type="dxa"/>
              <w:bottom w:w="40" w:type="dxa"/>
              <w:right w:w="40" w:type="dxa"/>
            </w:tcMar>
          </w:tcPr>
          <w:p>
            <w:pPr>
              <w:spacing w:after="0"/>
            </w:pPr>
            <w:r/>
            <w:r>
              <w:rPr>
                <w:b w:val="0"/>
                <w:sz w:val="14"/>
              </w:rPr>
              <w:t>3.96x</w:t>
            </w:r>
          </w:p>
        </w:tc>
        <w:tc>
          <w:tcPr>
            <w:tcW w:type="dxa" w:w="1152"/>
            <w:vAlign w:val="top"/>
            <w:tcMar>
              <w:top w:w="40" w:type="dxa"/>
              <w:left w:w="40" w:type="dxa"/>
              <w:bottom w:w="40" w:type="dxa"/>
              <w:right w:w="40" w:type="dxa"/>
            </w:tcMar>
          </w:tcPr>
          <w:p>
            <w:pPr>
              <w:spacing w:after="0"/>
            </w:pPr>
            <w:r/>
            <w:r>
              <w:rPr>
                <w:b w:val="0"/>
                <w:sz w:val="14"/>
              </w:rPr>
              <w:t>2340</w:t>
            </w:r>
          </w:p>
        </w:tc>
        <w:tc>
          <w:tcPr>
            <w:tcW w:type="dxa" w:w="1296"/>
            <w:vAlign w:val="top"/>
            <w:tcMar>
              <w:top w:w="40" w:type="dxa"/>
              <w:left w:w="40" w:type="dxa"/>
              <w:bottom w:w="40" w:type="dxa"/>
              <w:right w:w="40" w:type="dxa"/>
            </w:tcMar>
          </w:tcPr>
          <w:p>
            <w:pPr>
              <w:spacing w:after="0"/>
            </w:pPr>
            <w:r/>
            <w:r>
              <w:rPr>
                <w:b w:val="0"/>
                <w:sz w:val="14"/>
              </w:rPr>
              <w:t>1768.9</w:t>
            </w:r>
          </w:p>
        </w:tc>
        <w:tc>
          <w:tcPr>
            <w:tcW w:type="dxa" w:w="1008"/>
            <w:vAlign w:val="top"/>
            <w:tcMar>
              <w:top w:w="40" w:type="dxa"/>
              <w:left w:w="40" w:type="dxa"/>
              <w:bottom w:w="40" w:type="dxa"/>
              <w:right w:w="40" w:type="dxa"/>
            </w:tcMar>
          </w:tcPr>
          <w:p>
            <w:pPr>
              <w:spacing w:after="0"/>
            </w:pPr>
            <w:r/>
            <w:r>
              <w:rPr>
                <w:b w:val="0"/>
                <w:sz w:val="14"/>
              </w:rPr>
              <w:t>OK</w:t>
            </w:r>
          </w:p>
        </w:tc>
      </w:tr>
    </w:tbl>
    <w:p/>
    <w:p>
      <w:pPr>
        <w:pStyle w:val="Heading1"/>
      </w:pPr>
      <w:r>
        <w:rPr>
          <w:rFonts w:ascii="Arial" w:hAnsi="Arial"/>
        </w:rPr>
        <w:t>9. Component Costs</w:t>
      </w:r>
    </w:p>
    <w:p>
      <w:pPr>
        <w:spacing w:after="80" w:before="0"/>
      </w:pPr>
      <w:r>
        <w:rPr>
          <w:sz w:val="20"/>
        </w:rPr>
        <w:t>Table 17 reports component-level throughput on the development Mac identified in results/component_performance.metadata.json. Fixed chunking, HMAC validation, and compact binary encoding are fast in this local run; the Python content-defined chunker is slow. A production implementation would require optimized native chunking and tighter transport integration. These are hardware-dependent diagnostics, not line-rate guarantees.</w:t>
      </w:r>
    </w:p>
    <w:p>
      <w:pPr>
        <w:keepNext/>
        <w:spacing w:after="40" w:before="120"/>
      </w:pPr>
      <w:r>
        <w:rPr>
          <w:b/>
          <w:sz w:val="18"/>
        </w:rPr>
        <w:t>Table 17. Component-level cost measurements (local Python artifact timing; not production line-rate).</w:t>
      </w:r>
    </w:p>
    <w:tbl>
      <w:tblPr>
        <w:tblStyle w:val="TableGrid"/>
        <w:tblW w:type="auto" w:w="0"/>
        <w:jc w:val="center"/>
        <w:tblLook w:firstColumn="1" w:firstRow="1" w:lastColumn="0" w:lastRow="0" w:noHBand="0" w:noVBand="1" w:val="04A0"/>
      </w:tblPr>
      <w:tblGrid>
        <w:gridCol w:w="2628"/>
        <w:gridCol w:w="2628"/>
        <w:gridCol w:w="2628"/>
        <w:gridCol w:w="2628"/>
      </w:tblGrid>
      <w:tr>
        <w:trPr>
          <w:cantSplit/>
          <w:tblHeader w:val="true"/>
        </w:trPr>
        <w:tc>
          <w:tcPr>
            <w:tcW w:type="dxa" w:w="3024"/>
            <w:vAlign w:val="top"/>
            <w:tcMar>
              <w:top w:w="40" w:type="dxa"/>
              <w:left w:w="40" w:type="dxa"/>
              <w:bottom w:w="40" w:type="dxa"/>
              <w:right w:w="40" w:type="dxa"/>
            </w:tcMar>
          </w:tcPr>
          <w:p>
            <w:pPr>
              <w:spacing w:after="0"/>
            </w:pPr>
            <w:r/>
            <w:r>
              <w:rPr>
                <w:b/>
                <w:sz w:val="16"/>
              </w:rPr>
              <w:t>Component</w:t>
            </w:r>
          </w:p>
        </w:tc>
        <w:tc>
          <w:tcPr>
            <w:tcW w:type="dxa" w:w="1728"/>
            <w:vAlign w:val="top"/>
            <w:tcMar>
              <w:top w:w="40" w:type="dxa"/>
              <w:left w:w="40" w:type="dxa"/>
              <w:bottom w:w="40" w:type="dxa"/>
              <w:right w:w="40" w:type="dxa"/>
            </w:tcMar>
          </w:tcPr>
          <w:p>
            <w:pPr>
              <w:spacing w:after="0"/>
            </w:pPr>
            <w:r/>
            <w:r>
              <w:rPr>
                <w:b/>
                <w:sz w:val="16"/>
              </w:rPr>
              <w:t>Input bytes</w:t>
            </w:r>
          </w:p>
        </w:tc>
        <w:tc>
          <w:tcPr>
            <w:tcW w:type="dxa" w:w="1584"/>
            <w:vAlign w:val="top"/>
            <w:tcMar>
              <w:top w:w="40" w:type="dxa"/>
              <w:left w:w="40" w:type="dxa"/>
              <w:bottom w:w="40" w:type="dxa"/>
              <w:right w:w="40" w:type="dxa"/>
            </w:tcMar>
          </w:tcPr>
          <w:p>
            <w:pPr>
              <w:spacing w:after="0"/>
            </w:pPr>
            <w:r/>
            <w:r>
              <w:rPr>
                <w:b/>
                <w:sz w:val="16"/>
              </w:rPr>
              <w:t>MiB/s local</w:t>
            </w:r>
          </w:p>
        </w:tc>
        <w:tc>
          <w:tcPr>
            <w:tcW w:type="dxa" w:w="1728"/>
            <w:vAlign w:val="top"/>
            <w:tcMar>
              <w:top w:w="40" w:type="dxa"/>
              <w:left w:w="40" w:type="dxa"/>
              <w:bottom w:w="40" w:type="dxa"/>
              <w:right w:w="40" w:type="dxa"/>
            </w:tcMar>
          </w:tcPr>
          <w:p>
            <w:pPr>
              <w:spacing w:after="0"/>
            </w:pPr>
            <w:r/>
            <w:r>
              <w:rPr>
                <w:b/>
                <w:sz w:val="16"/>
              </w:rPr>
              <w:t>Roundtrip</w:t>
            </w:r>
          </w:p>
        </w:tc>
      </w:tr>
      <w:tr>
        <w:trPr>
          <w:cantSplit/>
        </w:trPr>
        <w:tc>
          <w:tcPr>
            <w:tcW w:type="dxa" w:w="3024"/>
            <w:vAlign w:val="top"/>
            <w:tcMar>
              <w:top w:w="40" w:type="dxa"/>
              <w:left w:w="40" w:type="dxa"/>
              <w:bottom w:w="40" w:type="dxa"/>
              <w:right w:w="40" w:type="dxa"/>
            </w:tcMar>
          </w:tcPr>
          <w:p>
            <w:pPr>
              <w:spacing w:after="0"/>
            </w:pPr>
            <w:r/>
            <w:r>
              <w:rPr>
                <w:b w:val="0"/>
                <w:sz w:val="16"/>
              </w:rPr>
              <w:t>fixed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7274.9</w:t>
            </w:r>
          </w:p>
        </w:tc>
        <w:tc>
          <w:tcPr>
            <w:tcW w:type="dxa" w:w="1728"/>
            <w:vAlign w:val="top"/>
            <w:tcMar>
              <w:top w:w="40" w:type="dxa"/>
              <w:left w:w="40" w:type="dxa"/>
              <w:bottom w:w="40" w:type="dxa"/>
              <w:right w:w="40" w:type="dxa"/>
            </w:tcMar>
          </w:tcPr>
          <w:p>
            <w:pPr>
              <w:spacing w:after="0"/>
            </w:pPr>
            <w:r/>
            <w:r>
              <w:rPr>
                <w:b w:val="0"/>
                <w:sz w:val="16"/>
              </w:rPr>
              <w:t>not applicable</w:t>
            </w:r>
          </w:p>
        </w:tc>
      </w:tr>
      <w:tr>
        <w:trPr>
          <w:cantSplit/>
        </w:trPr>
        <w:tc>
          <w:tcPr>
            <w:tcW w:type="dxa" w:w="3024"/>
            <w:vAlign w:val="top"/>
            <w:tcMar>
              <w:top w:w="40" w:type="dxa"/>
              <w:left w:w="40" w:type="dxa"/>
              <w:bottom w:w="40" w:type="dxa"/>
              <w:right w:w="40" w:type="dxa"/>
            </w:tcMar>
          </w:tcPr>
          <w:p>
            <w:pPr>
              <w:spacing w:after="0"/>
            </w:pPr>
            <w:r/>
            <w:r>
              <w:rPr>
                <w:b w:val="0"/>
                <w:sz w:val="16"/>
              </w:rPr>
              <w:t>CDC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8.3</w:t>
            </w:r>
          </w:p>
        </w:tc>
        <w:tc>
          <w:tcPr>
            <w:tcW w:type="dxa" w:w="1728"/>
            <w:vAlign w:val="top"/>
            <w:tcMar>
              <w:top w:w="40" w:type="dxa"/>
              <w:left w:w="40" w:type="dxa"/>
              <w:bottom w:w="40" w:type="dxa"/>
              <w:right w:w="40" w:type="dxa"/>
            </w:tcMar>
          </w:tcPr>
          <w:p>
            <w:pPr>
              <w:spacing w:after="0"/>
            </w:pPr>
            <w:r/>
            <w:r>
              <w:rPr>
                <w:b w:val="0"/>
                <w:sz w:val="16"/>
              </w:rPr>
              <w:t>not applicable</w:t>
            </w:r>
          </w:p>
        </w:tc>
      </w:tr>
      <w:tr>
        <w:trPr>
          <w:cantSplit/>
        </w:trPr>
        <w:tc>
          <w:tcPr>
            <w:tcW w:type="dxa" w:w="3024"/>
            <w:vAlign w:val="top"/>
            <w:tcMar>
              <w:top w:w="40" w:type="dxa"/>
              <w:left w:w="40" w:type="dxa"/>
              <w:bottom w:w="40" w:type="dxa"/>
              <w:right w:w="40" w:type="dxa"/>
            </w:tcMar>
          </w:tcPr>
          <w:p>
            <w:pPr>
              <w:spacing w:after="0"/>
            </w:pPr>
            <w:r/>
            <w:r>
              <w:rPr>
                <w:b w:val="0"/>
                <w:sz w:val="16"/>
              </w:rPr>
              <w:t>model fixed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611.5</w:t>
            </w:r>
          </w:p>
        </w:tc>
        <w:tc>
          <w:tcPr>
            <w:tcW w:type="dxa" w:w="1728"/>
            <w:vAlign w:val="top"/>
            <w:tcMar>
              <w:top w:w="40" w:type="dxa"/>
              <w:left w:w="40" w:type="dxa"/>
              <w:bottom w:w="40" w:type="dxa"/>
              <w:right w:w="40" w:type="dxa"/>
            </w:tcMar>
          </w:tcPr>
          <w:p>
            <w:pPr>
              <w:spacing w:after="0"/>
            </w:pPr>
            <w:r/>
            <w:r>
              <w:rPr>
                <w:b w:val="0"/>
                <w:sz w:val="16"/>
              </w:rPr>
              <w:t>OK</w:t>
            </w:r>
          </w:p>
        </w:tc>
      </w:tr>
      <w:tr>
        <w:trPr>
          <w:cantSplit/>
        </w:trPr>
        <w:tc>
          <w:tcPr>
            <w:tcW w:type="dxa" w:w="3024"/>
            <w:vAlign w:val="top"/>
            <w:tcMar>
              <w:top w:w="40" w:type="dxa"/>
              <w:left w:w="40" w:type="dxa"/>
              <w:bottom w:w="40" w:type="dxa"/>
              <w:right w:w="40" w:type="dxa"/>
            </w:tcMar>
          </w:tcPr>
          <w:p>
            <w:pPr>
              <w:spacing w:after="0"/>
            </w:pPr>
            <w:r/>
            <w:r>
              <w:rPr>
                <w:b w:val="0"/>
                <w:sz w:val="16"/>
              </w:rPr>
              <w:t>model CDC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3.3</w:t>
            </w:r>
          </w:p>
        </w:tc>
        <w:tc>
          <w:tcPr>
            <w:tcW w:type="dxa" w:w="1728"/>
            <w:vAlign w:val="top"/>
            <w:tcMar>
              <w:top w:w="40" w:type="dxa"/>
              <w:left w:w="40" w:type="dxa"/>
              <w:bottom w:w="40" w:type="dxa"/>
              <w:right w:w="40" w:type="dxa"/>
            </w:tcMar>
          </w:tcPr>
          <w:p>
            <w:pPr>
              <w:spacing w:after="0"/>
            </w:pPr>
            <w:r/>
            <w:r>
              <w:rPr>
                <w:b w:val="0"/>
                <w:sz w:val="16"/>
              </w:rPr>
              <w:t>OK</w:t>
            </w:r>
          </w:p>
        </w:tc>
      </w:tr>
      <w:tr>
        <w:trPr>
          <w:cantSplit/>
        </w:trPr>
        <w:tc>
          <w:tcPr>
            <w:tcW w:type="dxa" w:w="3024"/>
            <w:vAlign w:val="top"/>
            <w:tcMar>
              <w:top w:w="40" w:type="dxa"/>
              <w:left w:w="40" w:type="dxa"/>
              <w:bottom w:w="40" w:type="dxa"/>
              <w:right w:w="40" w:type="dxa"/>
            </w:tcMar>
          </w:tcPr>
          <w:p>
            <w:pPr>
              <w:spacing w:after="0"/>
            </w:pPr>
            <w:r/>
            <w:r>
              <w:rPr>
                <w:b w:val="0"/>
                <w:sz w:val="16"/>
              </w:rPr>
              <w:t>HMAC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149.0</w:t>
            </w:r>
          </w:p>
        </w:tc>
        <w:tc>
          <w:tcPr>
            <w:tcW w:type="dxa" w:w="1728"/>
            <w:vAlign w:val="top"/>
            <w:tcMar>
              <w:top w:w="40" w:type="dxa"/>
              <w:left w:w="40" w:type="dxa"/>
              <w:bottom w:w="40" w:type="dxa"/>
              <w:right w:w="40" w:type="dxa"/>
            </w:tcMar>
          </w:tcPr>
          <w:p>
            <w:pPr>
              <w:spacing w:after="0"/>
            </w:pPr>
            <w:r/>
            <w:r>
              <w:rPr>
                <w:b w:val="0"/>
                <w:sz w:val="16"/>
              </w:rPr>
              <w:t>OK</w:t>
            </w:r>
          </w:p>
        </w:tc>
      </w:tr>
      <w:tr>
        <w:trPr>
          <w:cantSplit/>
        </w:trPr>
        <w:tc>
          <w:tcPr>
            <w:tcW w:type="dxa" w:w="3024"/>
            <w:vAlign w:val="top"/>
            <w:tcMar>
              <w:top w:w="40" w:type="dxa"/>
              <w:left w:w="40" w:type="dxa"/>
              <w:bottom w:w="40" w:type="dxa"/>
              <w:right w:w="40" w:type="dxa"/>
            </w:tcMar>
          </w:tcPr>
          <w:p>
            <w:pPr>
              <w:spacing w:after="0"/>
            </w:pPr>
            <w:r/>
            <w:r>
              <w:rPr>
                <w:b w:val="0"/>
                <w:sz w:val="16"/>
              </w:rPr>
              <w:t>HMAC decode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301.4</w:t>
            </w:r>
          </w:p>
        </w:tc>
        <w:tc>
          <w:tcPr>
            <w:tcW w:type="dxa" w:w="1728"/>
            <w:vAlign w:val="top"/>
            <w:tcMar>
              <w:top w:w="40" w:type="dxa"/>
              <w:left w:w="40" w:type="dxa"/>
              <w:bottom w:w="40" w:type="dxa"/>
              <w:right w:w="40" w:type="dxa"/>
            </w:tcMar>
          </w:tcPr>
          <w:p>
            <w:pPr>
              <w:spacing w:after="0"/>
            </w:pPr>
            <w:r/>
            <w:r>
              <w:rPr>
                <w:b w:val="0"/>
                <w:sz w:val="16"/>
              </w:rPr>
              <w:t>not applicable</w:t>
            </w:r>
          </w:p>
        </w:tc>
      </w:tr>
      <w:tr>
        <w:trPr>
          <w:cantSplit/>
        </w:trPr>
        <w:tc>
          <w:tcPr>
            <w:tcW w:type="dxa" w:w="3024"/>
            <w:vAlign w:val="top"/>
            <w:tcMar>
              <w:top w:w="40" w:type="dxa"/>
              <w:left w:w="40" w:type="dxa"/>
              <w:bottom w:w="40" w:type="dxa"/>
              <w:right w:w="40" w:type="dxa"/>
            </w:tcMar>
          </w:tcPr>
          <w:p>
            <w:pPr>
              <w:spacing w:after="0"/>
            </w:pPr>
            <w:r/>
            <w:r>
              <w:rPr>
                <w:b w:val="0"/>
                <w:sz w:val="16"/>
              </w:rPr>
              <w:t>wire encode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4590.4</w:t>
            </w:r>
          </w:p>
        </w:tc>
        <w:tc>
          <w:tcPr>
            <w:tcW w:type="dxa" w:w="1728"/>
            <w:vAlign w:val="top"/>
            <w:tcMar>
              <w:top w:w="40" w:type="dxa"/>
              <w:left w:w="40" w:type="dxa"/>
              <w:bottom w:w="40" w:type="dxa"/>
              <w:right w:w="40" w:type="dxa"/>
            </w:tcMar>
          </w:tcPr>
          <w:p>
            <w:pPr>
              <w:spacing w:after="0"/>
            </w:pPr>
            <w:r/>
            <w:r>
              <w:rPr>
                <w:b w:val="0"/>
                <w:sz w:val="16"/>
              </w:rPr>
              <w:t>not applicable</w:t>
            </w:r>
          </w:p>
        </w:tc>
      </w:tr>
      <w:tr>
        <w:trPr>
          <w:cantSplit/>
        </w:trPr>
        <w:tc>
          <w:tcPr>
            <w:tcW w:type="dxa" w:w="3024"/>
            <w:vAlign w:val="top"/>
            <w:tcMar>
              <w:top w:w="40" w:type="dxa"/>
              <w:left w:w="40" w:type="dxa"/>
              <w:bottom w:w="40" w:type="dxa"/>
              <w:right w:w="40" w:type="dxa"/>
            </w:tcMar>
          </w:tcPr>
          <w:p>
            <w:pPr>
              <w:spacing w:after="0"/>
            </w:pPr>
            <w:r/>
            <w:r>
              <w:rPr>
                <w:b w:val="0"/>
                <w:sz w:val="16"/>
              </w:rPr>
              <w:t>wire decode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2438.6</w:t>
            </w:r>
          </w:p>
        </w:tc>
        <w:tc>
          <w:tcPr>
            <w:tcW w:type="dxa" w:w="1728"/>
            <w:vAlign w:val="top"/>
            <w:tcMar>
              <w:top w:w="40" w:type="dxa"/>
              <w:left w:w="40" w:type="dxa"/>
              <w:bottom w:w="40" w:type="dxa"/>
              <w:right w:w="40" w:type="dxa"/>
            </w:tcMar>
          </w:tcPr>
          <w:p>
            <w:pPr>
              <w:spacing w:after="0"/>
            </w:pPr>
            <w:r/>
            <w:r>
              <w:rPr>
                <w:b w:val="0"/>
                <w:sz w:val="16"/>
              </w:rPr>
              <w:t>not applicable</w:t>
            </w:r>
          </w:p>
        </w:tc>
      </w:tr>
    </w:tbl>
    <w:p/>
    <w:p>
      <w:pPr>
        <w:pStyle w:val="Heading1"/>
      </w:pPr>
      <w:r>
        <w:rPr>
          <w:rFonts w:ascii="Arial" w:hAnsi="Arial"/>
        </w:rPr>
        <w:t>10. Transport Accounting and Local Diagnostics</w:t>
      </w:r>
    </w:p>
    <w:p>
      <w:pPr>
        <w:spacing w:after="80" w:before="0"/>
      </w:pPr>
      <w:r>
        <w:rPr>
          <w:sz w:val="20"/>
        </w:rPr>
        <w:t>Scope note: Section 10 provides localhost accounting and emulation evidence, not transport-fairness proof. The userspace shaper has an explicit shared bottleneck; the unshaped concurrent diagnostic does not. The committed Linux tc/netem rows are a legacy v3.13 run in which raw and ReduLink were launched concurrently, so they cannot be interpreted as isolated single-flow latency. None of these results proves WAN performance, Mininet behavior, production congestion fairness, or deployment-population effects.</w:t>
      </w:r>
    </w:p>
    <w:p>
      <w:pPr>
        <w:spacing w:after="80" w:before="0"/>
      </w:pPr>
      <w:r>
        <w:rPr>
          <w:sz w:val="20"/>
        </w:rPr>
        <w:t>The central fairness rule is that ReduLink must not receive congestion credit for reconstructed bytes: congestion control and bottleneck service account encoded wire bytes only. Table 18 reports the wire-byte accounting experiment, in which ReduLink's encoded wire share is 0.083 against the raw stream's 0.917 over 16 rounds, while still reconstructing the same application bytes; the effective application multiplier on that 48 KiB wire-accounting fixture is 10.72x. This confirms that the savings appear as fewer encoded bytes, which is the only place a fair transport should credit them.</w:t>
      </w:r>
    </w:p>
    <w:p>
      <w:pPr>
        <w:keepNext/>
        <w:spacing w:after="40" w:before="120"/>
      </w:pPr>
      <w:r>
        <w:rPr>
          <w:b/>
          <w:sz w:val="18"/>
        </w:rPr>
        <w:t>Table 18. Wire-byte fairness accounting: ReduLink is charged on encoded bytes, not reconstructed bytes.</w:t>
      </w:r>
    </w:p>
    <w:tbl>
      <w:tblPr>
        <w:tblStyle w:val="TableGrid"/>
        <w:tblW w:type="auto" w:w="0"/>
        <w:jc w:val="center"/>
        <w:tblLook w:firstColumn="1" w:firstRow="1" w:lastColumn="0" w:lastRow="0" w:noHBand="0" w:noVBand="1" w:val="04A0"/>
      </w:tblPr>
      <w:tblGrid>
        <w:gridCol w:w="5256"/>
        <w:gridCol w:w="5256"/>
      </w:tblGrid>
      <w:tr>
        <w:trPr>
          <w:cantSplit/>
          <w:tblHeader w:val="true"/>
        </w:trPr>
        <w:tc>
          <w:tcPr>
            <w:tcW w:type="dxa" w:w="3744"/>
            <w:vAlign w:val="top"/>
            <w:tcMar>
              <w:top w:w="40" w:type="dxa"/>
              <w:left w:w="40" w:type="dxa"/>
              <w:bottom w:w="40" w:type="dxa"/>
              <w:right w:w="40" w:type="dxa"/>
            </w:tcMar>
          </w:tcPr>
          <w:p>
            <w:pPr>
              <w:spacing w:after="0"/>
            </w:pPr>
            <w:r/>
            <w:r>
              <w:rPr>
                <w:b/>
                <w:sz w:val="16"/>
              </w:rPr>
              <w:t>Metric</w:t>
            </w:r>
          </w:p>
        </w:tc>
        <w:tc>
          <w:tcPr>
            <w:tcW w:type="dxa" w:w="4608"/>
            <w:vAlign w:val="top"/>
            <w:tcMar>
              <w:top w:w="40" w:type="dxa"/>
              <w:left w:w="40" w:type="dxa"/>
              <w:bottom w:w="40" w:type="dxa"/>
              <w:right w:w="40" w:type="dxa"/>
            </w:tcMar>
          </w:tcPr>
          <w:p>
            <w:pPr>
              <w:spacing w:after="0"/>
            </w:pPr>
            <w:r/>
            <w:r>
              <w:rPr>
                <w:b/>
                <w:sz w:val="16"/>
              </w:rPr>
              <w:t>Value</w:t>
            </w:r>
          </w:p>
        </w:tc>
      </w:tr>
      <w:tr>
        <w:trPr>
          <w:cantSplit/>
        </w:trPr>
        <w:tc>
          <w:tcPr>
            <w:tcW w:type="dxa" w:w="3744"/>
            <w:vAlign w:val="top"/>
            <w:tcMar>
              <w:top w:w="40" w:type="dxa"/>
              <w:left w:w="40" w:type="dxa"/>
              <w:bottom w:w="40" w:type="dxa"/>
              <w:right w:w="40" w:type="dxa"/>
            </w:tcMar>
          </w:tcPr>
          <w:p>
            <w:pPr>
              <w:spacing w:after="0"/>
            </w:pPr>
            <w:r/>
            <w:r>
              <w:rPr>
                <w:b w:val="0"/>
                <w:sz w:val="16"/>
              </w:rPr>
              <w:t>Fairness rule</w:t>
            </w:r>
          </w:p>
        </w:tc>
        <w:tc>
          <w:tcPr>
            <w:tcW w:type="dxa" w:w="4608"/>
            <w:vAlign w:val="top"/>
            <w:tcMar>
              <w:top w:w="40" w:type="dxa"/>
              <w:left w:w="40" w:type="dxa"/>
              <w:bottom w:w="40" w:type="dxa"/>
              <w:right w:w="40" w:type="dxa"/>
            </w:tcMar>
          </w:tcPr>
          <w:p>
            <w:pPr>
              <w:spacing w:after="0"/>
            </w:pPr>
            <w:r/>
            <w:r>
              <w:rPr>
                <w:b w:val="0"/>
                <w:sz w:val="16"/>
              </w:rPr>
              <w:t>Congestion and bottleneck service count encoded wire bytes</w:t>
            </w:r>
          </w:p>
        </w:tc>
      </w:tr>
      <w:tr>
        <w:trPr>
          <w:cantSplit/>
        </w:trPr>
        <w:tc>
          <w:tcPr>
            <w:tcW w:type="dxa" w:w="3744"/>
            <w:vAlign w:val="top"/>
            <w:tcMar>
              <w:top w:w="40" w:type="dxa"/>
              <w:left w:w="40" w:type="dxa"/>
              <w:bottom w:w="40" w:type="dxa"/>
              <w:right w:w="40" w:type="dxa"/>
            </w:tcMar>
          </w:tcPr>
          <w:p>
            <w:pPr>
              <w:spacing w:after="0"/>
            </w:pPr>
            <w:r/>
            <w:r>
              <w:rPr>
                <w:b w:val="0"/>
                <w:sz w:val="16"/>
              </w:rPr>
              <w:t>Raw encoded wire share</w:t>
            </w:r>
          </w:p>
        </w:tc>
        <w:tc>
          <w:tcPr>
            <w:tcW w:type="dxa" w:w="4608"/>
            <w:vAlign w:val="top"/>
            <w:tcMar>
              <w:top w:w="40" w:type="dxa"/>
              <w:left w:w="40" w:type="dxa"/>
              <w:bottom w:w="40" w:type="dxa"/>
              <w:right w:w="40" w:type="dxa"/>
            </w:tcMar>
          </w:tcPr>
          <w:p>
            <w:pPr>
              <w:spacing w:after="0"/>
            </w:pPr>
            <w:r/>
            <w:r>
              <w:rPr>
                <w:b w:val="0"/>
                <w:sz w:val="16"/>
              </w:rPr>
              <w:t>0.917</w:t>
            </w:r>
          </w:p>
        </w:tc>
      </w:tr>
      <w:tr>
        <w:trPr>
          <w:cantSplit/>
        </w:trPr>
        <w:tc>
          <w:tcPr>
            <w:tcW w:type="dxa" w:w="3744"/>
            <w:vAlign w:val="top"/>
            <w:tcMar>
              <w:top w:w="40" w:type="dxa"/>
              <w:left w:w="40" w:type="dxa"/>
              <w:bottom w:w="40" w:type="dxa"/>
              <w:right w:w="40" w:type="dxa"/>
            </w:tcMar>
          </w:tcPr>
          <w:p>
            <w:pPr>
              <w:spacing w:after="0"/>
            </w:pPr>
            <w:r/>
            <w:r>
              <w:rPr>
                <w:b w:val="0"/>
                <w:sz w:val="16"/>
              </w:rPr>
              <w:t>ReduLink encoded wire share</w:t>
            </w:r>
          </w:p>
        </w:tc>
        <w:tc>
          <w:tcPr>
            <w:tcW w:type="dxa" w:w="4608"/>
            <w:vAlign w:val="top"/>
            <w:tcMar>
              <w:top w:w="40" w:type="dxa"/>
              <w:left w:w="40" w:type="dxa"/>
              <w:bottom w:w="40" w:type="dxa"/>
              <w:right w:w="40" w:type="dxa"/>
            </w:tcMar>
          </w:tcPr>
          <w:p>
            <w:pPr>
              <w:spacing w:after="0"/>
            </w:pPr>
            <w:r/>
            <w:r>
              <w:rPr>
                <w:b w:val="0"/>
                <w:sz w:val="16"/>
              </w:rPr>
              <w:t>0.083</w:t>
            </w:r>
          </w:p>
        </w:tc>
      </w:tr>
      <w:tr>
        <w:trPr>
          <w:cantSplit/>
        </w:trPr>
        <w:tc>
          <w:tcPr>
            <w:tcW w:type="dxa" w:w="3744"/>
            <w:vAlign w:val="top"/>
            <w:tcMar>
              <w:top w:w="40" w:type="dxa"/>
              <w:left w:w="40" w:type="dxa"/>
              <w:bottom w:w="40" w:type="dxa"/>
              <w:right w:w="40" w:type="dxa"/>
            </w:tcMar>
          </w:tcPr>
          <w:p>
            <w:pPr>
              <w:spacing w:after="0"/>
            </w:pPr>
            <w:r/>
            <w:r>
              <w:rPr>
                <w:b w:val="0"/>
                <w:sz w:val="16"/>
              </w:rPr>
              <w:t>ReduLink uses less wire than raw</w:t>
            </w:r>
          </w:p>
        </w:tc>
        <w:tc>
          <w:tcPr>
            <w:tcW w:type="dxa" w:w="4608"/>
            <w:vAlign w:val="top"/>
            <w:tcMar>
              <w:top w:w="40" w:type="dxa"/>
              <w:left w:w="40" w:type="dxa"/>
              <w:bottom w:w="40" w:type="dxa"/>
              <w:right w:w="40" w:type="dxa"/>
            </w:tcMar>
          </w:tcPr>
          <w:p>
            <w:pPr>
              <w:spacing w:after="0"/>
            </w:pPr>
            <w:r/>
            <w:r>
              <w:rPr>
                <w:b w:val="0"/>
                <w:sz w:val="16"/>
              </w:rPr>
              <w:t>yes</w:t>
            </w:r>
          </w:p>
        </w:tc>
      </w:tr>
      <w:tr>
        <w:trPr>
          <w:cantSplit/>
        </w:trPr>
        <w:tc>
          <w:tcPr>
            <w:tcW w:type="dxa" w:w="3744"/>
            <w:vAlign w:val="top"/>
            <w:tcMar>
              <w:top w:w="40" w:type="dxa"/>
              <w:left w:w="40" w:type="dxa"/>
              <w:bottom w:w="40" w:type="dxa"/>
              <w:right w:w="40" w:type="dxa"/>
            </w:tcMar>
          </w:tcPr>
          <w:p>
            <w:pPr>
              <w:spacing w:after="0"/>
            </w:pPr>
            <w:r/>
            <w:r>
              <w:rPr>
                <w:b w:val="0"/>
                <w:sz w:val="16"/>
              </w:rPr>
              <w:t>Effective application multiplier</w:t>
            </w:r>
          </w:p>
        </w:tc>
        <w:tc>
          <w:tcPr>
            <w:tcW w:type="dxa" w:w="4608"/>
            <w:vAlign w:val="top"/>
            <w:tcMar>
              <w:top w:w="40" w:type="dxa"/>
              <w:left w:w="40" w:type="dxa"/>
              <w:bottom w:w="40" w:type="dxa"/>
              <w:right w:w="40" w:type="dxa"/>
            </w:tcMar>
          </w:tcPr>
          <w:p>
            <w:pPr>
              <w:spacing w:after="0"/>
            </w:pPr>
            <w:r/>
            <w:r>
              <w:rPr>
                <w:b w:val="0"/>
                <w:sz w:val="16"/>
              </w:rPr>
              <w:t>10.72x</w:t>
            </w:r>
          </w:p>
        </w:tc>
      </w:tr>
      <w:tr>
        <w:trPr>
          <w:cantSplit/>
        </w:trPr>
        <w:tc>
          <w:tcPr>
            <w:tcW w:type="dxa" w:w="3744"/>
            <w:vAlign w:val="top"/>
            <w:tcMar>
              <w:top w:w="40" w:type="dxa"/>
              <w:left w:w="40" w:type="dxa"/>
              <w:bottom w:w="40" w:type="dxa"/>
              <w:right w:w="40" w:type="dxa"/>
            </w:tcMar>
          </w:tcPr>
          <w:p>
            <w:pPr>
              <w:spacing w:after="0"/>
            </w:pPr>
            <w:r/>
            <w:r>
              <w:rPr>
                <w:b w:val="0"/>
                <w:sz w:val="16"/>
              </w:rPr>
              <w:t>Rounds</w:t>
            </w:r>
          </w:p>
        </w:tc>
        <w:tc>
          <w:tcPr>
            <w:tcW w:type="dxa" w:w="4608"/>
            <w:vAlign w:val="top"/>
            <w:tcMar>
              <w:top w:w="40" w:type="dxa"/>
              <w:left w:w="40" w:type="dxa"/>
              <w:bottom w:w="40" w:type="dxa"/>
              <w:right w:w="40" w:type="dxa"/>
            </w:tcMar>
          </w:tcPr>
          <w:p>
            <w:pPr>
              <w:spacing w:after="0"/>
            </w:pPr>
            <w:r/>
            <w:r>
              <w:rPr>
                <w:b w:val="0"/>
                <w:sz w:val="16"/>
              </w:rPr>
              <w:t>16</w:t>
            </w:r>
          </w:p>
        </w:tc>
      </w:tr>
    </w:tbl>
    <w:p/>
    <w:p>
      <w:pPr>
        <w:spacing w:after="80" w:before="0"/>
      </w:pPr>
      <w:r>
        <w:rPr>
          <w:sz w:val="20"/>
        </w:rPr>
        <w:t>Table 19 reports 20 concurrent raw/ReduLink localhost rounds with periodic datagram loss. There is no controlled rate limit or bottleneck, and the rate hint is metadata only. The previous artifact computed one Jain value [25] across all observations and called it fairness; v3.14 instead computes a two-flow balance index within each round and reports the mean solely as a concurrency diagnostic. Because the methods intentionally encode different byte volumes, neither encoded-rate nor reconstructed-rate balance is a congestion-fairness measure. Table 20 adds a shared userspace bottleneck, Table 21 varies miss rate, Table 22 reports local repeat variability, and Table 24 is only a closed-form byte-volume illustration.</w:t>
      </w:r>
    </w:p>
    <w:p>
      <w:pPr>
        <w:keepNext/>
        <w:spacing w:after="40" w:before="120"/>
      </w:pPr>
      <w:r>
        <w:rPr>
          <w:b/>
          <w:sz w:val="18"/>
        </w:rPr>
        <w:t>Table 19. Unshaped concurrent localhost diagnostic (mean of per-round two-flow balance indices; not fairness).</w:t>
      </w:r>
    </w:p>
    <w:tbl>
      <w:tblPr>
        <w:tblStyle w:val="TableGrid"/>
        <w:tblW w:type="auto" w:w="0"/>
        <w:jc w:val="center"/>
        <w:tblLook w:firstColumn="1" w:firstRow="1" w:lastColumn="0" w:lastRow="0" w:noHBand="0" w:noVBand="1" w:val="04A0"/>
      </w:tblPr>
      <w:tblGrid>
        <w:gridCol w:w="5256"/>
        <w:gridCol w:w="5256"/>
      </w:tblGrid>
      <w:tr>
        <w:trPr>
          <w:cantSplit/>
          <w:tblHeader w:val="true"/>
        </w:trPr>
        <w:tc>
          <w:tcPr>
            <w:tcW w:type="dxa" w:w="3456"/>
            <w:vAlign w:val="top"/>
            <w:tcMar>
              <w:top w:w="40" w:type="dxa"/>
              <w:left w:w="40" w:type="dxa"/>
              <w:bottom w:w="40" w:type="dxa"/>
              <w:right w:w="40" w:type="dxa"/>
            </w:tcMar>
          </w:tcPr>
          <w:p>
            <w:pPr>
              <w:spacing w:after="0"/>
            </w:pPr>
            <w:r/>
            <w:r>
              <w:rPr>
                <w:b/>
                <w:sz w:val="16"/>
              </w:rPr>
              <w:t>Metric</w:t>
            </w:r>
          </w:p>
        </w:tc>
        <w:tc>
          <w:tcPr>
            <w:tcW w:type="dxa" w:w="4896"/>
            <w:vAlign w:val="top"/>
            <w:tcMar>
              <w:top w:w="40" w:type="dxa"/>
              <w:left w:w="40" w:type="dxa"/>
              <w:bottom w:w="40" w:type="dxa"/>
              <w:right w:w="40" w:type="dxa"/>
            </w:tcMar>
          </w:tcPr>
          <w:p>
            <w:pPr>
              <w:spacing w:after="0"/>
            </w:pPr>
            <w:r/>
            <w:r>
              <w:rPr>
                <w:b/>
                <w:sz w:val="16"/>
              </w:rPr>
              <w:t>Value</w:t>
            </w:r>
          </w:p>
        </w:tc>
      </w:tr>
      <w:tr>
        <w:trPr>
          <w:cantSplit/>
        </w:trPr>
        <w:tc>
          <w:tcPr>
            <w:tcW w:type="dxa" w:w="3456"/>
            <w:vAlign w:val="top"/>
            <w:tcMar>
              <w:top w:w="40" w:type="dxa"/>
              <w:left w:w="40" w:type="dxa"/>
              <w:bottom w:w="40" w:type="dxa"/>
              <w:right w:w="40" w:type="dxa"/>
            </w:tcMar>
          </w:tcPr>
          <w:p>
            <w:pPr>
              <w:spacing w:after="0"/>
            </w:pPr>
            <w:r/>
            <w:r>
              <w:rPr>
                <w:b w:val="0"/>
                <w:sz w:val="16"/>
              </w:rPr>
              <w:t>Scenario</w:t>
            </w:r>
          </w:p>
        </w:tc>
        <w:tc>
          <w:tcPr>
            <w:tcW w:type="dxa" w:w="4896"/>
            <w:vAlign w:val="top"/>
            <w:tcMar>
              <w:top w:w="40" w:type="dxa"/>
              <w:left w:w="40" w:type="dxa"/>
              <w:bottom w:w="40" w:type="dxa"/>
              <w:right w:w="40" w:type="dxa"/>
            </w:tcMar>
          </w:tcPr>
          <w:p>
            <w:pPr>
              <w:spacing w:after="0"/>
            </w:pPr>
            <w:r/>
            <w:r>
              <w:rPr>
                <w:b w:val="0"/>
                <w:sz w:val="16"/>
              </w:rPr>
              <w:t>20 concurrent rounds, unshaped localhost (no rate limit), loss every 9</w:t>
            </w:r>
          </w:p>
        </w:tc>
      </w:tr>
      <w:tr>
        <w:trPr>
          <w:cantSplit/>
        </w:trPr>
        <w:tc>
          <w:tcPr>
            <w:tcW w:type="dxa" w:w="3456"/>
            <w:vAlign w:val="top"/>
            <w:tcMar>
              <w:top w:w="40" w:type="dxa"/>
              <w:left w:w="40" w:type="dxa"/>
              <w:bottom w:w="40" w:type="dxa"/>
              <w:right w:w="40" w:type="dxa"/>
            </w:tcMar>
          </w:tcPr>
          <w:p>
            <w:pPr>
              <w:spacing w:after="0"/>
            </w:pPr>
            <w:r/>
            <w:r>
              <w:rPr>
                <w:b w:val="0"/>
                <w:sz w:val="16"/>
              </w:rPr>
              <w:t>Encoded-rate balance index (mean)</w:t>
            </w:r>
          </w:p>
        </w:tc>
        <w:tc>
          <w:tcPr>
            <w:tcW w:type="dxa" w:w="4896"/>
            <w:vAlign w:val="top"/>
            <w:tcMar>
              <w:top w:w="40" w:type="dxa"/>
              <w:left w:w="40" w:type="dxa"/>
              <w:bottom w:w="40" w:type="dxa"/>
              <w:right w:w="40" w:type="dxa"/>
            </w:tcMar>
          </w:tcPr>
          <w:p>
            <w:pPr>
              <w:spacing w:after="0"/>
            </w:pPr>
            <w:r/>
            <w:r>
              <w:rPr>
                <w:b w:val="0"/>
                <w:sz w:val="16"/>
              </w:rPr>
              <w:t>0.842</w:t>
            </w:r>
          </w:p>
        </w:tc>
      </w:tr>
      <w:tr>
        <w:trPr>
          <w:cantSplit/>
        </w:trPr>
        <w:tc>
          <w:tcPr>
            <w:tcW w:type="dxa" w:w="3456"/>
            <w:vAlign w:val="top"/>
            <w:tcMar>
              <w:top w:w="40" w:type="dxa"/>
              <w:left w:w="40" w:type="dxa"/>
              <w:bottom w:w="40" w:type="dxa"/>
              <w:right w:w="40" w:type="dxa"/>
            </w:tcMar>
          </w:tcPr>
          <w:p>
            <w:pPr>
              <w:spacing w:after="0"/>
            </w:pPr>
            <w:r/>
            <w:r>
              <w:rPr>
                <w:b w:val="0"/>
                <w:sz w:val="16"/>
              </w:rPr>
              <w:t>Reconstructed-rate balance index (mean)</w:t>
            </w:r>
          </w:p>
        </w:tc>
        <w:tc>
          <w:tcPr>
            <w:tcW w:type="dxa" w:w="4896"/>
            <w:vAlign w:val="top"/>
            <w:tcMar>
              <w:top w:w="40" w:type="dxa"/>
              <w:left w:w="40" w:type="dxa"/>
              <w:bottom w:w="40" w:type="dxa"/>
              <w:right w:w="40" w:type="dxa"/>
            </w:tcMar>
          </w:tcPr>
          <w:p>
            <w:pPr>
              <w:spacing w:after="0"/>
            </w:pPr>
            <w:r/>
            <w:r>
              <w:rPr>
                <w:b w:val="0"/>
                <w:sz w:val="16"/>
              </w:rPr>
              <w:t>0.982</w:t>
            </w:r>
          </w:p>
        </w:tc>
      </w:tr>
      <w:tr>
        <w:trPr>
          <w:cantSplit/>
        </w:trPr>
        <w:tc>
          <w:tcPr>
            <w:tcW w:type="dxa" w:w="3456"/>
            <w:vAlign w:val="top"/>
            <w:tcMar>
              <w:top w:w="40" w:type="dxa"/>
              <w:left w:w="40" w:type="dxa"/>
              <w:bottom w:w="40" w:type="dxa"/>
              <w:right w:w="40" w:type="dxa"/>
            </w:tcMar>
          </w:tcPr>
          <w:p>
            <w:pPr>
              <w:spacing w:after="0"/>
            </w:pPr>
            <w:r/>
            <w:r>
              <w:rPr>
                <w:b w:val="0"/>
                <w:sz w:val="16"/>
              </w:rPr>
              <w:t>All flows reconstructed</w:t>
            </w:r>
          </w:p>
        </w:tc>
        <w:tc>
          <w:tcPr>
            <w:tcW w:type="dxa" w:w="4896"/>
            <w:vAlign w:val="top"/>
            <w:tcMar>
              <w:top w:w="40" w:type="dxa"/>
              <w:left w:w="40" w:type="dxa"/>
              <w:bottom w:w="40" w:type="dxa"/>
              <w:right w:w="40" w:type="dxa"/>
            </w:tcMar>
          </w:tcPr>
          <w:p>
            <w:pPr>
              <w:spacing w:after="0"/>
            </w:pPr>
            <w:r/>
            <w:r>
              <w:rPr>
                <w:b w:val="0"/>
                <w:sz w:val="16"/>
              </w:rPr>
              <w:t>yes</w:t>
            </w:r>
          </w:p>
        </w:tc>
      </w:tr>
      <w:tr>
        <w:trPr>
          <w:cantSplit/>
        </w:trPr>
        <w:tc>
          <w:tcPr>
            <w:tcW w:type="dxa" w:w="3456"/>
            <w:vAlign w:val="top"/>
            <w:tcMar>
              <w:top w:w="40" w:type="dxa"/>
              <w:left w:w="40" w:type="dxa"/>
              <w:bottom w:w="40" w:type="dxa"/>
              <w:right w:w="40" w:type="dxa"/>
            </w:tcMar>
          </w:tcPr>
          <w:p>
            <w:pPr>
              <w:spacing w:after="0"/>
            </w:pPr>
            <w:r/>
            <w:r>
              <w:rPr>
                <w:b w:val="0"/>
                <w:sz w:val="16"/>
              </w:rPr>
              <w:t>Scope</w:t>
            </w:r>
          </w:p>
        </w:tc>
        <w:tc>
          <w:tcPr>
            <w:tcW w:type="dxa" w:w="4896"/>
            <w:vAlign w:val="top"/>
            <w:tcMar>
              <w:top w:w="40" w:type="dxa"/>
              <w:left w:w="40" w:type="dxa"/>
              <w:bottom w:w="40" w:type="dxa"/>
              <w:right w:w="40" w:type="dxa"/>
            </w:tcMar>
          </w:tcPr>
          <w:p>
            <w:pPr>
              <w:spacing w:after="0"/>
            </w:pPr>
            <w:r/>
            <w:r>
              <w:rPr>
                <w:b w:val="0"/>
                <w:sz w:val="16"/>
              </w:rPr>
              <w:t>unshaped localhost concurrency diagnostic; no fairness inference</w:t>
            </w:r>
          </w:p>
        </w:tc>
      </w:tr>
    </w:tbl>
    <w:p/>
    <w:p>
      <w:pPr>
        <w:spacing w:after="80" w:before="0"/>
      </w:pPr>
      <w:r>
        <w:rPr>
          <w:sz w:val="20"/>
        </w:rPr>
        <w:t>Table 20 adds a measured full-duplex userspace bottleneck: both flows share one token bucket per direction plus propagation delay, across 5/20 Mbps and 20/80 ms points with 20 rounds each. Completion comparison now uses the mean of within-round ReduLink/raw ratios; the ratio of aggregate means is retained in JSON only as a diagnostic. On the refreshed demo run the paired mean ranges from 0.87x to 1.01x; Redis ranges from 0.82x to 1.30x. Reconstruction is exact throughout. The variation supports only a conditional local result: byte savings may reduce completion time, while MISS/FULL round trips and scheduling may erase or reverse it. Identical NewReno stacks and encoded-byte accounting are necessary conditions for a fair deployment, but this harness does not prove Internet fairness.</w:t>
      </w:r>
    </w:p>
    <w:p>
      <w:pPr>
        <w:keepNext/>
        <w:spacing w:after="40" w:before="120"/>
      </w:pPr>
      <w:r>
        <w:rPr>
          <w:b/>
          <w:sz w:val="18"/>
        </w:rPr>
        <w:t>Table 20. Measured full-duplex userspace shared-bottleneck emulation: mean completion time and mean paired completion ratio (20 local rounds per scenario).</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rPr>
          <w:cantSplit/>
          <w:tblHeader w:val="true"/>
        </w:trPr>
        <w:tc>
          <w:tcPr>
            <w:tcW w:type="dxa" w:w="1008"/>
            <w:vAlign w:val="top"/>
            <w:tcMar>
              <w:top w:w="40" w:type="dxa"/>
              <w:left w:w="40" w:type="dxa"/>
              <w:bottom w:w="40" w:type="dxa"/>
              <w:right w:w="40" w:type="dxa"/>
            </w:tcMar>
          </w:tcPr>
          <w:p>
            <w:pPr>
              <w:spacing w:after="0"/>
            </w:pPr>
            <w:r/>
            <w:r>
              <w:rPr>
                <w:b/>
                <w:sz w:val="14"/>
              </w:rPr>
              <w:t>Payload</w:t>
            </w:r>
          </w:p>
        </w:tc>
        <w:tc>
          <w:tcPr>
            <w:tcW w:type="dxa" w:w="1296"/>
            <w:vAlign w:val="top"/>
            <w:tcMar>
              <w:top w:w="40" w:type="dxa"/>
              <w:left w:w="40" w:type="dxa"/>
              <w:bottom w:w="40" w:type="dxa"/>
              <w:right w:w="40" w:type="dxa"/>
            </w:tcMar>
          </w:tcPr>
          <w:p>
            <w:pPr>
              <w:spacing w:after="0"/>
            </w:pPr>
            <w:r/>
            <w:r>
              <w:rPr>
                <w:b/>
                <w:sz w:val="14"/>
              </w:rPr>
              <w:t>Rate Mbps</w:t>
            </w:r>
          </w:p>
        </w:tc>
        <w:tc>
          <w:tcPr>
            <w:tcW w:type="dxa" w:w="1008"/>
            <w:vAlign w:val="top"/>
            <w:tcMar>
              <w:top w:w="40" w:type="dxa"/>
              <w:left w:w="40" w:type="dxa"/>
              <w:bottom w:w="40" w:type="dxa"/>
              <w:right w:w="40" w:type="dxa"/>
            </w:tcMar>
          </w:tcPr>
          <w:p>
            <w:pPr>
              <w:spacing w:after="0"/>
            </w:pPr>
            <w:r/>
            <w:r>
              <w:rPr>
                <w:b/>
                <w:sz w:val="14"/>
              </w:rPr>
              <w:t>RTT ms</w:t>
            </w:r>
          </w:p>
        </w:tc>
        <w:tc>
          <w:tcPr>
            <w:tcW w:type="dxa" w:w="1440"/>
            <w:vAlign w:val="top"/>
            <w:tcMar>
              <w:top w:w="40" w:type="dxa"/>
              <w:left w:w="40" w:type="dxa"/>
              <w:bottom w:w="40" w:type="dxa"/>
              <w:right w:w="40" w:type="dxa"/>
            </w:tcMar>
          </w:tcPr>
          <w:p>
            <w:pPr>
              <w:spacing w:after="0"/>
            </w:pPr>
            <w:r/>
            <w:r>
              <w:rPr>
                <w:b/>
                <w:sz w:val="14"/>
              </w:rPr>
              <w:t>Raw ms</w:t>
            </w:r>
          </w:p>
        </w:tc>
        <w:tc>
          <w:tcPr>
            <w:tcW w:type="dxa" w:w="1440"/>
            <w:vAlign w:val="top"/>
            <w:tcMar>
              <w:top w:w="40" w:type="dxa"/>
              <w:left w:w="40" w:type="dxa"/>
              <w:bottom w:w="40" w:type="dxa"/>
              <w:right w:w="40" w:type="dxa"/>
            </w:tcMar>
          </w:tcPr>
          <w:p>
            <w:pPr>
              <w:spacing w:after="0"/>
            </w:pPr>
            <w:r/>
            <w:r>
              <w:rPr>
                <w:b/>
                <w:sz w:val="14"/>
              </w:rPr>
              <w:t>ReduLink ms</w:t>
            </w:r>
          </w:p>
        </w:tc>
        <w:tc>
          <w:tcPr>
            <w:tcW w:type="dxa" w:w="1440"/>
            <w:vAlign w:val="top"/>
            <w:tcMar>
              <w:top w:w="40" w:type="dxa"/>
              <w:left w:w="40" w:type="dxa"/>
              <w:bottom w:w="40" w:type="dxa"/>
              <w:right w:w="40" w:type="dxa"/>
            </w:tcMar>
          </w:tcPr>
          <w:p>
            <w:pPr>
              <w:spacing w:after="0"/>
            </w:pPr>
            <w:r/>
            <w:r>
              <w:rPr>
                <w:b/>
                <w:sz w:val="14"/>
              </w:rPr>
              <w:t>Mean paired RL/raw</w:t>
            </w:r>
          </w:p>
        </w:tc>
        <w:tc>
          <w:tcPr>
            <w:tcW w:type="dxa" w:w="1440"/>
            <w:vAlign w:val="top"/>
            <w:tcMar>
              <w:top w:w="40" w:type="dxa"/>
              <w:left w:w="40" w:type="dxa"/>
              <w:bottom w:w="40" w:type="dxa"/>
              <w:right w:w="40" w:type="dxa"/>
            </w:tcMar>
          </w:tcPr>
          <w:p>
            <w:pPr>
              <w:spacing w:after="0"/>
            </w:pPr>
            <w:r/>
            <w:r>
              <w:rPr>
                <w:b/>
                <w:sz w:val="14"/>
              </w:rPr>
              <w:t>Rate balance diag.</w:t>
            </w:r>
          </w:p>
        </w:tc>
        <w:tc>
          <w:tcPr>
            <w:tcW w:type="dxa" w:w="864"/>
            <w:vAlign w:val="top"/>
            <w:tcMar>
              <w:top w:w="40" w:type="dxa"/>
              <w:left w:w="40" w:type="dxa"/>
              <w:bottom w:w="40" w:type="dxa"/>
              <w:right w:w="40" w:type="dxa"/>
            </w:tcMar>
          </w:tcPr>
          <w:p>
            <w:pPr>
              <w:spacing w:after="0"/>
            </w:pPr>
            <w:r/>
            <w:r>
              <w:rPr>
                <w:b/>
                <w:sz w:val="14"/>
              </w:rPr>
              <w:t>Recon.</w:t>
            </w:r>
          </w:p>
        </w:tc>
      </w:tr>
      <w:tr>
        <w:trPr>
          <w:cantSplit/>
        </w:trP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20.0</w:t>
            </w:r>
          </w:p>
        </w:tc>
        <w:tc>
          <w:tcPr>
            <w:tcW w:type="dxa" w:w="1440"/>
            <w:vAlign w:val="top"/>
            <w:tcMar>
              <w:top w:w="40" w:type="dxa"/>
              <w:left w:w="40" w:type="dxa"/>
              <w:bottom w:w="40" w:type="dxa"/>
              <w:right w:w="40" w:type="dxa"/>
            </w:tcMar>
          </w:tcPr>
          <w:p>
            <w:pPr>
              <w:spacing w:after="0"/>
            </w:pPr>
            <w:r/>
            <w:r>
              <w:rPr>
                <w:b w:val="0"/>
                <w:sz w:val="14"/>
              </w:rPr>
              <w:t>1005.8±273.8</w:t>
            </w:r>
          </w:p>
        </w:tc>
        <w:tc>
          <w:tcPr>
            <w:tcW w:type="dxa" w:w="1440"/>
            <w:vAlign w:val="top"/>
            <w:tcMar>
              <w:top w:w="40" w:type="dxa"/>
              <w:left w:w="40" w:type="dxa"/>
              <w:bottom w:w="40" w:type="dxa"/>
              <w:right w:w="40" w:type="dxa"/>
            </w:tcMar>
          </w:tcPr>
          <w:p>
            <w:pPr>
              <w:spacing w:after="0"/>
            </w:pPr>
            <w:r/>
            <w:r>
              <w:rPr>
                <w:b w:val="0"/>
                <w:sz w:val="14"/>
              </w:rPr>
              <w:t>935.3±79.4</w:t>
            </w:r>
          </w:p>
        </w:tc>
        <w:tc>
          <w:tcPr>
            <w:tcW w:type="dxa" w:w="1440"/>
            <w:vAlign w:val="top"/>
            <w:tcMar>
              <w:top w:w="40" w:type="dxa"/>
              <w:left w:w="40" w:type="dxa"/>
              <w:bottom w:w="40" w:type="dxa"/>
              <w:right w:w="40" w:type="dxa"/>
            </w:tcMar>
          </w:tcPr>
          <w:p>
            <w:pPr>
              <w:spacing w:after="0"/>
            </w:pPr>
            <w:r/>
            <w:r>
              <w:rPr>
                <w:b w:val="0"/>
                <w:sz w:val="14"/>
              </w:rPr>
              <w:t>0.97x</w:t>
            </w:r>
          </w:p>
        </w:tc>
        <w:tc>
          <w:tcPr>
            <w:tcW w:type="dxa" w:w="1440"/>
            <w:vAlign w:val="top"/>
            <w:tcMar>
              <w:top w:w="40" w:type="dxa"/>
              <w:left w:w="40" w:type="dxa"/>
              <w:bottom w:w="40" w:type="dxa"/>
              <w:right w:w="40" w:type="dxa"/>
            </w:tcMar>
          </w:tcPr>
          <w:p>
            <w:pPr>
              <w:spacing w:after="0"/>
            </w:pPr>
            <w:r/>
            <w:r>
              <w:rPr>
                <w:b w:val="0"/>
                <w:sz w:val="14"/>
              </w:rPr>
              <w:t>0.788</w:t>
            </w:r>
          </w:p>
        </w:tc>
        <w:tc>
          <w:tcPr>
            <w:tcW w:type="dxa" w:w="864"/>
            <w:vAlign w:val="top"/>
            <w:tcMar>
              <w:top w:w="40" w:type="dxa"/>
              <w:left w:w="40" w:type="dxa"/>
              <w:bottom w:w="40" w:type="dxa"/>
              <w:right w:w="40" w:type="dxa"/>
            </w:tcMar>
          </w:tcPr>
          <w:p>
            <w:pPr>
              <w:spacing w:after="0"/>
            </w:pPr>
            <w:r/>
            <w:r>
              <w:rPr>
                <w:b w:val="0"/>
                <w:sz w:val="14"/>
              </w:rPr>
              <w:t>OK</w:t>
            </w:r>
          </w:p>
        </w:tc>
      </w:tr>
      <w:tr>
        <w:trPr>
          <w:cantSplit/>
        </w:trP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80.0</w:t>
            </w:r>
          </w:p>
        </w:tc>
        <w:tc>
          <w:tcPr>
            <w:tcW w:type="dxa" w:w="1440"/>
            <w:vAlign w:val="top"/>
            <w:tcMar>
              <w:top w:w="40" w:type="dxa"/>
              <w:left w:w="40" w:type="dxa"/>
              <w:bottom w:w="40" w:type="dxa"/>
              <w:right w:w="40" w:type="dxa"/>
            </w:tcMar>
          </w:tcPr>
          <w:p>
            <w:pPr>
              <w:spacing w:after="0"/>
            </w:pPr>
            <w:r/>
            <w:r>
              <w:rPr>
                <w:b w:val="0"/>
                <w:sz w:val="14"/>
              </w:rPr>
              <w:t>1231.1±40.4</w:t>
            </w:r>
          </w:p>
        </w:tc>
        <w:tc>
          <w:tcPr>
            <w:tcW w:type="dxa" w:w="1440"/>
            <w:vAlign w:val="top"/>
            <w:tcMar>
              <w:top w:w="40" w:type="dxa"/>
              <w:left w:w="40" w:type="dxa"/>
              <w:bottom w:w="40" w:type="dxa"/>
              <w:right w:w="40" w:type="dxa"/>
            </w:tcMar>
          </w:tcPr>
          <w:p>
            <w:pPr>
              <w:spacing w:after="0"/>
            </w:pPr>
            <w:r/>
            <w:r>
              <w:rPr>
                <w:b w:val="0"/>
                <w:sz w:val="14"/>
              </w:rPr>
              <w:t>1067.7±32.3</w:t>
            </w:r>
          </w:p>
        </w:tc>
        <w:tc>
          <w:tcPr>
            <w:tcW w:type="dxa" w:w="1440"/>
            <w:vAlign w:val="top"/>
            <w:tcMar>
              <w:top w:w="40" w:type="dxa"/>
              <w:left w:w="40" w:type="dxa"/>
              <w:bottom w:w="40" w:type="dxa"/>
              <w:right w:w="40" w:type="dxa"/>
            </w:tcMar>
          </w:tcPr>
          <w:p>
            <w:pPr>
              <w:spacing w:after="0"/>
            </w:pPr>
            <w:r/>
            <w:r>
              <w:rPr>
                <w:b w:val="0"/>
                <w:sz w:val="14"/>
              </w:rPr>
              <w:t>0.87x</w:t>
            </w:r>
          </w:p>
        </w:tc>
        <w:tc>
          <w:tcPr>
            <w:tcW w:type="dxa" w:w="1440"/>
            <w:vAlign w:val="top"/>
            <w:tcMar>
              <w:top w:w="40" w:type="dxa"/>
              <w:left w:w="40" w:type="dxa"/>
              <w:bottom w:w="40" w:type="dxa"/>
              <w:right w:w="40" w:type="dxa"/>
            </w:tcMar>
          </w:tcPr>
          <w:p>
            <w:pPr>
              <w:spacing w:after="0"/>
            </w:pPr>
            <w:r/>
            <w:r>
              <w:rPr>
                <w:b w:val="0"/>
                <w:sz w:val="14"/>
              </w:rPr>
              <w:t>0.820</w:t>
            </w:r>
          </w:p>
        </w:tc>
        <w:tc>
          <w:tcPr>
            <w:tcW w:type="dxa" w:w="864"/>
            <w:vAlign w:val="top"/>
            <w:tcMar>
              <w:top w:w="40" w:type="dxa"/>
              <w:left w:w="40" w:type="dxa"/>
              <w:bottom w:w="40" w:type="dxa"/>
              <w:right w:w="40" w:type="dxa"/>
            </w:tcMar>
          </w:tcPr>
          <w:p>
            <w:pPr>
              <w:spacing w:after="0"/>
            </w:pPr>
            <w:r/>
            <w:r>
              <w:rPr>
                <w:b w:val="0"/>
                <w:sz w:val="14"/>
              </w:rPr>
              <w:t>OK</w:t>
            </w:r>
          </w:p>
        </w:tc>
      </w:tr>
      <w:tr>
        <w:trPr>
          <w:cantSplit/>
        </w:trP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20.0</w:t>
            </w:r>
          </w:p>
        </w:tc>
        <w:tc>
          <w:tcPr>
            <w:tcW w:type="dxa" w:w="1440"/>
            <w:vAlign w:val="top"/>
            <w:tcMar>
              <w:top w:w="40" w:type="dxa"/>
              <w:left w:w="40" w:type="dxa"/>
              <w:bottom w:w="40" w:type="dxa"/>
              <w:right w:w="40" w:type="dxa"/>
            </w:tcMar>
          </w:tcPr>
          <w:p>
            <w:pPr>
              <w:spacing w:after="0"/>
            </w:pPr>
            <w:r/>
            <w:r>
              <w:rPr>
                <w:b w:val="0"/>
                <w:sz w:val="14"/>
              </w:rPr>
              <w:t>366.7±17.8</w:t>
            </w:r>
          </w:p>
        </w:tc>
        <w:tc>
          <w:tcPr>
            <w:tcW w:type="dxa" w:w="1440"/>
            <w:vAlign w:val="top"/>
            <w:tcMar>
              <w:top w:w="40" w:type="dxa"/>
              <w:left w:w="40" w:type="dxa"/>
              <w:bottom w:w="40" w:type="dxa"/>
              <w:right w:w="40" w:type="dxa"/>
            </w:tcMar>
          </w:tcPr>
          <w:p>
            <w:pPr>
              <w:spacing w:after="0"/>
            </w:pPr>
            <w:r/>
            <w:r>
              <w:rPr>
                <w:b w:val="0"/>
                <w:sz w:val="14"/>
              </w:rPr>
              <w:t>323.4±9.8</w:t>
            </w:r>
          </w:p>
        </w:tc>
        <w:tc>
          <w:tcPr>
            <w:tcW w:type="dxa" w:w="1440"/>
            <w:vAlign w:val="top"/>
            <w:tcMar>
              <w:top w:w="40" w:type="dxa"/>
              <w:left w:w="40" w:type="dxa"/>
              <w:bottom w:w="40" w:type="dxa"/>
              <w:right w:w="40" w:type="dxa"/>
            </w:tcMar>
          </w:tcPr>
          <w:p>
            <w:pPr>
              <w:spacing w:after="0"/>
            </w:pPr>
            <w:r/>
            <w:r>
              <w:rPr>
                <w:b w:val="0"/>
                <w:sz w:val="14"/>
              </w:rPr>
              <w:t>0.88x</w:t>
            </w:r>
          </w:p>
        </w:tc>
        <w:tc>
          <w:tcPr>
            <w:tcW w:type="dxa" w:w="1440"/>
            <w:vAlign w:val="top"/>
            <w:tcMar>
              <w:top w:w="40" w:type="dxa"/>
              <w:left w:w="40" w:type="dxa"/>
              <w:bottom w:w="40" w:type="dxa"/>
              <w:right w:w="40" w:type="dxa"/>
            </w:tcMar>
          </w:tcPr>
          <w:p>
            <w:pPr>
              <w:spacing w:after="0"/>
            </w:pPr>
            <w:r/>
            <w:r>
              <w:rPr>
                <w:b w:val="0"/>
                <w:sz w:val="14"/>
              </w:rPr>
              <w:t>0.815</w:t>
            </w:r>
          </w:p>
        </w:tc>
        <w:tc>
          <w:tcPr>
            <w:tcW w:type="dxa" w:w="864"/>
            <w:vAlign w:val="top"/>
            <w:tcMar>
              <w:top w:w="40" w:type="dxa"/>
              <w:left w:w="40" w:type="dxa"/>
              <w:bottom w:w="40" w:type="dxa"/>
              <w:right w:w="40" w:type="dxa"/>
            </w:tcMar>
          </w:tcPr>
          <w:p>
            <w:pPr>
              <w:spacing w:after="0"/>
            </w:pPr>
            <w:r/>
            <w:r>
              <w:rPr>
                <w:b w:val="0"/>
                <w:sz w:val="14"/>
              </w:rPr>
              <w:t>OK</w:t>
            </w:r>
          </w:p>
        </w:tc>
      </w:tr>
      <w:tr>
        <w:trPr>
          <w:cantSplit/>
        </w:trP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80.0</w:t>
            </w:r>
          </w:p>
        </w:tc>
        <w:tc>
          <w:tcPr>
            <w:tcW w:type="dxa" w:w="1440"/>
            <w:vAlign w:val="top"/>
            <w:tcMar>
              <w:top w:w="40" w:type="dxa"/>
              <w:left w:w="40" w:type="dxa"/>
              <w:bottom w:w="40" w:type="dxa"/>
              <w:right w:w="40" w:type="dxa"/>
            </w:tcMar>
          </w:tcPr>
          <w:p>
            <w:pPr>
              <w:spacing w:after="0"/>
            </w:pPr>
            <w:r/>
            <w:r>
              <w:rPr>
                <w:b w:val="0"/>
                <w:sz w:val="14"/>
              </w:rPr>
              <w:t>789.4±11.0</w:t>
            </w:r>
          </w:p>
        </w:tc>
        <w:tc>
          <w:tcPr>
            <w:tcW w:type="dxa" w:w="1440"/>
            <w:vAlign w:val="top"/>
            <w:tcMar>
              <w:top w:w="40" w:type="dxa"/>
              <w:left w:w="40" w:type="dxa"/>
              <w:bottom w:w="40" w:type="dxa"/>
              <w:right w:w="40" w:type="dxa"/>
            </w:tcMar>
          </w:tcPr>
          <w:p>
            <w:pPr>
              <w:spacing w:after="0"/>
            </w:pPr>
            <w:r/>
            <w:r>
              <w:rPr>
                <w:b w:val="0"/>
                <w:sz w:val="14"/>
              </w:rPr>
              <w:t>798.8±8.6</w:t>
            </w:r>
          </w:p>
        </w:tc>
        <w:tc>
          <w:tcPr>
            <w:tcW w:type="dxa" w:w="1440"/>
            <w:vAlign w:val="top"/>
            <w:tcMar>
              <w:top w:w="40" w:type="dxa"/>
              <w:left w:w="40" w:type="dxa"/>
              <w:bottom w:w="40" w:type="dxa"/>
              <w:right w:w="40" w:type="dxa"/>
            </w:tcMar>
          </w:tcPr>
          <w:p>
            <w:pPr>
              <w:spacing w:after="0"/>
            </w:pPr>
            <w:r/>
            <w:r>
              <w:rPr>
                <w:b w:val="0"/>
                <w:sz w:val="14"/>
              </w:rPr>
              <w:t>1.01x</w:t>
            </w:r>
          </w:p>
        </w:tc>
        <w:tc>
          <w:tcPr>
            <w:tcW w:type="dxa" w:w="1440"/>
            <w:vAlign w:val="top"/>
            <w:tcMar>
              <w:top w:w="40" w:type="dxa"/>
              <w:left w:w="40" w:type="dxa"/>
              <w:bottom w:w="40" w:type="dxa"/>
              <w:right w:w="40" w:type="dxa"/>
            </w:tcMar>
          </w:tcPr>
          <w:p>
            <w:pPr>
              <w:spacing w:after="0"/>
            </w:pPr>
            <w:r/>
            <w:r>
              <w:rPr>
                <w:b w:val="0"/>
                <w:sz w:val="14"/>
              </w:rPr>
              <w:t>0.783</w:t>
            </w:r>
          </w:p>
        </w:tc>
        <w:tc>
          <w:tcPr>
            <w:tcW w:type="dxa" w:w="864"/>
            <w:vAlign w:val="top"/>
            <w:tcMar>
              <w:top w:w="40" w:type="dxa"/>
              <w:left w:w="40" w:type="dxa"/>
              <w:bottom w:w="40" w:type="dxa"/>
              <w:right w:w="40" w:type="dxa"/>
            </w:tcMar>
          </w:tcPr>
          <w:p>
            <w:pPr>
              <w:spacing w:after="0"/>
            </w:pPr>
            <w:r/>
            <w:r>
              <w:rPr>
                <w:b w:val="0"/>
                <w:sz w:val="14"/>
              </w:rPr>
              <w:t>OK</w:t>
            </w:r>
          </w:p>
        </w:tc>
      </w:tr>
      <w:tr>
        <w:trPr>
          <w:cantSplit/>
        </w:trP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20.0</w:t>
            </w:r>
          </w:p>
        </w:tc>
        <w:tc>
          <w:tcPr>
            <w:tcW w:type="dxa" w:w="1440"/>
            <w:vAlign w:val="top"/>
            <w:tcMar>
              <w:top w:w="40" w:type="dxa"/>
              <w:left w:w="40" w:type="dxa"/>
              <w:bottom w:w="40" w:type="dxa"/>
              <w:right w:w="40" w:type="dxa"/>
            </w:tcMar>
          </w:tcPr>
          <w:p>
            <w:pPr>
              <w:spacing w:after="0"/>
            </w:pPr>
            <w:r/>
            <w:r>
              <w:rPr>
                <w:b w:val="0"/>
                <w:sz w:val="14"/>
              </w:rPr>
              <w:t>2040.9±58.1</w:t>
            </w:r>
          </w:p>
        </w:tc>
        <w:tc>
          <w:tcPr>
            <w:tcW w:type="dxa" w:w="1440"/>
            <w:vAlign w:val="top"/>
            <w:tcMar>
              <w:top w:w="40" w:type="dxa"/>
              <w:left w:w="40" w:type="dxa"/>
              <w:bottom w:w="40" w:type="dxa"/>
              <w:right w:w="40" w:type="dxa"/>
            </w:tcMar>
          </w:tcPr>
          <w:p>
            <w:pPr>
              <w:spacing w:after="0"/>
            </w:pPr>
            <w:r/>
            <w:r>
              <w:rPr>
                <w:b w:val="0"/>
                <w:sz w:val="14"/>
              </w:rPr>
              <w:t>1933.9±102.0</w:t>
            </w:r>
          </w:p>
        </w:tc>
        <w:tc>
          <w:tcPr>
            <w:tcW w:type="dxa" w:w="1440"/>
            <w:vAlign w:val="top"/>
            <w:tcMar>
              <w:top w:w="40" w:type="dxa"/>
              <w:left w:w="40" w:type="dxa"/>
              <w:bottom w:w="40" w:type="dxa"/>
              <w:right w:w="40" w:type="dxa"/>
            </w:tcMar>
          </w:tcPr>
          <w:p>
            <w:pPr>
              <w:spacing w:after="0"/>
            </w:pPr>
            <w:r/>
            <w:r>
              <w:rPr>
                <w:b w:val="0"/>
                <w:sz w:val="14"/>
              </w:rPr>
              <w:t>0.95x</w:t>
            </w:r>
          </w:p>
        </w:tc>
        <w:tc>
          <w:tcPr>
            <w:tcW w:type="dxa" w:w="1440"/>
            <w:vAlign w:val="top"/>
            <w:tcMar>
              <w:top w:w="40" w:type="dxa"/>
              <w:left w:w="40" w:type="dxa"/>
              <w:bottom w:w="40" w:type="dxa"/>
              <w:right w:w="40" w:type="dxa"/>
            </w:tcMar>
          </w:tcPr>
          <w:p>
            <w:pPr>
              <w:spacing w:after="0"/>
            </w:pPr>
            <w:r/>
            <w:r>
              <w:rPr>
                <w:b w:val="0"/>
                <w:sz w:val="14"/>
              </w:rPr>
              <w:t>0.756</w:t>
            </w:r>
          </w:p>
        </w:tc>
        <w:tc>
          <w:tcPr>
            <w:tcW w:type="dxa" w:w="864"/>
            <w:vAlign w:val="top"/>
            <w:tcMar>
              <w:top w:w="40" w:type="dxa"/>
              <w:left w:w="40" w:type="dxa"/>
              <w:bottom w:w="40" w:type="dxa"/>
              <w:right w:w="40" w:type="dxa"/>
            </w:tcMar>
          </w:tcPr>
          <w:p>
            <w:pPr>
              <w:spacing w:after="0"/>
            </w:pPr>
            <w:r/>
            <w:r>
              <w:rPr>
                <w:b w:val="0"/>
                <w:sz w:val="14"/>
              </w:rPr>
              <w:t>OK</w:t>
            </w:r>
          </w:p>
        </w:tc>
      </w:tr>
      <w:tr>
        <w:trPr>
          <w:cantSplit/>
        </w:trP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80.0</w:t>
            </w:r>
          </w:p>
        </w:tc>
        <w:tc>
          <w:tcPr>
            <w:tcW w:type="dxa" w:w="1440"/>
            <w:vAlign w:val="top"/>
            <w:tcMar>
              <w:top w:w="40" w:type="dxa"/>
              <w:left w:w="40" w:type="dxa"/>
              <w:bottom w:w="40" w:type="dxa"/>
              <w:right w:w="40" w:type="dxa"/>
            </w:tcMar>
          </w:tcPr>
          <w:p>
            <w:pPr>
              <w:spacing w:after="0"/>
            </w:pPr>
            <w:r/>
            <w:r>
              <w:rPr>
                <w:b w:val="0"/>
                <w:sz w:val="14"/>
              </w:rPr>
              <w:t>3021.0±674.4</w:t>
            </w:r>
          </w:p>
        </w:tc>
        <w:tc>
          <w:tcPr>
            <w:tcW w:type="dxa" w:w="1440"/>
            <w:vAlign w:val="top"/>
            <w:tcMar>
              <w:top w:w="40" w:type="dxa"/>
              <w:left w:w="40" w:type="dxa"/>
              <w:bottom w:w="40" w:type="dxa"/>
              <w:right w:w="40" w:type="dxa"/>
            </w:tcMar>
          </w:tcPr>
          <w:p>
            <w:pPr>
              <w:spacing w:after="0"/>
            </w:pPr>
            <w:r/>
            <w:r>
              <w:rPr>
                <w:b w:val="0"/>
                <w:sz w:val="14"/>
              </w:rPr>
              <w:t>3873.6±629.1</w:t>
            </w:r>
          </w:p>
        </w:tc>
        <w:tc>
          <w:tcPr>
            <w:tcW w:type="dxa" w:w="1440"/>
            <w:vAlign w:val="top"/>
            <w:tcMar>
              <w:top w:w="40" w:type="dxa"/>
              <w:left w:w="40" w:type="dxa"/>
              <w:bottom w:w="40" w:type="dxa"/>
              <w:right w:w="40" w:type="dxa"/>
            </w:tcMar>
          </w:tcPr>
          <w:p>
            <w:pPr>
              <w:spacing w:after="0"/>
            </w:pPr>
            <w:r/>
            <w:r>
              <w:rPr>
                <w:b w:val="0"/>
                <w:sz w:val="14"/>
              </w:rPr>
              <w:t>1.30x</w:t>
            </w:r>
          </w:p>
        </w:tc>
        <w:tc>
          <w:tcPr>
            <w:tcW w:type="dxa" w:w="1440"/>
            <w:vAlign w:val="top"/>
            <w:tcMar>
              <w:top w:w="40" w:type="dxa"/>
              <w:left w:w="40" w:type="dxa"/>
              <w:bottom w:w="40" w:type="dxa"/>
              <w:right w:w="40" w:type="dxa"/>
            </w:tcMar>
          </w:tcPr>
          <w:p>
            <w:pPr>
              <w:spacing w:after="0"/>
            </w:pPr>
            <w:r/>
            <w:r>
              <w:rPr>
                <w:b w:val="0"/>
                <w:sz w:val="14"/>
              </w:rPr>
              <w:t>0.691</w:t>
            </w:r>
          </w:p>
        </w:tc>
        <w:tc>
          <w:tcPr>
            <w:tcW w:type="dxa" w:w="864"/>
            <w:vAlign w:val="top"/>
            <w:tcMar>
              <w:top w:w="40" w:type="dxa"/>
              <w:left w:w="40" w:type="dxa"/>
              <w:bottom w:w="40" w:type="dxa"/>
              <w:right w:w="40" w:type="dxa"/>
            </w:tcMar>
          </w:tcPr>
          <w:p>
            <w:pPr>
              <w:spacing w:after="0"/>
            </w:pPr>
            <w:r/>
            <w:r>
              <w:rPr>
                <w:b w:val="0"/>
                <w:sz w:val="14"/>
              </w:rPr>
              <w:t>OK</w:t>
            </w:r>
          </w:p>
        </w:tc>
      </w:tr>
      <w:tr>
        <w:trPr>
          <w:cantSplit/>
        </w:trP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20.0</w:t>
            </w:r>
          </w:p>
        </w:tc>
        <w:tc>
          <w:tcPr>
            <w:tcW w:type="dxa" w:w="1440"/>
            <w:vAlign w:val="top"/>
            <w:tcMar>
              <w:top w:w="40" w:type="dxa"/>
              <w:left w:w="40" w:type="dxa"/>
              <w:bottom w:w="40" w:type="dxa"/>
              <w:right w:w="40" w:type="dxa"/>
            </w:tcMar>
          </w:tcPr>
          <w:p>
            <w:pPr>
              <w:spacing w:after="0"/>
            </w:pPr>
            <w:r/>
            <w:r>
              <w:rPr>
                <w:b w:val="0"/>
                <w:sz w:val="14"/>
              </w:rPr>
              <w:t>1103.8±95.3</w:t>
            </w:r>
          </w:p>
        </w:tc>
        <w:tc>
          <w:tcPr>
            <w:tcW w:type="dxa" w:w="1440"/>
            <w:vAlign w:val="top"/>
            <w:tcMar>
              <w:top w:w="40" w:type="dxa"/>
              <w:left w:w="40" w:type="dxa"/>
              <w:bottom w:w="40" w:type="dxa"/>
              <w:right w:w="40" w:type="dxa"/>
            </w:tcMar>
          </w:tcPr>
          <w:p>
            <w:pPr>
              <w:spacing w:after="0"/>
            </w:pPr>
            <w:r/>
            <w:r>
              <w:rPr>
                <w:b w:val="0"/>
                <w:sz w:val="14"/>
              </w:rPr>
              <w:t>1247.4±77.6</w:t>
            </w:r>
          </w:p>
        </w:tc>
        <w:tc>
          <w:tcPr>
            <w:tcW w:type="dxa" w:w="1440"/>
            <w:vAlign w:val="top"/>
            <w:tcMar>
              <w:top w:w="40" w:type="dxa"/>
              <w:left w:w="40" w:type="dxa"/>
              <w:bottom w:w="40" w:type="dxa"/>
              <w:right w:w="40" w:type="dxa"/>
            </w:tcMar>
          </w:tcPr>
          <w:p>
            <w:pPr>
              <w:spacing w:after="0"/>
            </w:pPr>
            <w:r/>
            <w:r>
              <w:rPr>
                <w:b w:val="0"/>
                <w:sz w:val="14"/>
              </w:rPr>
              <w:t>1.13x</w:t>
            </w:r>
          </w:p>
        </w:tc>
        <w:tc>
          <w:tcPr>
            <w:tcW w:type="dxa" w:w="1440"/>
            <w:vAlign w:val="top"/>
            <w:tcMar>
              <w:top w:w="40" w:type="dxa"/>
              <w:left w:w="40" w:type="dxa"/>
              <w:bottom w:w="40" w:type="dxa"/>
              <w:right w:w="40" w:type="dxa"/>
            </w:tcMar>
          </w:tcPr>
          <w:p>
            <w:pPr>
              <w:spacing w:after="0"/>
            </w:pPr>
            <w:r/>
            <w:r>
              <w:rPr>
                <w:b w:val="0"/>
                <w:sz w:val="14"/>
              </w:rPr>
              <w:t>0.718</w:t>
            </w:r>
          </w:p>
        </w:tc>
        <w:tc>
          <w:tcPr>
            <w:tcW w:type="dxa" w:w="864"/>
            <w:vAlign w:val="top"/>
            <w:tcMar>
              <w:top w:w="40" w:type="dxa"/>
              <w:left w:w="40" w:type="dxa"/>
              <w:bottom w:w="40" w:type="dxa"/>
              <w:right w:w="40" w:type="dxa"/>
            </w:tcMar>
          </w:tcPr>
          <w:p>
            <w:pPr>
              <w:spacing w:after="0"/>
            </w:pPr>
            <w:r/>
            <w:r>
              <w:rPr>
                <w:b w:val="0"/>
                <w:sz w:val="14"/>
              </w:rPr>
              <w:t>OK</w:t>
            </w:r>
          </w:p>
        </w:tc>
      </w:tr>
      <w:tr>
        <w:trPr>
          <w:cantSplit/>
        </w:trP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80.0</w:t>
            </w:r>
          </w:p>
        </w:tc>
        <w:tc>
          <w:tcPr>
            <w:tcW w:type="dxa" w:w="1440"/>
            <w:vAlign w:val="top"/>
            <w:tcMar>
              <w:top w:w="40" w:type="dxa"/>
              <w:left w:w="40" w:type="dxa"/>
              <w:bottom w:w="40" w:type="dxa"/>
              <w:right w:w="40" w:type="dxa"/>
            </w:tcMar>
          </w:tcPr>
          <w:p>
            <w:pPr>
              <w:spacing w:after="0"/>
            </w:pPr>
            <w:r/>
            <w:r>
              <w:rPr>
                <w:b w:val="0"/>
                <w:sz w:val="14"/>
              </w:rPr>
              <w:t>1427.1±29.5</w:t>
            </w:r>
          </w:p>
        </w:tc>
        <w:tc>
          <w:tcPr>
            <w:tcW w:type="dxa" w:w="1440"/>
            <w:vAlign w:val="top"/>
            <w:tcMar>
              <w:top w:w="40" w:type="dxa"/>
              <w:left w:w="40" w:type="dxa"/>
              <w:bottom w:w="40" w:type="dxa"/>
              <w:right w:w="40" w:type="dxa"/>
            </w:tcMar>
          </w:tcPr>
          <w:p>
            <w:pPr>
              <w:spacing w:after="0"/>
            </w:pPr>
            <w:r/>
            <w:r>
              <w:rPr>
                <w:b w:val="0"/>
                <w:sz w:val="14"/>
              </w:rPr>
              <w:t>1175.0±21.6</w:t>
            </w:r>
          </w:p>
        </w:tc>
        <w:tc>
          <w:tcPr>
            <w:tcW w:type="dxa" w:w="1440"/>
            <w:vAlign w:val="top"/>
            <w:tcMar>
              <w:top w:w="40" w:type="dxa"/>
              <w:left w:w="40" w:type="dxa"/>
              <w:bottom w:w="40" w:type="dxa"/>
              <w:right w:w="40" w:type="dxa"/>
            </w:tcMar>
          </w:tcPr>
          <w:p>
            <w:pPr>
              <w:spacing w:after="0"/>
            </w:pPr>
            <w:r/>
            <w:r>
              <w:rPr>
                <w:b w:val="0"/>
                <w:sz w:val="14"/>
              </w:rPr>
              <w:t>0.82x</w:t>
            </w:r>
          </w:p>
        </w:tc>
        <w:tc>
          <w:tcPr>
            <w:tcW w:type="dxa" w:w="1440"/>
            <w:vAlign w:val="top"/>
            <w:tcMar>
              <w:top w:w="40" w:type="dxa"/>
              <w:left w:w="40" w:type="dxa"/>
              <w:bottom w:w="40" w:type="dxa"/>
              <w:right w:w="40" w:type="dxa"/>
            </w:tcMar>
          </w:tcPr>
          <w:p>
            <w:pPr>
              <w:spacing w:after="0"/>
            </w:pPr>
            <w:r/>
            <w:r>
              <w:rPr>
                <w:b w:val="0"/>
                <w:sz w:val="14"/>
              </w:rPr>
              <w:t>0.788</w:t>
            </w:r>
          </w:p>
        </w:tc>
        <w:tc>
          <w:tcPr>
            <w:tcW w:type="dxa" w:w="864"/>
            <w:vAlign w:val="top"/>
            <w:tcMar>
              <w:top w:w="40" w:type="dxa"/>
              <w:left w:w="40" w:type="dxa"/>
              <w:bottom w:w="40" w:type="dxa"/>
              <w:right w:w="40" w:type="dxa"/>
            </w:tcMar>
          </w:tcPr>
          <w:p>
            <w:pPr>
              <w:spacing w:after="0"/>
            </w:pPr>
            <w:r/>
            <w:r>
              <w:rPr>
                <w:b w:val="0"/>
                <w:sz w:val="14"/>
              </w:rPr>
              <w:t>OK</w:t>
            </w:r>
          </w:p>
        </w:tc>
      </w:tr>
    </w:tbl>
    <w:p/>
    <w:p>
      <w:pPr>
        <w:spacing w:after="80" w:before="0"/>
      </w:pPr>
      <w:r>
        <w:rPr>
          <w:sz w:val="20"/>
        </w:rPr>
        <w:t>Table 21 turns the qualitative miss-rate claim into a sensitivity check. It uses the same native aioquic stream mapping and full-duplex userspace shaper at the constrained 5 Mbps, 20 ms point, but varies receiver dictionary thinning on the byte-stable demo payload. As the semantic miss fraction rises from about 1 percent to about 49 percent, ReduLink's stream multiplier falls from 5.75x to 1.48x and the completion-time advantage narrows from roughly 0.64-0.74x to 0.85x of the raw flow. This does not replace a broader rate/RTT grid, and the first row has high raw-flow timing dispersion, but it directly supports the mechanism-level explanation: repair payloads and reverse MISS/FULL round trips progressively consume the byte-saving advantage while preserving byte-exact reconstruction.</w:t>
      </w:r>
    </w:p>
    <w:p>
      <w:pPr>
        <w:keepNext/>
        <w:spacing w:after="40" w:before="120"/>
      </w:pPr>
      <w:r>
        <w:rPr>
          <w:b/>
          <w:sz w:val="18"/>
        </w:rPr>
        <w:t>Table 21. Native QUIC miss-rate sensitivity at 5 Mbps and 20 ms RTT on byte-stable demo bytes (three rounds per point).</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rPr>
          <w:cantSplit/>
          <w:tblHeader w:val="true"/>
        </w:trPr>
        <w:tc>
          <w:tcPr>
            <w:tcW w:type="dxa" w:w="1584"/>
            <w:vAlign w:val="top"/>
            <w:tcMar>
              <w:top w:w="40" w:type="dxa"/>
              <w:left w:w="40" w:type="dxa"/>
              <w:bottom w:w="40" w:type="dxa"/>
              <w:right w:w="40" w:type="dxa"/>
            </w:tcMar>
          </w:tcPr>
          <w:p>
            <w:pPr>
              <w:spacing w:after="0"/>
            </w:pPr>
            <w:r/>
            <w:r>
              <w:rPr>
                <w:b/>
                <w:sz w:val="14"/>
              </w:rPr>
              <w:t>Dictionary thinning</w:t>
            </w:r>
          </w:p>
        </w:tc>
        <w:tc>
          <w:tcPr>
            <w:tcW w:type="dxa" w:w="1296"/>
            <w:vAlign w:val="top"/>
            <w:tcMar>
              <w:top w:w="40" w:type="dxa"/>
              <w:left w:w="40" w:type="dxa"/>
              <w:bottom w:w="40" w:type="dxa"/>
              <w:right w:w="40" w:type="dxa"/>
            </w:tcMar>
          </w:tcPr>
          <w:p>
            <w:pPr>
              <w:spacing w:after="0"/>
            </w:pPr>
            <w:r/>
            <w:r>
              <w:rPr>
                <w:b/>
                <w:sz w:val="14"/>
              </w:rPr>
              <w:t>Miss fraction</w:t>
            </w:r>
          </w:p>
        </w:tc>
        <w:tc>
          <w:tcPr>
            <w:tcW w:type="dxa" w:w="1584"/>
            <w:vAlign w:val="top"/>
            <w:tcMar>
              <w:top w:w="40" w:type="dxa"/>
              <w:left w:w="40" w:type="dxa"/>
              <w:bottom w:w="40" w:type="dxa"/>
              <w:right w:w="40" w:type="dxa"/>
            </w:tcMar>
          </w:tcPr>
          <w:p>
            <w:pPr>
              <w:spacing w:after="0"/>
            </w:pPr>
            <w:r/>
            <w:r>
              <w:rPr>
                <w:b/>
                <w:sz w:val="14"/>
              </w:rPr>
              <w:t>Raw ms</w:t>
            </w:r>
          </w:p>
        </w:tc>
        <w:tc>
          <w:tcPr>
            <w:tcW w:type="dxa" w:w="1584"/>
            <w:vAlign w:val="top"/>
            <w:tcMar>
              <w:top w:w="40" w:type="dxa"/>
              <w:left w:w="40" w:type="dxa"/>
              <w:bottom w:w="40" w:type="dxa"/>
              <w:right w:w="40" w:type="dxa"/>
            </w:tcMar>
          </w:tcPr>
          <w:p>
            <w:pPr>
              <w:spacing w:after="0"/>
            </w:pPr>
            <w:r/>
            <w:r>
              <w:rPr>
                <w:b/>
                <w:sz w:val="14"/>
              </w:rPr>
              <w:t>ReduLink ms</w:t>
            </w:r>
          </w:p>
        </w:tc>
        <w:tc>
          <w:tcPr>
            <w:tcW w:type="dxa" w:w="1008"/>
            <w:vAlign w:val="top"/>
            <w:tcMar>
              <w:top w:w="40" w:type="dxa"/>
              <w:left w:w="40" w:type="dxa"/>
              <w:bottom w:w="40" w:type="dxa"/>
              <w:right w:w="40" w:type="dxa"/>
            </w:tcMar>
          </w:tcPr>
          <w:p>
            <w:pPr>
              <w:spacing w:after="0"/>
            </w:pPr>
            <w:r/>
            <w:r>
              <w:rPr>
                <w:b/>
                <w:sz w:val="14"/>
              </w:rPr>
              <w:t>RL/raw</w:t>
            </w:r>
          </w:p>
        </w:tc>
        <w:tc>
          <w:tcPr>
            <w:tcW w:type="dxa" w:w="1152"/>
            <w:vAlign w:val="top"/>
            <w:tcMar>
              <w:top w:w="40" w:type="dxa"/>
              <w:left w:w="40" w:type="dxa"/>
              <w:bottom w:w="40" w:type="dxa"/>
              <w:right w:w="40" w:type="dxa"/>
            </w:tcMar>
          </w:tcPr>
          <w:p>
            <w:pPr>
              <w:spacing w:after="0"/>
            </w:pPr>
            <w:r/>
            <w:r>
              <w:rPr>
                <w:b/>
                <w:sz w:val="14"/>
              </w:rPr>
              <w:t>Stream x</w:t>
            </w:r>
          </w:p>
        </w:tc>
        <w:tc>
          <w:tcPr>
            <w:tcW w:type="dxa" w:w="864"/>
            <w:vAlign w:val="top"/>
            <w:tcMar>
              <w:top w:w="40" w:type="dxa"/>
              <w:left w:w="40" w:type="dxa"/>
              <w:bottom w:w="40" w:type="dxa"/>
              <w:right w:w="40" w:type="dxa"/>
            </w:tcMar>
          </w:tcPr>
          <w:p>
            <w:pPr>
              <w:spacing w:after="0"/>
            </w:pPr>
            <w:r/>
            <w:r>
              <w:rPr>
                <w:b/>
                <w:sz w:val="14"/>
              </w:rPr>
              <w:t>Recon.</w:t>
            </w:r>
          </w:p>
        </w:tc>
      </w:tr>
      <w:tr>
        <w:trPr>
          <w:cantSplit/>
        </w:trPr>
        <w:tc>
          <w:tcPr>
            <w:tcW w:type="dxa" w:w="1584"/>
            <w:vAlign w:val="top"/>
            <w:tcMar>
              <w:top w:w="40" w:type="dxa"/>
              <w:left w:w="40" w:type="dxa"/>
              <w:bottom w:w="40" w:type="dxa"/>
              <w:right w:w="40" w:type="dxa"/>
            </w:tcMar>
          </w:tcPr>
          <w:p>
            <w:pPr>
              <w:spacing w:after="0"/>
            </w:pPr>
            <w:r/>
            <w:r>
              <w:rPr>
                <w:b w:val="0"/>
                <w:sz w:val="14"/>
              </w:rPr>
              <w:t>0</w:t>
            </w:r>
          </w:p>
        </w:tc>
        <w:tc>
          <w:tcPr>
            <w:tcW w:type="dxa" w:w="1296"/>
            <w:vAlign w:val="top"/>
            <w:tcMar>
              <w:top w:w="40" w:type="dxa"/>
              <w:left w:w="40" w:type="dxa"/>
              <w:bottom w:w="40" w:type="dxa"/>
              <w:right w:w="40" w:type="dxa"/>
            </w:tcMar>
          </w:tcPr>
          <w:p>
            <w:pPr>
              <w:spacing w:after="0"/>
            </w:pPr>
            <w:r/>
            <w:r>
              <w:rPr>
                <w:b w:val="0"/>
                <w:sz w:val="14"/>
              </w:rPr>
              <w:t>1.1%</w:t>
            </w:r>
          </w:p>
        </w:tc>
        <w:tc>
          <w:tcPr>
            <w:tcW w:type="dxa" w:w="1584"/>
            <w:vAlign w:val="top"/>
            <w:tcMar>
              <w:top w:w="40" w:type="dxa"/>
              <w:left w:w="40" w:type="dxa"/>
              <w:bottom w:w="40" w:type="dxa"/>
              <w:right w:w="40" w:type="dxa"/>
            </w:tcMar>
          </w:tcPr>
          <w:p>
            <w:pPr>
              <w:spacing w:after="0"/>
            </w:pPr>
            <w:r/>
            <w:r>
              <w:rPr>
                <w:b w:val="0"/>
                <w:sz w:val="14"/>
              </w:rPr>
              <w:t>925.8±289.9</w:t>
            </w:r>
          </w:p>
        </w:tc>
        <w:tc>
          <w:tcPr>
            <w:tcW w:type="dxa" w:w="1584"/>
            <w:vAlign w:val="top"/>
            <w:tcMar>
              <w:top w:w="40" w:type="dxa"/>
              <w:left w:w="40" w:type="dxa"/>
              <w:bottom w:w="40" w:type="dxa"/>
              <w:right w:w="40" w:type="dxa"/>
            </w:tcMar>
          </w:tcPr>
          <w:p>
            <w:pPr>
              <w:spacing w:after="0"/>
            </w:pPr>
            <w:r/>
            <w:r>
              <w:rPr>
                <w:b w:val="0"/>
                <w:sz w:val="14"/>
              </w:rPr>
              <w:t>664.5±76.3</w:t>
            </w:r>
          </w:p>
        </w:tc>
        <w:tc>
          <w:tcPr>
            <w:tcW w:type="dxa" w:w="1008"/>
            <w:vAlign w:val="top"/>
            <w:tcMar>
              <w:top w:w="40" w:type="dxa"/>
              <w:left w:w="40" w:type="dxa"/>
              <w:bottom w:w="40" w:type="dxa"/>
              <w:right w:w="40" w:type="dxa"/>
            </w:tcMar>
          </w:tcPr>
          <w:p>
            <w:pPr>
              <w:spacing w:after="0"/>
            </w:pPr>
            <w:r/>
            <w:r>
              <w:rPr>
                <w:b w:val="0"/>
                <w:sz w:val="14"/>
              </w:rPr>
              <w:t>0.74x</w:t>
            </w:r>
          </w:p>
        </w:tc>
        <w:tc>
          <w:tcPr>
            <w:tcW w:type="dxa" w:w="1152"/>
            <w:vAlign w:val="top"/>
            <w:tcMar>
              <w:top w:w="40" w:type="dxa"/>
              <w:left w:w="40" w:type="dxa"/>
              <w:bottom w:w="40" w:type="dxa"/>
              <w:right w:w="40" w:type="dxa"/>
            </w:tcMar>
          </w:tcPr>
          <w:p>
            <w:pPr>
              <w:spacing w:after="0"/>
            </w:pPr>
            <w:r/>
            <w:r>
              <w:rPr>
                <w:b w:val="0"/>
                <w:sz w:val="14"/>
              </w:rPr>
              <w:t>5.75x</w:t>
            </w:r>
          </w:p>
        </w:tc>
        <w:tc>
          <w:tcPr>
            <w:tcW w:type="dxa" w:w="864"/>
            <w:vAlign w:val="top"/>
            <w:tcMar>
              <w:top w:w="40" w:type="dxa"/>
              <w:left w:w="40" w:type="dxa"/>
              <w:bottom w:w="40" w:type="dxa"/>
              <w:right w:w="40" w:type="dxa"/>
            </w:tcMar>
          </w:tcPr>
          <w:p>
            <w:pPr>
              <w:spacing w:after="0"/>
            </w:pPr>
            <w:r/>
            <w:r>
              <w:rPr>
                <w:b w:val="0"/>
                <w:sz w:val="14"/>
              </w:rPr>
              <w:t>OK</w:t>
            </w:r>
          </w:p>
        </w:tc>
      </w:tr>
      <w:tr>
        <w:trPr>
          <w:cantSplit/>
        </w:trPr>
        <w:tc>
          <w:tcPr>
            <w:tcW w:type="dxa" w:w="1584"/>
            <w:vAlign w:val="top"/>
            <w:tcMar>
              <w:top w:w="40" w:type="dxa"/>
              <w:left w:w="40" w:type="dxa"/>
              <w:bottom w:w="40" w:type="dxa"/>
              <w:right w:w="40" w:type="dxa"/>
            </w:tcMar>
          </w:tcPr>
          <w:p>
            <w:pPr>
              <w:spacing w:after="0"/>
            </w:pPr>
            <w:r/>
            <w:r>
              <w:rPr>
                <w:b w:val="0"/>
                <w:sz w:val="14"/>
              </w:rPr>
              <w:t>16</w:t>
            </w:r>
          </w:p>
        </w:tc>
        <w:tc>
          <w:tcPr>
            <w:tcW w:type="dxa" w:w="1296"/>
            <w:vAlign w:val="top"/>
            <w:tcMar>
              <w:top w:w="40" w:type="dxa"/>
              <w:left w:w="40" w:type="dxa"/>
              <w:bottom w:w="40" w:type="dxa"/>
              <w:right w:w="40" w:type="dxa"/>
            </w:tcMar>
          </w:tcPr>
          <w:p>
            <w:pPr>
              <w:spacing w:after="0"/>
            </w:pPr>
            <w:r/>
            <w:r>
              <w:rPr>
                <w:b w:val="0"/>
                <w:sz w:val="14"/>
              </w:rPr>
              <w:t>6.7%</w:t>
            </w:r>
          </w:p>
        </w:tc>
        <w:tc>
          <w:tcPr>
            <w:tcW w:type="dxa" w:w="1584"/>
            <w:vAlign w:val="top"/>
            <w:tcMar>
              <w:top w:w="40" w:type="dxa"/>
              <w:left w:w="40" w:type="dxa"/>
              <w:bottom w:w="40" w:type="dxa"/>
              <w:right w:w="40" w:type="dxa"/>
            </w:tcMar>
          </w:tcPr>
          <w:p>
            <w:pPr>
              <w:spacing w:after="0"/>
            </w:pPr>
            <w:r/>
            <w:r>
              <w:rPr>
                <w:b w:val="0"/>
                <w:sz w:val="14"/>
              </w:rPr>
              <w:t>1284.5±3.3</w:t>
            </w:r>
          </w:p>
        </w:tc>
        <w:tc>
          <w:tcPr>
            <w:tcW w:type="dxa" w:w="1584"/>
            <w:vAlign w:val="top"/>
            <w:tcMar>
              <w:top w:w="40" w:type="dxa"/>
              <w:left w:w="40" w:type="dxa"/>
              <w:bottom w:w="40" w:type="dxa"/>
              <w:right w:w="40" w:type="dxa"/>
            </w:tcMar>
          </w:tcPr>
          <w:p>
            <w:pPr>
              <w:spacing w:after="0"/>
            </w:pPr>
            <w:r/>
            <w:r>
              <w:rPr>
                <w:b w:val="0"/>
                <w:sz w:val="14"/>
              </w:rPr>
              <w:t>825.5±5.7</w:t>
            </w:r>
          </w:p>
        </w:tc>
        <w:tc>
          <w:tcPr>
            <w:tcW w:type="dxa" w:w="1008"/>
            <w:vAlign w:val="top"/>
            <w:tcMar>
              <w:top w:w="40" w:type="dxa"/>
              <w:left w:w="40" w:type="dxa"/>
              <w:bottom w:w="40" w:type="dxa"/>
              <w:right w:w="40" w:type="dxa"/>
            </w:tcMar>
          </w:tcPr>
          <w:p>
            <w:pPr>
              <w:spacing w:after="0"/>
            </w:pPr>
            <w:r/>
            <w:r>
              <w:rPr>
                <w:b w:val="0"/>
                <w:sz w:val="14"/>
              </w:rPr>
              <w:t>0.64x</w:t>
            </w:r>
          </w:p>
        </w:tc>
        <w:tc>
          <w:tcPr>
            <w:tcW w:type="dxa" w:w="1152"/>
            <w:vAlign w:val="top"/>
            <w:tcMar>
              <w:top w:w="40" w:type="dxa"/>
              <w:left w:w="40" w:type="dxa"/>
              <w:bottom w:w="40" w:type="dxa"/>
              <w:right w:w="40" w:type="dxa"/>
            </w:tcMar>
          </w:tcPr>
          <w:p>
            <w:pPr>
              <w:spacing w:after="0"/>
            </w:pPr>
            <w:r/>
            <w:r>
              <w:rPr>
                <w:b w:val="0"/>
                <w:sz w:val="14"/>
              </w:rPr>
              <w:t>4.31x</w:t>
            </w:r>
          </w:p>
        </w:tc>
        <w:tc>
          <w:tcPr>
            <w:tcW w:type="dxa" w:w="864"/>
            <w:vAlign w:val="top"/>
            <w:tcMar>
              <w:top w:w="40" w:type="dxa"/>
              <w:left w:w="40" w:type="dxa"/>
              <w:bottom w:w="40" w:type="dxa"/>
              <w:right w:w="40" w:type="dxa"/>
            </w:tcMar>
          </w:tcPr>
          <w:p>
            <w:pPr>
              <w:spacing w:after="0"/>
            </w:pPr>
            <w:r/>
            <w:r>
              <w:rPr>
                <w:b w:val="0"/>
                <w:sz w:val="14"/>
              </w:rPr>
              <w:t>OK</w:t>
            </w:r>
          </w:p>
        </w:tc>
      </w:tr>
      <w:tr>
        <w:trPr>
          <w:cantSplit/>
        </w:trPr>
        <w:tc>
          <w:tcPr>
            <w:tcW w:type="dxa" w:w="1584"/>
            <w:vAlign w:val="top"/>
            <w:tcMar>
              <w:top w:w="40" w:type="dxa"/>
              <w:left w:w="40" w:type="dxa"/>
              <w:bottom w:w="40" w:type="dxa"/>
              <w:right w:w="40" w:type="dxa"/>
            </w:tcMar>
          </w:tcPr>
          <w:p>
            <w:pPr>
              <w:spacing w:after="0"/>
            </w:pPr>
            <w:r/>
            <w:r>
              <w:rPr>
                <w:b w:val="0"/>
                <w:sz w:val="14"/>
              </w:rPr>
              <w:t>8</w:t>
            </w:r>
          </w:p>
        </w:tc>
        <w:tc>
          <w:tcPr>
            <w:tcW w:type="dxa" w:w="1296"/>
            <w:vAlign w:val="top"/>
            <w:tcMar>
              <w:top w:w="40" w:type="dxa"/>
              <w:left w:w="40" w:type="dxa"/>
              <w:bottom w:w="40" w:type="dxa"/>
              <w:right w:w="40" w:type="dxa"/>
            </w:tcMar>
          </w:tcPr>
          <w:p>
            <w:pPr>
              <w:spacing w:after="0"/>
            </w:pPr>
            <w:r/>
            <w:r>
              <w:rPr>
                <w:b w:val="0"/>
                <w:sz w:val="14"/>
              </w:rPr>
              <w:t>13.3%</w:t>
            </w:r>
          </w:p>
        </w:tc>
        <w:tc>
          <w:tcPr>
            <w:tcW w:type="dxa" w:w="1584"/>
            <w:vAlign w:val="top"/>
            <w:tcMar>
              <w:top w:w="40" w:type="dxa"/>
              <w:left w:w="40" w:type="dxa"/>
              <w:bottom w:w="40" w:type="dxa"/>
              <w:right w:w="40" w:type="dxa"/>
            </w:tcMar>
          </w:tcPr>
          <w:p>
            <w:pPr>
              <w:spacing w:after="0"/>
            </w:pPr>
            <w:r/>
            <w:r>
              <w:rPr>
                <w:b w:val="0"/>
                <w:sz w:val="14"/>
              </w:rPr>
              <w:t>1319.5±1.8</w:t>
            </w:r>
          </w:p>
        </w:tc>
        <w:tc>
          <w:tcPr>
            <w:tcW w:type="dxa" w:w="1584"/>
            <w:vAlign w:val="top"/>
            <w:tcMar>
              <w:top w:w="40" w:type="dxa"/>
              <w:left w:w="40" w:type="dxa"/>
              <w:bottom w:w="40" w:type="dxa"/>
              <w:right w:w="40" w:type="dxa"/>
            </w:tcMar>
          </w:tcPr>
          <w:p>
            <w:pPr>
              <w:spacing w:after="0"/>
            </w:pPr>
            <w:r/>
            <w:r>
              <w:rPr>
                <w:b w:val="0"/>
                <w:sz w:val="14"/>
              </w:rPr>
              <w:t>968.2±12.5</w:t>
            </w:r>
          </w:p>
        </w:tc>
        <w:tc>
          <w:tcPr>
            <w:tcW w:type="dxa" w:w="1008"/>
            <w:vAlign w:val="top"/>
            <w:tcMar>
              <w:top w:w="40" w:type="dxa"/>
              <w:left w:w="40" w:type="dxa"/>
              <w:bottom w:w="40" w:type="dxa"/>
              <w:right w:w="40" w:type="dxa"/>
            </w:tcMar>
          </w:tcPr>
          <w:p>
            <w:pPr>
              <w:spacing w:after="0"/>
            </w:pPr>
            <w:r/>
            <w:r>
              <w:rPr>
                <w:b w:val="0"/>
                <w:sz w:val="14"/>
              </w:rPr>
              <w:t>0.73x</w:t>
            </w:r>
          </w:p>
        </w:tc>
        <w:tc>
          <w:tcPr>
            <w:tcW w:type="dxa" w:w="1152"/>
            <w:vAlign w:val="top"/>
            <w:tcMar>
              <w:top w:w="40" w:type="dxa"/>
              <w:left w:w="40" w:type="dxa"/>
              <w:bottom w:w="40" w:type="dxa"/>
              <w:right w:w="40" w:type="dxa"/>
            </w:tcMar>
          </w:tcPr>
          <w:p>
            <w:pPr>
              <w:spacing w:after="0"/>
            </w:pPr>
            <w:r/>
            <w:r>
              <w:rPr>
                <w:b w:val="0"/>
                <w:sz w:val="14"/>
              </w:rPr>
              <w:t>3.31x</w:t>
            </w:r>
          </w:p>
        </w:tc>
        <w:tc>
          <w:tcPr>
            <w:tcW w:type="dxa" w:w="864"/>
            <w:vAlign w:val="top"/>
            <w:tcMar>
              <w:top w:w="40" w:type="dxa"/>
              <w:left w:w="40" w:type="dxa"/>
              <w:bottom w:w="40" w:type="dxa"/>
              <w:right w:w="40" w:type="dxa"/>
            </w:tcMar>
          </w:tcPr>
          <w:p>
            <w:pPr>
              <w:spacing w:after="0"/>
            </w:pPr>
            <w:r/>
            <w:r>
              <w:rPr>
                <w:b w:val="0"/>
                <w:sz w:val="14"/>
              </w:rPr>
              <w:t>OK</w:t>
            </w:r>
          </w:p>
        </w:tc>
      </w:tr>
      <w:tr>
        <w:trPr>
          <w:cantSplit/>
        </w:trPr>
        <w:tc>
          <w:tcPr>
            <w:tcW w:type="dxa" w:w="1584"/>
            <w:vAlign w:val="top"/>
            <w:tcMar>
              <w:top w:w="40" w:type="dxa"/>
              <w:left w:w="40" w:type="dxa"/>
              <w:bottom w:w="40" w:type="dxa"/>
              <w:right w:w="40" w:type="dxa"/>
            </w:tcMar>
          </w:tcPr>
          <w:p>
            <w:pPr>
              <w:spacing w:after="0"/>
            </w:pPr>
            <w:r/>
            <w:r>
              <w:rPr>
                <w:b w:val="0"/>
                <w:sz w:val="14"/>
              </w:rPr>
              <w:t>4</w:t>
            </w:r>
          </w:p>
        </w:tc>
        <w:tc>
          <w:tcPr>
            <w:tcW w:type="dxa" w:w="1296"/>
            <w:vAlign w:val="top"/>
            <w:tcMar>
              <w:top w:w="40" w:type="dxa"/>
              <w:left w:w="40" w:type="dxa"/>
              <w:bottom w:w="40" w:type="dxa"/>
              <w:right w:w="40" w:type="dxa"/>
            </w:tcMar>
          </w:tcPr>
          <w:p>
            <w:pPr>
              <w:spacing w:after="0"/>
            </w:pPr>
            <w:r/>
            <w:r>
              <w:rPr>
                <w:b w:val="0"/>
                <w:sz w:val="14"/>
              </w:rPr>
              <w:t>26.7%</w:t>
            </w:r>
          </w:p>
        </w:tc>
        <w:tc>
          <w:tcPr>
            <w:tcW w:type="dxa" w:w="1584"/>
            <w:vAlign w:val="top"/>
            <w:tcMar>
              <w:top w:w="40" w:type="dxa"/>
              <w:left w:w="40" w:type="dxa"/>
              <w:bottom w:w="40" w:type="dxa"/>
              <w:right w:w="40" w:type="dxa"/>
            </w:tcMar>
          </w:tcPr>
          <w:p>
            <w:pPr>
              <w:spacing w:after="0"/>
            </w:pPr>
            <w:r/>
            <w:r>
              <w:rPr>
                <w:b w:val="0"/>
                <w:sz w:val="14"/>
              </w:rPr>
              <w:t>1662.4±11.7</w:t>
            </w:r>
          </w:p>
        </w:tc>
        <w:tc>
          <w:tcPr>
            <w:tcW w:type="dxa" w:w="1584"/>
            <w:vAlign w:val="top"/>
            <w:tcMar>
              <w:top w:w="40" w:type="dxa"/>
              <w:left w:w="40" w:type="dxa"/>
              <w:bottom w:w="40" w:type="dxa"/>
              <w:right w:w="40" w:type="dxa"/>
            </w:tcMar>
          </w:tcPr>
          <w:p>
            <w:pPr>
              <w:spacing w:after="0"/>
            </w:pPr>
            <w:r/>
            <w:r>
              <w:rPr>
                <w:b w:val="0"/>
                <w:sz w:val="14"/>
              </w:rPr>
              <w:t>1322.3±1.3</w:t>
            </w:r>
          </w:p>
        </w:tc>
        <w:tc>
          <w:tcPr>
            <w:tcW w:type="dxa" w:w="1008"/>
            <w:vAlign w:val="top"/>
            <w:tcMar>
              <w:top w:w="40" w:type="dxa"/>
              <w:left w:w="40" w:type="dxa"/>
              <w:bottom w:w="40" w:type="dxa"/>
              <w:right w:w="40" w:type="dxa"/>
            </w:tcMar>
          </w:tcPr>
          <w:p>
            <w:pPr>
              <w:spacing w:after="0"/>
            </w:pPr>
            <w:r/>
            <w:r>
              <w:rPr>
                <w:b w:val="0"/>
                <w:sz w:val="14"/>
              </w:rPr>
              <w:t>0.80x</w:t>
            </w:r>
          </w:p>
        </w:tc>
        <w:tc>
          <w:tcPr>
            <w:tcW w:type="dxa" w:w="1152"/>
            <w:vAlign w:val="top"/>
            <w:tcMar>
              <w:top w:w="40" w:type="dxa"/>
              <w:left w:w="40" w:type="dxa"/>
              <w:bottom w:w="40" w:type="dxa"/>
              <w:right w:w="40" w:type="dxa"/>
            </w:tcMar>
          </w:tcPr>
          <w:p>
            <w:pPr>
              <w:spacing w:after="0"/>
            </w:pPr>
            <w:r/>
            <w:r>
              <w:rPr>
                <w:b w:val="0"/>
                <w:sz w:val="14"/>
              </w:rPr>
              <w:t>2.27x</w:t>
            </w:r>
          </w:p>
        </w:tc>
        <w:tc>
          <w:tcPr>
            <w:tcW w:type="dxa" w:w="864"/>
            <w:vAlign w:val="top"/>
            <w:tcMar>
              <w:top w:w="40" w:type="dxa"/>
              <w:left w:w="40" w:type="dxa"/>
              <w:bottom w:w="40" w:type="dxa"/>
              <w:right w:w="40" w:type="dxa"/>
            </w:tcMar>
          </w:tcPr>
          <w:p>
            <w:pPr>
              <w:spacing w:after="0"/>
            </w:pPr>
            <w:r/>
            <w:r>
              <w:rPr>
                <w:b w:val="0"/>
                <w:sz w:val="14"/>
              </w:rPr>
              <w:t>OK</w:t>
            </w:r>
          </w:p>
        </w:tc>
      </w:tr>
      <w:tr>
        <w:trPr>
          <w:cantSplit/>
        </w:trPr>
        <w:tc>
          <w:tcPr>
            <w:tcW w:type="dxa" w:w="1584"/>
            <w:vAlign w:val="top"/>
            <w:tcMar>
              <w:top w:w="40" w:type="dxa"/>
              <w:left w:w="40" w:type="dxa"/>
              <w:bottom w:w="40" w:type="dxa"/>
              <w:right w:w="40" w:type="dxa"/>
            </w:tcMar>
          </w:tcPr>
          <w:p>
            <w:pPr>
              <w:spacing w:after="0"/>
            </w:pPr>
            <w:r/>
            <w:r>
              <w:rPr>
                <w:b w:val="0"/>
                <w:sz w:val="14"/>
              </w:rPr>
              <w:t>2</w:t>
            </w:r>
          </w:p>
        </w:tc>
        <w:tc>
          <w:tcPr>
            <w:tcW w:type="dxa" w:w="1296"/>
            <w:vAlign w:val="top"/>
            <w:tcMar>
              <w:top w:w="40" w:type="dxa"/>
              <w:left w:w="40" w:type="dxa"/>
              <w:bottom w:w="40" w:type="dxa"/>
              <w:right w:w="40" w:type="dxa"/>
            </w:tcMar>
          </w:tcPr>
          <w:p>
            <w:pPr>
              <w:spacing w:after="0"/>
            </w:pPr>
            <w:r/>
            <w:r>
              <w:rPr>
                <w:b w:val="0"/>
                <w:sz w:val="14"/>
              </w:rPr>
              <w:t>48.9%</w:t>
            </w:r>
          </w:p>
        </w:tc>
        <w:tc>
          <w:tcPr>
            <w:tcW w:type="dxa" w:w="1584"/>
            <w:vAlign w:val="top"/>
            <w:tcMar>
              <w:top w:w="40" w:type="dxa"/>
              <w:left w:w="40" w:type="dxa"/>
              <w:bottom w:w="40" w:type="dxa"/>
              <w:right w:w="40" w:type="dxa"/>
            </w:tcMar>
          </w:tcPr>
          <w:p>
            <w:pPr>
              <w:spacing w:after="0"/>
            </w:pPr>
            <w:r/>
            <w:r>
              <w:rPr>
                <w:b w:val="0"/>
                <w:sz w:val="14"/>
              </w:rPr>
              <w:t>2018.9±11.1</w:t>
            </w:r>
          </w:p>
        </w:tc>
        <w:tc>
          <w:tcPr>
            <w:tcW w:type="dxa" w:w="1584"/>
            <w:vAlign w:val="top"/>
            <w:tcMar>
              <w:top w:w="40" w:type="dxa"/>
              <w:left w:w="40" w:type="dxa"/>
              <w:bottom w:w="40" w:type="dxa"/>
              <w:right w:w="40" w:type="dxa"/>
            </w:tcMar>
          </w:tcPr>
          <w:p>
            <w:pPr>
              <w:spacing w:after="0"/>
            </w:pPr>
            <w:r/>
            <w:r>
              <w:rPr>
                <w:b w:val="0"/>
                <w:sz w:val="14"/>
              </w:rPr>
              <w:t>1722.8±12.5</w:t>
            </w:r>
          </w:p>
        </w:tc>
        <w:tc>
          <w:tcPr>
            <w:tcW w:type="dxa" w:w="1008"/>
            <w:vAlign w:val="top"/>
            <w:tcMar>
              <w:top w:w="40" w:type="dxa"/>
              <w:left w:w="40" w:type="dxa"/>
              <w:bottom w:w="40" w:type="dxa"/>
              <w:right w:w="40" w:type="dxa"/>
            </w:tcMar>
          </w:tcPr>
          <w:p>
            <w:pPr>
              <w:spacing w:after="0"/>
            </w:pPr>
            <w:r/>
            <w:r>
              <w:rPr>
                <w:b w:val="0"/>
                <w:sz w:val="14"/>
              </w:rPr>
              <w:t>0.85x</w:t>
            </w:r>
          </w:p>
        </w:tc>
        <w:tc>
          <w:tcPr>
            <w:tcW w:type="dxa" w:w="1152"/>
            <w:vAlign w:val="top"/>
            <w:tcMar>
              <w:top w:w="40" w:type="dxa"/>
              <w:left w:w="40" w:type="dxa"/>
              <w:bottom w:w="40" w:type="dxa"/>
              <w:right w:w="40" w:type="dxa"/>
            </w:tcMar>
          </w:tcPr>
          <w:p>
            <w:pPr>
              <w:spacing w:after="0"/>
            </w:pPr>
            <w:r/>
            <w:r>
              <w:rPr>
                <w:b w:val="0"/>
                <w:sz w:val="14"/>
              </w:rPr>
              <w:t>1.48x</w:t>
            </w:r>
          </w:p>
        </w:tc>
        <w:tc>
          <w:tcPr>
            <w:tcW w:type="dxa" w:w="864"/>
            <w:vAlign w:val="top"/>
            <w:tcMar>
              <w:top w:w="40" w:type="dxa"/>
              <w:left w:w="40" w:type="dxa"/>
              <w:bottom w:w="40" w:type="dxa"/>
              <w:right w:w="40" w:type="dxa"/>
            </w:tcMar>
          </w:tcPr>
          <w:p>
            <w:pPr>
              <w:spacing w:after="0"/>
            </w:pPr>
            <w:r/>
            <w:r>
              <w:rPr>
                <w:b w:val="0"/>
                <w:sz w:val="14"/>
              </w:rPr>
              <w:t>OK</w:t>
            </w:r>
          </w:p>
        </w:tc>
      </w:tr>
    </w:tbl>
    <w:p/>
    <w:p>
      <w:r>
        <w:br w:type="page"/>
      </w:r>
    </w:p>
    <w:p>
      <w:pPr>
        <w:spacing w:after="80" w:before="0"/>
      </w:pPr>
      <w:r>
        <w:rPr>
          <w:sz w:val="20"/>
        </w:rPr>
        <w:t>Table 22 reports deterministic percentile-bootstrap intervals over repeated local measurements, using within-round raw/ReduLink ratios where available. These intervals describe variability in these particular localhost runs; they are not confidence intervals for WAN paths, machines, deployments, or a sampled population. Byte ratios are stable, while completion intervals show that repair and scheduling can move results around parity. The macOS dummynet path still times out on the development Mac, and Table 23 is retained with an explicit legacy-design warning.</w:t>
      </w:r>
    </w:p>
    <w:p>
      <w:pPr>
        <w:keepNext/>
        <w:spacing w:after="40" w:before="120"/>
      </w:pPr>
      <w:r>
        <w:rPr>
          <w:b/>
          <w:sz w:val="18"/>
        </w:rPr>
        <w:t>Table 22. Within-run variability for repeated native QUIC measurements (deterministic bootstrap intervals; no population inference).</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cantSplit/>
          <w:tblHeader w:val="true"/>
        </w:trPr>
        <w:tc>
          <w:tcPr>
            <w:tcW w:type="dxa" w:w="2880"/>
            <w:vAlign w:val="top"/>
            <w:tcMar>
              <w:top w:w="40" w:type="dxa"/>
              <w:left w:w="40" w:type="dxa"/>
              <w:bottom w:w="40" w:type="dxa"/>
              <w:right w:w="40" w:type="dxa"/>
            </w:tcMar>
          </w:tcPr>
          <w:p>
            <w:pPr>
              <w:spacing w:after="0"/>
            </w:pPr>
            <w:r/>
            <w:r>
              <w:rPr>
                <w:b/>
                <w:sz w:val="14"/>
              </w:rPr>
              <w:t>Result</w:t>
            </w:r>
          </w:p>
        </w:tc>
        <w:tc>
          <w:tcPr>
            <w:tcW w:type="dxa" w:w="576"/>
            <w:vAlign w:val="top"/>
            <w:tcMar>
              <w:top w:w="40" w:type="dxa"/>
              <w:left w:w="40" w:type="dxa"/>
              <w:bottom w:w="40" w:type="dxa"/>
              <w:right w:w="40" w:type="dxa"/>
            </w:tcMar>
          </w:tcPr>
          <w:p>
            <w:pPr>
              <w:spacing w:after="0"/>
            </w:pPr>
            <w:r/>
            <w:r>
              <w:rPr>
                <w:b/>
                <w:sz w:val="14"/>
              </w:rPr>
              <w:t>n</w:t>
            </w:r>
          </w:p>
        </w:tc>
        <w:tc>
          <w:tcPr>
            <w:tcW w:type="dxa" w:w="1008"/>
            <w:vAlign w:val="top"/>
            <w:tcMar>
              <w:top w:w="40" w:type="dxa"/>
              <w:left w:w="40" w:type="dxa"/>
              <w:bottom w:w="40" w:type="dxa"/>
              <w:right w:w="40" w:type="dxa"/>
            </w:tcMar>
          </w:tcPr>
          <w:p>
            <w:pPr>
              <w:spacing w:after="0"/>
            </w:pPr>
            <w:r/>
            <w:r>
              <w:rPr>
                <w:b/>
                <w:sz w:val="14"/>
              </w:rPr>
              <w:t>Mean</w:t>
            </w:r>
          </w:p>
        </w:tc>
        <w:tc>
          <w:tcPr>
            <w:tcW w:type="dxa" w:w="1440"/>
            <w:vAlign w:val="top"/>
            <w:tcMar>
              <w:top w:w="40" w:type="dxa"/>
              <w:left w:w="40" w:type="dxa"/>
              <w:bottom w:w="40" w:type="dxa"/>
              <w:right w:w="40" w:type="dxa"/>
            </w:tcMar>
          </w:tcPr>
          <w:p>
            <w:pPr>
              <w:spacing w:after="0"/>
            </w:pPr>
            <w:r/>
            <w:r>
              <w:rPr>
                <w:b/>
                <w:sz w:val="14"/>
              </w:rPr>
              <w:t>95% CI</w:t>
            </w:r>
          </w:p>
        </w:tc>
        <w:tc>
          <w:tcPr>
            <w:tcW w:type="dxa" w:w="2448"/>
            <w:vAlign w:val="top"/>
            <w:tcMar>
              <w:top w:w="40" w:type="dxa"/>
              <w:left w:w="40" w:type="dxa"/>
              <w:bottom w:w="40" w:type="dxa"/>
              <w:right w:w="40" w:type="dxa"/>
            </w:tcMar>
          </w:tcPr>
          <w:p>
            <w:pPr>
              <w:spacing w:after="0"/>
            </w:pPr>
            <w:r/>
            <w:r>
              <w:rPr>
                <w:b/>
                <w:sz w:val="14"/>
              </w:rPr>
              <w:t>Source</w:t>
            </w:r>
          </w:p>
        </w:tc>
      </w:tr>
      <w:tr>
        <w:trPr>
          <w:cantSplit/>
        </w:trPr>
        <w:tc>
          <w:tcPr>
            <w:tcW w:type="dxa" w:w="2880"/>
            <w:vAlign w:val="top"/>
            <w:tcMar>
              <w:top w:w="40" w:type="dxa"/>
              <w:left w:w="40" w:type="dxa"/>
              <w:bottom w:w="40" w:type="dxa"/>
              <w:right w:w="40" w:type="dxa"/>
            </w:tcMar>
          </w:tcPr>
          <w:p>
            <w:pPr>
              <w:spacing w:after="0"/>
            </w:pPr>
            <w:r/>
            <w:r>
              <w:rPr>
                <w:b w:val="0"/>
                <w:sz w:val="14"/>
              </w:rPr>
              <w:t>Demo constrained completion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0.973</w:t>
            </w:r>
          </w:p>
        </w:tc>
        <w:tc>
          <w:tcPr>
            <w:tcW w:type="dxa" w:w="1440"/>
            <w:vAlign w:val="top"/>
            <w:tcMar>
              <w:top w:w="40" w:type="dxa"/>
              <w:left w:w="40" w:type="dxa"/>
              <w:bottom w:w="40" w:type="dxa"/>
              <w:right w:w="40" w:type="dxa"/>
            </w:tcMar>
          </w:tcPr>
          <w:p>
            <w:pPr>
              <w:spacing w:after="0"/>
            </w:pPr>
            <w:r/>
            <w:r>
              <w:rPr>
                <w:b w:val="0"/>
                <w:sz w:val="14"/>
              </w:rPr>
              <w:t>[0.904, 1.040]</w:t>
            </w:r>
          </w:p>
        </w:tc>
        <w:tc>
          <w:tcPr>
            <w:tcW w:type="dxa" w:w="2448"/>
            <w:vAlign w:val="top"/>
            <w:tcMar>
              <w:top w:w="40" w:type="dxa"/>
              <w:left w:w="40" w:type="dxa"/>
              <w:bottom w:w="40" w:type="dxa"/>
              <w:right w:w="40" w:type="dxa"/>
            </w:tcMar>
          </w:tcPr>
          <w:p>
            <w:pPr>
              <w:spacing w:after="0"/>
            </w:pPr>
            <w:r/>
            <w:r>
              <w:rPr>
                <w:b w:val="0"/>
                <w:sz w:val="14"/>
              </w:rPr>
              <w:t>quic_emulated_path</w:t>
            </w:r>
          </w:p>
        </w:tc>
      </w:tr>
      <w:tr>
        <w:trPr>
          <w:cantSplit/>
        </w:trPr>
        <w:tc>
          <w:tcPr>
            <w:tcW w:type="dxa" w:w="2880"/>
            <w:vAlign w:val="top"/>
            <w:tcMar>
              <w:top w:w="40" w:type="dxa"/>
              <w:left w:w="40" w:type="dxa"/>
              <w:bottom w:w="40" w:type="dxa"/>
              <w:right w:w="40" w:type="dxa"/>
            </w:tcMar>
          </w:tcPr>
          <w:p>
            <w:pPr>
              <w:spacing w:after="0"/>
            </w:pPr>
            <w:r/>
            <w:r>
              <w:rPr>
                <w:b w:val="0"/>
                <w:sz w:val="14"/>
              </w:rPr>
              <w:t>Demo encoded-byte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0.313</w:t>
            </w:r>
          </w:p>
        </w:tc>
        <w:tc>
          <w:tcPr>
            <w:tcW w:type="dxa" w:w="1440"/>
            <w:vAlign w:val="top"/>
            <w:tcMar>
              <w:top w:w="40" w:type="dxa"/>
              <w:left w:w="40" w:type="dxa"/>
              <w:bottom w:w="40" w:type="dxa"/>
              <w:right w:w="40" w:type="dxa"/>
            </w:tcMar>
          </w:tcPr>
          <w:p>
            <w:pPr>
              <w:spacing w:after="0"/>
            </w:pPr>
            <w:r/>
            <w:r>
              <w:rPr>
                <w:b w:val="0"/>
                <w:sz w:val="14"/>
              </w:rPr>
              <w:t>[0.313, 0.313]</w:t>
            </w:r>
          </w:p>
        </w:tc>
        <w:tc>
          <w:tcPr>
            <w:tcW w:type="dxa" w:w="2448"/>
            <w:vAlign w:val="top"/>
            <w:tcMar>
              <w:top w:w="40" w:type="dxa"/>
              <w:left w:w="40" w:type="dxa"/>
              <w:bottom w:w="40" w:type="dxa"/>
              <w:right w:w="40" w:type="dxa"/>
            </w:tcMar>
          </w:tcPr>
          <w:p>
            <w:pPr>
              <w:spacing w:after="0"/>
            </w:pPr>
            <w:r/>
            <w:r>
              <w:rPr>
                <w:b w:val="0"/>
                <w:sz w:val="14"/>
              </w:rPr>
              <w:t>quic_emulated_path</w:t>
            </w:r>
          </w:p>
        </w:tc>
      </w:tr>
      <w:tr>
        <w:trPr>
          <w:cantSplit/>
        </w:trPr>
        <w:tc>
          <w:tcPr>
            <w:tcW w:type="dxa" w:w="2880"/>
            <w:vAlign w:val="top"/>
            <w:tcMar>
              <w:top w:w="40" w:type="dxa"/>
              <w:left w:w="40" w:type="dxa"/>
              <w:bottom w:w="40" w:type="dxa"/>
              <w:right w:w="40" w:type="dxa"/>
            </w:tcMar>
          </w:tcPr>
          <w:p>
            <w:pPr>
              <w:spacing w:after="0"/>
            </w:pPr>
            <w:r/>
            <w:r>
              <w:rPr>
                <w:b w:val="0"/>
                <w:sz w:val="14"/>
              </w:rPr>
              <w:t>Redis constrained completion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0.948</w:t>
            </w:r>
          </w:p>
        </w:tc>
        <w:tc>
          <w:tcPr>
            <w:tcW w:type="dxa" w:w="1440"/>
            <w:vAlign w:val="top"/>
            <w:tcMar>
              <w:top w:w="40" w:type="dxa"/>
              <w:left w:w="40" w:type="dxa"/>
              <w:bottom w:w="40" w:type="dxa"/>
              <w:right w:w="40" w:type="dxa"/>
            </w:tcMar>
          </w:tcPr>
          <w:p>
            <w:pPr>
              <w:spacing w:after="0"/>
            </w:pPr>
            <w:r/>
            <w:r>
              <w:rPr>
                <w:b w:val="0"/>
                <w:sz w:val="14"/>
              </w:rPr>
              <w:t>[0.929, 0.964]</w:t>
            </w:r>
          </w:p>
        </w:tc>
        <w:tc>
          <w:tcPr>
            <w:tcW w:type="dxa" w:w="2448"/>
            <w:vAlign w:val="top"/>
            <w:tcMar>
              <w:top w:w="40" w:type="dxa"/>
              <w:left w:w="40" w:type="dxa"/>
              <w:bottom w:w="40" w:type="dxa"/>
              <w:right w:w="40" w:type="dxa"/>
            </w:tcMar>
          </w:tcPr>
          <w:p>
            <w:pPr>
              <w:spacing w:after="0"/>
            </w:pPr>
            <w:r/>
            <w:r>
              <w:rPr>
                <w:b w:val="0"/>
                <w:sz w:val="14"/>
              </w:rPr>
              <w:t>quic_emulated_path_redis</w:t>
            </w:r>
          </w:p>
        </w:tc>
      </w:tr>
      <w:tr>
        <w:trPr>
          <w:cantSplit/>
        </w:trPr>
        <w:tc>
          <w:tcPr>
            <w:tcW w:type="dxa" w:w="2880"/>
            <w:vAlign w:val="top"/>
            <w:tcMar>
              <w:top w:w="40" w:type="dxa"/>
              <w:left w:w="40" w:type="dxa"/>
              <w:bottom w:w="40" w:type="dxa"/>
              <w:right w:w="40" w:type="dxa"/>
            </w:tcMar>
          </w:tcPr>
          <w:p>
            <w:pPr>
              <w:spacing w:after="0"/>
            </w:pPr>
            <w:r/>
            <w:r>
              <w:rPr>
                <w:b w:val="0"/>
                <w:sz w:val="14"/>
              </w:rPr>
              <w:t>Redis encoded-byte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0.261</w:t>
            </w:r>
          </w:p>
        </w:tc>
        <w:tc>
          <w:tcPr>
            <w:tcW w:type="dxa" w:w="1440"/>
            <w:vAlign w:val="top"/>
            <w:tcMar>
              <w:top w:w="40" w:type="dxa"/>
              <w:left w:w="40" w:type="dxa"/>
              <w:bottom w:w="40" w:type="dxa"/>
              <w:right w:w="40" w:type="dxa"/>
            </w:tcMar>
          </w:tcPr>
          <w:p>
            <w:pPr>
              <w:spacing w:after="0"/>
            </w:pPr>
            <w:r/>
            <w:r>
              <w:rPr>
                <w:b w:val="0"/>
                <w:sz w:val="14"/>
              </w:rPr>
              <w:t>[0.261, 0.261]</w:t>
            </w:r>
          </w:p>
        </w:tc>
        <w:tc>
          <w:tcPr>
            <w:tcW w:type="dxa" w:w="2448"/>
            <w:vAlign w:val="top"/>
            <w:tcMar>
              <w:top w:w="40" w:type="dxa"/>
              <w:left w:w="40" w:type="dxa"/>
              <w:bottom w:w="40" w:type="dxa"/>
              <w:right w:w="40" w:type="dxa"/>
            </w:tcMar>
          </w:tcPr>
          <w:p>
            <w:pPr>
              <w:spacing w:after="0"/>
            </w:pPr>
            <w:r/>
            <w:r>
              <w:rPr>
                <w:b w:val="0"/>
                <w:sz w:val="14"/>
              </w:rPr>
              <w:t>quic_emulated_path_redis</w:t>
            </w:r>
          </w:p>
        </w:tc>
      </w:tr>
      <w:tr>
        <w:trPr>
          <w:cantSplit/>
        </w:trPr>
        <w:tc>
          <w:tcPr>
            <w:tcW w:type="dxa" w:w="2880"/>
            <w:vAlign w:val="top"/>
            <w:tcMar>
              <w:top w:w="40" w:type="dxa"/>
              <w:left w:w="40" w:type="dxa"/>
              <w:bottom w:w="40" w:type="dxa"/>
              <w:right w:w="40" w:type="dxa"/>
            </w:tcMar>
          </w:tcPr>
          <w:p>
            <w:pPr>
              <w:spacing w:after="0"/>
            </w:pPr>
            <w:r/>
            <w:r>
              <w:rPr>
                <w:b w:val="0"/>
                <w:sz w:val="14"/>
              </w:rPr>
              <w:t>Concurrent localhost completion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0.801</w:t>
            </w:r>
          </w:p>
        </w:tc>
        <w:tc>
          <w:tcPr>
            <w:tcW w:type="dxa" w:w="1440"/>
            <w:vAlign w:val="top"/>
            <w:tcMar>
              <w:top w:w="40" w:type="dxa"/>
              <w:left w:w="40" w:type="dxa"/>
              <w:bottom w:w="40" w:type="dxa"/>
              <w:right w:w="40" w:type="dxa"/>
            </w:tcMar>
          </w:tcPr>
          <w:p>
            <w:pPr>
              <w:spacing w:after="0"/>
            </w:pPr>
            <w:r/>
            <w:r>
              <w:rPr>
                <w:b w:val="0"/>
                <w:sz w:val="14"/>
              </w:rPr>
              <w:t>[0.749, 0.855]</w:t>
            </w:r>
          </w:p>
        </w:tc>
        <w:tc>
          <w:tcPr>
            <w:tcW w:type="dxa" w:w="2448"/>
            <w:vAlign w:val="top"/>
            <w:tcMar>
              <w:top w:w="40" w:type="dxa"/>
              <w:left w:w="40" w:type="dxa"/>
              <w:bottom w:w="40" w:type="dxa"/>
              <w:right w:w="40" w:type="dxa"/>
            </w:tcMar>
          </w:tcPr>
          <w:p>
            <w:pPr>
              <w:spacing w:after="0"/>
            </w:pPr>
            <w:r/>
            <w:r>
              <w:rPr>
                <w:b w:val="0"/>
                <w:sz w:val="14"/>
              </w:rPr>
              <w:t>quic_competing_flows</w:t>
            </w:r>
          </w:p>
        </w:tc>
      </w:tr>
      <w:tr>
        <w:trPr>
          <w:cantSplit/>
        </w:trPr>
        <w:tc>
          <w:tcPr>
            <w:tcW w:type="dxa" w:w="2880"/>
            <w:vAlign w:val="top"/>
            <w:tcMar>
              <w:top w:w="40" w:type="dxa"/>
              <w:left w:w="40" w:type="dxa"/>
              <w:bottom w:w="40" w:type="dxa"/>
              <w:right w:w="40" w:type="dxa"/>
            </w:tcMar>
          </w:tcPr>
          <w:p>
            <w:pPr>
              <w:spacing w:after="0"/>
            </w:pPr>
            <w:r/>
            <w:r>
              <w:rPr>
                <w:b w:val="0"/>
                <w:sz w:val="14"/>
              </w:rPr>
              <w:t>Concurrent localhost encoded-byte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0.313</w:t>
            </w:r>
          </w:p>
        </w:tc>
        <w:tc>
          <w:tcPr>
            <w:tcW w:type="dxa" w:w="1440"/>
            <w:vAlign w:val="top"/>
            <w:tcMar>
              <w:top w:w="40" w:type="dxa"/>
              <w:left w:w="40" w:type="dxa"/>
              <w:bottom w:w="40" w:type="dxa"/>
              <w:right w:w="40" w:type="dxa"/>
            </w:tcMar>
          </w:tcPr>
          <w:p>
            <w:pPr>
              <w:spacing w:after="0"/>
            </w:pPr>
            <w:r/>
            <w:r>
              <w:rPr>
                <w:b w:val="0"/>
                <w:sz w:val="14"/>
              </w:rPr>
              <w:t>[0.313, 0.313]</w:t>
            </w:r>
          </w:p>
        </w:tc>
        <w:tc>
          <w:tcPr>
            <w:tcW w:type="dxa" w:w="2448"/>
            <w:vAlign w:val="top"/>
            <w:tcMar>
              <w:top w:w="40" w:type="dxa"/>
              <w:left w:w="40" w:type="dxa"/>
              <w:bottom w:w="40" w:type="dxa"/>
              <w:right w:w="40" w:type="dxa"/>
            </w:tcMar>
          </w:tcPr>
          <w:p>
            <w:pPr>
              <w:spacing w:after="0"/>
            </w:pPr>
            <w:r/>
            <w:r>
              <w:rPr>
                <w:b w:val="0"/>
                <w:sz w:val="14"/>
              </w:rPr>
              <w:t>quic_competing_flows</w:t>
            </w:r>
          </w:p>
        </w:tc>
      </w:tr>
      <w:tr>
        <w:trPr>
          <w:cantSplit/>
        </w:trPr>
        <w:tc>
          <w:tcPr>
            <w:tcW w:type="dxa" w:w="2880"/>
            <w:vAlign w:val="top"/>
            <w:tcMar>
              <w:top w:w="40" w:type="dxa"/>
              <w:left w:w="40" w:type="dxa"/>
              <w:bottom w:w="40" w:type="dxa"/>
              <w:right w:w="40" w:type="dxa"/>
            </w:tcMar>
          </w:tcPr>
          <w:p>
            <w:pPr>
              <w:spacing w:after="0"/>
            </w:pPr>
            <w:r/>
            <w:r>
              <w:rPr>
                <w:b w:val="0"/>
                <w:sz w:val="14"/>
              </w:rPr>
              <w:t>Sequential UDP-estimated multiplier</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2.603</w:t>
            </w:r>
          </w:p>
        </w:tc>
        <w:tc>
          <w:tcPr>
            <w:tcW w:type="dxa" w:w="1440"/>
            <w:vAlign w:val="top"/>
            <w:tcMar>
              <w:top w:w="40" w:type="dxa"/>
              <w:left w:w="40" w:type="dxa"/>
              <w:bottom w:w="40" w:type="dxa"/>
              <w:right w:w="40" w:type="dxa"/>
            </w:tcMar>
          </w:tcPr>
          <w:p>
            <w:pPr>
              <w:spacing w:after="0"/>
            </w:pPr>
            <w:r/>
            <w:r>
              <w:rPr>
                <w:b w:val="0"/>
                <w:sz w:val="14"/>
              </w:rPr>
              <w:t>[2.601, 2.604]</w:t>
            </w:r>
          </w:p>
        </w:tc>
        <w:tc>
          <w:tcPr>
            <w:tcW w:type="dxa" w:w="2448"/>
            <w:vAlign w:val="top"/>
            <w:tcMar>
              <w:top w:w="40" w:type="dxa"/>
              <w:left w:w="40" w:type="dxa"/>
              <w:bottom w:w="40" w:type="dxa"/>
              <w:right w:w="40" w:type="dxa"/>
            </w:tcMar>
          </w:tcPr>
          <w:p>
            <w:pPr>
              <w:spacing w:after="0"/>
            </w:pPr>
            <w:r/>
            <w:r>
              <w:rPr>
                <w:b w:val="0"/>
                <w:sz w:val="14"/>
              </w:rPr>
              <w:t>repeated_quic_trials</w:t>
            </w:r>
          </w:p>
        </w:tc>
      </w:tr>
    </w:tbl>
    <w:p/>
    <w:p>
      <w:pPr>
        <w:spacing w:after="80" w:before="0"/>
      </w:pPr>
      <w:r>
        <w:rPr>
          <w:sz w:val="20"/>
        </w:rPr>
        <w:t>Table 23 preserves the v3.13 Linux tc/netem data for transparency, but the original runner launched raw and ReduLink transfers concurrently under one qdisc. The reported 1.08x to 1.60x demo and 1.30x to 1.36x Redis completion ratios therefore combine method cost with mutual contention and cannot estimate isolated single-flow latency or establish the proposed half-duplex causal mechanism. The old runner also did not capture host, command, tool-version, or active-qdisc snapshots; the only retained provenance is the rootless namespace context and source commit. The v3.14 runner fixes the design by defaulting to isolated, order-alternated pairs and recording command, platform, Python, aioquic, tc, commit, and qdisc state. Until that corrected sweep is rerun on Linux, Table 23 is exploratory contention evidence. Its byte counts and reconstruction checks remain factual for the observed runs.</w:t>
      </w:r>
    </w:p>
    <w:p>
      <w:pPr>
        <w:keepNext/>
        <w:spacing w:after="40" w:before="120"/>
      </w:pPr>
      <w:r>
        <w:rPr>
          <w:b/>
          <w:sz w:val="18"/>
        </w:rPr>
        <w:t>Table 23. Legacy v3.13 concurrent Linux tc/netem contention diagnostic (not isolated latency; incomplete environment provenance).</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rPr>
          <w:cantSplit/>
          <w:tblHeader w:val="true"/>
        </w:trPr>
        <w:tc>
          <w:tcPr>
            <w:tcW w:type="dxa" w:w="1152"/>
            <w:vAlign w:val="top"/>
            <w:tcMar>
              <w:top w:w="40" w:type="dxa"/>
              <w:left w:w="40" w:type="dxa"/>
              <w:bottom w:w="40" w:type="dxa"/>
              <w:right w:w="40" w:type="dxa"/>
            </w:tcMar>
          </w:tcPr>
          <w:p>
            <w:pPr>
              <w:spacing w:after="0"/>
            </w:pPr>
            <w:r/>
            <w:r>
              <w:rPr>
                <w:b/>
                <w:sz w:val="14"/>
              </w:rPr>
              <w:t>Payload</w:t>
            </w:r>
          </w:p>
        </w:tc>
        <w:tc>
          <w:tcPr>
            <w:tcW w:type="dxa" w:w="1296"/>
            <w:vAlign w:val="top"/>
            <w:tcMar>
              <w:top w:w="40" w:type="dxa"/>
              <w:left w:w="40" w:type="dxa"/>
              <w:bottom w:w="40" w:type="dxa"/>
              <w:right w:w="40" w:type="dxa"/>
            </w:tcMar>
          </w:tcPr>
          <w:p>
            <w:pPr>
              <w:spacing w:after="0"/>
            </w:pPr>
            <w:r/>
            <w:r>
              <w:rPr>
                <w:b/>
                <w:sz w:val="14"/>
              </w:rPr>
              <w:t>Rate Mbps</w:t>
            </w:r>
          </w:p>
        </w:tc>
        <w:tc>
          <w:tcPr>
            <w:tcW w:type="dxa" w:w="1008"/>
            <w:vAlign w:val="top"/>
            <w:tcMar>
              <w:top w:w="40" w:type="dxa"/>
              <w:left w:w="40" w:type="dxa"/>
              <w:bottom w:w="40" w:type="dxa"/>
              <w:right w:w="40" w:type="dxa"/>
            </w:tcMar>
          </w:tcPr>
          <w:p>
            <w:pPr>
              <w:spacing w:after="0"/>
            </w:pPr>
            <w:r/>
            <w:r>
              <w:rPr>
                <w:b/>
                <w:sz w:val="14"/>
              </w:rPr>
              <w:t>RTT ms</w:t>
            </w:r>
          </w:p>
        </w:tc>
        <w:tc>
          <w:tcPr>
            <w:tcW w:type="dxa" w:w="3168"/>
            <w:vAlign w:val="top"/>
            <w:tcMar>
              <w:top w:w="40" w:type="dxa"/>
              <w:left w:w="40" w:type="dxa"/>
              <w:bottom w:w="40" w:type="dxa"/>
              <w:right w:w="40" w:type="dxa"/>
            </w:tcMar>
          </w:tcPr>
          <w:p>
            <w:pPr>
              <w:spacing w:after="0"/>
            </w:pPr>
            <w:r/>
            <w:r>
              <w:rPr>
                <w:b/>
                <w:sz w:val="14"/>
              </w:rPr>
              <w:t>RL/raw completion (95% CI)</w:t>
            </w:r>
          </w:p>
        </w:tc>
        <w:tc>
          <w:tcPr>
            <w:tcW w:type="dxa" w:w="1440"/>
            <w:vAlign w:val="top"/>
            <w:tcMar>
              <w:top w:w="40" w:type="dxa"/>
              <w:left w:w="40" w:type="dxa"/>
              <w:bottom w:w="40" w:type="dxa"/>
              <w:right w:w="40" w:type="dxa"/>
            </w:tcMar>
          </w:tcPr>
          <w:p>
            <w:pPr>
              <w:spacing w:after="0"/>
            </w:pPr>
            <w:r/>
            <w:r>
              <w:rPr>
                <w:b/>
                <w:sz w:val="14"/>
              </w:rPr>
              <w:t>Enc-byte ratio</w:t>
            </w:r>
          </w:p>
        </w:tc>
        <w:tc>
          <w:tcPr>
            <w:tcW w:type="dxa" w:w="720"/>
            <w:vAlign w:val="top"/>
            <w:tcMar>
              <w:top w:w="40" w:type="dxa"/>
              <w:left w:w="40" w:type="dxa"/>
              <w:bottom w:w="40" w:type="dxa"/>
              <w:right w:w="40" w:type="dxa"/>
            </w:tcMar>
          </w:tcPr>
          <w:p>
            <w:pPr>
              <w:spacing w:after="0"/>
            </w:pPr>
            <w:r/>
            <w:r>
              <w:rPr>
                <w:b/>
                <w:sz w:val="14"/>
              </w:rPr>
              <w:t>n</w:t>
            </w:r>
          </w:p>
        </w:tc>
        <w:tc>
          <w:tcPr>
            <w:tcW w:type="dxa" w:w="864"/>
            <w:vAlign w:val="top"/>
            <w:tcMar>
              <w:top w:w="40" w:type="dxa"/>
              <w:left w:w="40" w:type="dxa"/>
              <w:bottom w:w="40" w:type="dxa"/>
              <w:right w:w="40" w:type="dxa"/>
            </w:tcMar>
          </w:tcPr>
          <w:p>
            <w:pPr>
              <w:spacing w:after="0"/>
            </w:pPr>
            <w:r/>
            <w:r>
              <w:rPr>
                <w:b/>
                <w:sz w:val="14"/>
              </w:rPr>
              <w:t>Recon.</w:t>
            </w:r>
          </w:p>
        </w:tc>
      </w:tr>
      <w:tr>
        <w:trPr>
          <w:cantSplit/>
        </w:trPr>
        <w:tc>
          <w:tcPr>
            <w:tcW w:type="dxa" w:w="1152"/>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20.0</w:t>
            </w:r>
          </w:p>
        </w:tc>
        <w:tc>
          <w:tcPr>
            <w:tcW w:type="dxa" w:w="3168"/>
            <w:vAlign w:val="top"/>
            <w:tcMar>
              <w:top w:w="40" w:type="dxa"/>
              <w:left w:w="40" w:type="dxa"/>
              <w:bottom w:w="40" w:type="dxa"/>
              <w:right w:w="40" w:type="dxa"/>
            </w:tcMar>
          </w:tcPr>
          <w:p>
            <w:pPr>
              <w:spacing w:after="0"/>
            </w:pPr>
            <w:r/>
            <w:r>
              <w:rPr>
                <w:b w:val="0"/>
                <w:sz w:val="14"/>
              </w:rPr>
              <w:t>1.60x [1.525, 1.674]</w:t>
            </w:r>
          </w:p>
        </w:tc>
        <w:tc>
          <w:tcPr>
            <w:tcW w:type="dxa" w:w="1440"/>
            <w:vAlign w:val="top"/>
            <w:tcMar>
              <w:top w:w="40" w:type="dxa"/>
              <w:left w:w="40" w:type="dxa"/>
              <w:bottom w:w="40" w:type="dxa"/>
              <w:right w:w="40" w:type="dxa"/>
            </w:tcMar>
          </w:tcPr>
          <w:p>
            <w:pPr>
              <w:spacing w:after="0"/>
            </w:pPr>
            <w:r/>
            <w:r>
              <w:rPr>
                <w:b w:val="0"/>
                <w:sz w:val="14"/>
              </w:rPr>
              <w:t>0.313</w:t>
            </w:r>
          </w:p>
        </w:tc>
        <w:tc>
          <w:tcPr>
            <w:tcW w:type="dxa" w:w="720"/>
            <w:vAlign w:val="top"/>
            <w:tcMar>
              <w:top w:w="40" w:type="dxa"/>
              <w:left w:w="40" w:type="dxa"/>
              <w:bottom w:w="40" w:type="dxa"/>
              <w:right w:w="40" w:type="dxa"/>
            </w:tcMar>
          </w:tcPr>
          <w:p>
            <w:pPr>
              <w:spacing w:after="0"/>
            </w:pPr>
            <w:r/>
            <w:r>
              <w:rPr>
                <w:b w:val="0"/>
                <w:sz w:val="14"/>
              </w:rPr>
              <w:t>20</w:t>
            </w:r>
          </w:p>
        </w:tc>
        <w:tc>
          <w:tcPr>
            <w:tcW w:type="dxa" w:w="864"/>
            <w:vAlign w:val="top"/>
            <w:tcMar>
              <w:top w:w="40" w:type="dxa"/>
              <w:left w:w="40" w:type="dxa"/>
              <w:bottom w:w="40" w:type="dxa"/>
              <w:right w:w="40" w:type="dxa"/>
            </w:tcMar>
          </w:tcPr>
          <w:p>
            <w:pPr>
              <w:spacing w:after="0"/>
            </w:pPr>
            <w:r/>
            <w:r>
              <w:rPr>
                <w:b w:val="0"/>
                <w:sz w:val="14"/>
              </w:rPr>
              <w:t>OK</w:t>
            </w:r>
          </w:p>
        </w:tc>
      </w:tr>
      <w:tr>
        <w:trPr>
          <w:cantSplit/>
        </w:trPr>
        <w:tc>
          <w:tcPr>
            <w:tcW w:type="dxa" w:w="1152"/>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20.0</w:t>
            </w:r>
          </w:p>
        </w:tc>
        <w:tc>
          <w:tcPr>
            <w:tcW w:type="dxa" w:w="3168"/>
            <w:vAlign w:val="top"/>
            <w:tcMar>
              <w:top w:w="40" w:type="dxa"/>
              <w:left w:w="40" w:type="dxa"/>
              <w:bottom w:w="40" w:type="dxa"/>
              <w:right w:w="40" w:type="dxa"/>
            </w:tcMar>
          </w:tcPr>
          <w:p>
            <w:pPr>
              <w:spacing w:after="0"/>
            </w:pPr>
            <w:r/>
            <w:r>
              <w:rPr>
                <w:b w:val="0"/>
                <w:sz w:val="14"/>
              </w:rPr>
              <w:t>1.08x [1.059, 1.095]</w:t>
            </w:r>
          </w:p>
        </w:tc>
        <w:tc>
          <w:tcPr>
            <w:tcW w:type="dxa" w:w="1440"/>
            <w:vAlign w:val="top"/>
            <w:tcMar>
              <w:top w:w="40" w:type="dxa"/>
              <w:left w:w="40" w:type="dxa"/>
              <w:bottom w:w="40" w:type="dxa"/>
              <w:right w:w="40" w:type="dxa"/>
            </w:tcMar>
          </w:tcPr>
          <w:p>
            <w:pPr>
              <w:spacing w:after="0"/>
            </w:pPr>
            <w:r/>
            <w:r>
              <w:rPr>
                <w:b w:val="0"/>
                <w:sz w:val="14"/>
              </w:rPr>
              <w:t>0.313</w:t>
            </w:r>
          </w:p>
        </w:tc>
        <w:tc>
          <w:tcPr>
            <w:tcW w:type="dxa" w:w="720"/>
            <w:vAlign w:val="top"/>
            <w:tcMar>
              <w:top w:w="40" w:type="dxa"/>
              <w:left w:w="40" w:type="dxa"/>
              <w:bottom w:w="40" w:type="dxa"/>
              <w:right w:w="40" w:type="dxa"/>
            </w:tcMar>
          </w:tcPr>
          <w:p>
            <w:pPr>
              <w:spacing w:after="0"/>
            </w:pPr>
            <w:r/>
            <w:r>
              <w:rPr>
                <w:b w:val="0"/>
                <w:sz w:val="14"/>
              </w:rPr>
              <w:t>20</w:t>
            </w:r>
          </w:p>
        </w:tc>
        <w:tc>
          <w:tcPr>
            <w:tcW w:type="dxa" w:w="864"/>
            <w:vAlign w:val="top"/>
            <w:tcMar>
              <w:top w:w="40" w:type="dxa"/>
              <w:left w:w="40" w:type="dxa"/>
              <w:bottom w:w="40" w:type="dxa"/>
              <w:right w:w="40" w:type="dxa"/>
            </w:tcMar>
          </w:tcPr>
          <w:p>
            <w:pPr>
              <w:spacing w:after="0"/>
            </w:pPr>
            <w:r/>
            <w:r>
              <w:rPr>
                <w:b w:val="0"/>
                <w:sz w:val="14"/>
              </w:rPr>
              <w:t>OK</w:t>
            </w:r>
          </w:p>
        </w:tc>
      </w:tr>
      <w:tr>
        <w:trPr>
          <w:cantSplit/>
        </w:trPr>
        <w:tc>
          <w:tcPr>
            <w:tcW w:type="dxa" w:w="1152"/>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20.0</w:t>
            </w:r>
          </w:p>
        </w:tc>
        <w:tc>
          <w:tcPr>
            <w:tcW w:type="dxa" w:w="3168"/>
            <w:vAlign w:val="top"/>
            <w:tcMar>
              <w:top w:w="40" w:type="dxa"/>
              <w:left w:w="40" w:type="dxa"/>
              <w:bottom w:w="40" w:type="dxa"/>
              <w:right w:w="40" w:type="dxa"/>
            </w:tcMar>
          </w:tcPr>
          <w:p>
            <w:pPr>
              <w:spacing w:after="0"/>
            </w:pPr>
            <w:r/>
            <w:r>
              <w:rPr>
                <w:b w:val="0"/>
                <w:sz w:val="14"/>
              </w:rPr>
              <w:t>1.30x [1.263, 1.341]</w:t>
            </w:r>
          </w:p>
        </w:tc>
        <w:tc>
          <w:tcPr>
            <w:tcW w:type="dxa" w:w="1440"/>
            <w:vAlign w:val="top"/>
            <w:tcMar>
              <w:top w:w="40" w:type="dxa"/>
              <w:left w:w="40" w:type="dxa"/>
              <w:bottom w:w="40" w:type="dxa"/>
              <w:right w:w="40" w:type="dxa"/>
            </w:tcMar>
          </w:tcPr>
          <w:p>
            <w:pPr>
              <w:spacing w:after="0"/>
            </w:pPr>
            <w:r/>
            <w:r>
              <w:rPr>
                <w:b w:val="0"/>
                <w:sz w:val="14"/>
              </w:rPr>
              <w:t>0.261</w:t>
            </w:r>
          </w:p>
        </w:tc>
        <w:tc>
          <w:tcPr>
            <w:tcW w:type="dxa" w:w="720"/>
            <w:vAlign w:val="top"/>
            <w:tcMar>
              <w:top w:w="40" w:type="dxa"/>
              <w:left w:w="40" w:type="dxa"/>
              <w:bottom w:w="40" w:type="dxa"/>
              <w:right w:w="40" w:type="dxa"/>
            </w:tcMar>
          </w:tcPr>
          <w:p>
            <w:pPr>
              <w:spacing w:after="0"/>
            </w:pPr>
            <w:r/>
            <w:r>
              <w:rPr>
                <w:b w:val="0"/>
                <w:sz w:val="14"/>
              </w:rPr>
              <w:t>12</w:t>
            </w:r>
          </w:p>
        </w:tc>
        <w:tc>
          <w:tcPr>
            <w:tcW w:type="dxa" w:w="864"/>
            <w:vAlign w:val="top"/>
            <w:tcMar>
              <w:top w:w="40" w:type="dxa"/>
              <w:left w:w="40" w:type="dxa"/>
              <w:bottom w:w="40" w:type="dxa"/>
              <w:right w:w="40" w:type="dxa"/>
            </w:tcMar>
          </w:tcPr>
          <w:p>
            <w:pPr>
              <w:spacing w:after="0"/>
            </w:pPr>
            <w:r/>
            <w:r>
              <w:rPr>
                <w:b w:val="0"/>
                <w:sz w:val="14"/>
              </w:rPr>
              <w:t>OK</w:t>
            </w:r>
          </w:p>
        </w:tc>
      </w:tr>
      <w:tr>
        <w:trPr>
          <w:cantSplit/>
        </w:trPr>
        <w:tc>
          <w:tcPr>
            <w:tcW w:type="dxa" w:w="1152"/>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20.0</w:t>
            </w:r>
          </w:p>
        </w:tc>
        <w:tc>
          <w:tcPr>
            <w:tcW w:type="dxa" w:w="3168"/>
            <w:vAlign w:val="top"/>
            <w:tcMar>
              <w:top w:w="40" w:type="dxa"/>
              <w:left w:w="40" w:type="dxa"/>
              <w:bottom w:w="40" w:type="dxa"/>
              <w:right w:w="40" w:type="dxa"/>
            </w:tcMar>
          </w:tcPr>
          <w:p>
            <w:pPr>
              <w:spacing w:after="0"/>
            </w:pPr>
            <w:r/>
            <w:r>
              <w:rPr>
                <w:b w:val="0"/>
                <w:sz w:val="14"/>
              </w:rPr>
              <w:t>1.36x [1.289, 1.415]</w:t>
            </w:r>
          </w:p>
        </w:tc>
        <w:tc>
          <w:tcPr>
            <w:tcW w:type="dxa" w:w="1440"/>
            <w:vAlign w:val="top"/>
            <w:tcMar>
              <w:top w:w="40" w:type="dxa"/>
              <w:left w:w="40" w:type="dxa"/>
              <w:bottom w:w="40" w:type="dxa"/>
              <w:right w:w="40" w:type="dxa"/>
            </w:tcMar>
          </w:tcPr>
          <w:p>
            <w:pPr>
              <w:spacing w:after="0"/>
            </w:pPr>
            <w:r/>
            <w:r>
              <w:rPr>
                <w:b w:val="0"/>
                <w:sz w:val="14"/>
              </w:rPr>
              <w:t>0.261</w:t>
            </w:r>
          </w:p>
        </w:tc>
        <w:tc>
          <w:tcPr>
            <w:tcW w:type="dxa" w:w="720"/>
            <w:vAlign w:val="top"/>
            <w:tcMar>
              <w:top w:w="40" w:type="dxa"/>
              <w:left w:w="40" w:type="dxa"/>
              <w:bottom w:w="40" w:type="dxa"/>
              <w:right w:w="40" w:type="dxa"/>
            </w:tcMar>
          </w:tcPr>
          <w:p>
            <w:pPr>
              <w:spacing w:after="0"/>
            </w:pPr>
            <w:r/>
            <w:r>
              <w:rPr>
                <w:b w:val="0"/>
                <w:sz w:val="14"/>
              </w:rPr>
              <w:t>12</w:t>
            </w:r>
          </w:p>
        </w:tc>
        <w:tc>
          <w:tcPr>
            <w:tcW w:type="dxa" w:w="864"/>
            <w:vAlign w:val="top"/>
            <w:tcMar>
              <w:top w:w="40" w:type="dxa"/>
              <w:left w:w="40" w:type="dxa"/>
              <w:bottom w:w="40" w:type="dxa"/>
              <w:right w:w="40" w:type="dxa"/>
            </w:tcMar>
          </w:tcPr>
          <w:p>
            <w:pPr>
              <w:spacing w:after="0"/>
            </w:pPr>
            <w:r/>
            <w:r>
              <w:rPr>
                <w:b w:val="0"/>
                <w:sz w:val="14"/>
              </w:rPr>
              <w:t>OK</w:t>
            </w:r>
          </w:p>
        </w:tc>
      </w:tr>
    </w:tbl>
    <w:p/>
    <w:p>
      <w:pPr>
        <w:keepNext/>
        <w:spacing w:after="40" w:before="120"/>
      </w:pPr>
      <w:r>
        <w:rPr>
          <w:b/>
          <w:sz w:val="18"/>
        </w:rPr>
        <w:t>Table 24. Analytic fluid-model completion times and implied application rates from measured encoded stream bytes (raw versus ReduLink); computed, not measured.</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cantSplit/>
          <w:tblHeader w:val="true"/>
        </w:trPr>
        <w:tc>
          <w:tcPr>
            <w:tcW w:type="dxa" w:w="1296"/>
            <w:vAlign w:val="top"/>
            <w:tcMar>
              <w:top w:w="40" w:type="dxa"/>
              <w:left w:w="40" w:type="dxa"/>
              <w:bottom w:w="40" w:type="dxa"/>
              <w:right w:w="40" w:type="dxa"/>
            </w:tcMar>
          </w:tcPr>
          <w:p>
            <w:pPr>
              <w:spacing w:after="0"/>
            </w:pPr>
            <w:r/>
            <w:r>
              <w:rPr>
                <w:b/>
                <w:sz w:val="14"/>
              </w:rPr>
              <w:t>Rate Mbps</w:t>
            </w:r>
          </w:p>
        </w:tc>
        <w:tc>
          <w:tcPr>
            <w:tcW w:type="dxa" w:w="1008"/>
            <w:vAlign w:val="top"/>
            <w:tcMar>
              <w:top w:w="40" w:type="dxa"/>
              <w:left w:w="40" w:type="dxa"/>
              <w:bottom w:w="40" w:type="dxa"/>
              <w:right w:w="40" w:type="dxa"/>
            </w:tcMar>
          </w:tcPr>
          <w:p>
            <w:pPr>
              <w:spacing w:after="0"/>
            </w:pPr>
            <w:r/>
            <w:r>
              <w:rPr>
                <w:b/>
                <w:sz w:val="14"/>
              </w:rPr>
              <w:t>RTT ms</w:t>
            </w:r>
          </w:p>
        </w:tc>
        <w:tc>
          <w:tcPr>
            <w:tcW w:type="dxa" w:w="1728"/>
            <w:vAlign w:val="top"/>
            <w:tcMar>
              <w:top w:w="40" w:type="dxa"/>
              <w:left w:w="40" w:type="dxa"/>
              <w:bottom w:w="40" w:type="dxa"/>
              <w:right w:w="40" w:type="dxa"/>
            </w:tcMar>
          </w:tcPr>
          <w:p>
            <w:pPr>
              <w:spacing w:after="0"/>
            </w:pPr>
            <w:r/>
            <w:r>
              <w:rPr>
                <w:b/>
                <w:sz w:val="14"/>
              </w:rPr>
              <w:t>Raw compl. ms (model)</w:t>
            </w:r>
          </w:p>
        </w:tc>
        <w:tc>
          <w:tcPr>
            <w:tcW w:type="dxa" w:w="1728"/>
            <w:vAlign w:val="top"/>
            <w:tcMar>
              <w:top w:w="40" w:type="dxa"/>
              <w:left w:w="40" w:type="dxa"/>
              <w:bottom w:w="40" w:type="dxa"/>
              <w:right w:w="40" w:type="dxa"/>
            </w:tcMar>
          </w:tcPr>
          <w:p>
            <w:pPr>
              <w:spacing w:after="0"/>
            </w:pPr>
            <w:r/>
            <w:r>
              <w:rPr>
                <w:b/>
                <w:sz w:val="14"/>
              </w:rPr>
              <w:t>RL compl. ms (model)</w:t>
            </w:r>
          </w:p>
        </w:tc>
        <w:tc>
          <w:tcPr>
            <w:tcW w:type="dxa" w:w="1872"/>
            <w:vAlign w:val="top"/>
            <w:tcMar>
              <w:top w:w="40" w:type="dxa"/>
              <w:left w:w="40" w:type="dxa"/>
              <w:bottom w:w="40" w:type="dxa"/>
              <w:right w:w="40" w:type="dxa"/>
            </w:tcMar>
          </w:tcPr>
          <w:p>
            <w:pPr>
              <w:spacing w:after="0"/>
            </w:pPr>
            <w:r/>
            <w:r>
              <w:rPr>
                <w:b/>
                <w:sz w:val="14"/>
              </w:rPr>
              <w:t>Raw app rate Mbps (model)</w:t>
            </w:r>
          </w:p>
        </w:tc>
        <w:tc>
          <w:tcPr>
            <w:tcW w:type="dxa" w:w="1872"/>
            <w:vAlign w:val="top"/>
            <w:tcMar>
              <w:top w:w="40" w:type="dxa"/>
              <w:left w:w="40" w:type="dxa"/>
              <w:bottom w:w="40" w:type="dxa"/>
              <w:right w:w="40" w:type="dxa"/>
            </w:tcMar>
          </w:tcPr>
          <w:p>
            <w:pPr>
              <w:spacing w:after="0"/>
            </w:pPr>
            <w:r/>
            <w:r>
              <w:rPr>
                <w:b/>
                <w:sz w:val="14"/>
              </w:rPr>
              <w:t>RL app rate Mbps (model)</w:t>
            </w:r>
          </w:p>
        </w:tc>
      </w:tr>
      <w:tr>
        <w:trPr>
          <w:cantSplit/>
        </w:trP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113.3</w:t>
            </w:r>
          </w:p>
        </w:tc>
        <w:tc>
          <w:tcPr>
            <w:tcW w:type="dxa" w:w="1728"/>
            <w:vAlign w:val="top"/>
            <w:tcMar>
              <w:top w:w="40" w:type="dxa"/>
              <w:left w:w="40" w:type="dxa"/>
              <w:bottom w:w="40" w:type="dxa"/>
              <w:right w:w="40" w:type="dxa"/>
            </w:tcMar>
          </w:tcPr>
          <w:p>
            <w:pPr>
              <w:spacing w:after="0"/>
            </w:pPr>
            <w:r/>
            <w:r>
              <w:rPr>
                <w:b w:val="0"/>
                <w:sz w:val="14"/>
              </w:rPr>
              <w:t>59.3</w:t>
            </w:r>
          </w:p>
        </w:tc>
        <w:tc>
          <w:tcPr>
            <w:tcW w:type="dxa" w:w="1872"/>
            <w:vAlign w:val="top"/>
            <w:tcMar>
              <w:top w:w="40" w:type="dxa"/>
              <w:left w:w="40" w:type="dxa"/>
              <w:bottom w:w="40" w:type="dxa"/>
              <w:right w:w="40" w:type="dxa"/>
            </w:tcMar>
          </w:tcPr>
          <w:p>
            <w:pPr>
              <w:spacing w:after="0"/>
            </w:pPr>
            <w:r/>
            <w:r>
              <w:rPr>
                <w:b w:val="0"/>
                <w:sz w:val="14"/>
              </w:rPr>
              <w:t>6.9</w:t>
            </w:r>
          </w:p>
        </w:tc>
        <w:tc>
          <w:tcPr>
            <w:tcW w:type="dxa" w:w="1872"/>
            <w:vAlign w:val="top"/>
            <w:tcMar>
              <w:top w:w="40" w:type="dxa"/>
              <w:left w:w="40" w:type="dxa"/>
              <w:bottom w:w="40" w:type="dxa"/>
              <w:right w:w="40" w:type="dxa"/>
            </w:tcMar>
          </w:tcPr>
          <w:p>
            <w:pPr>
              <w:spacing w:after="0"/>
            </w:pPr>
            <w:r/>
            <w:r>
              <w:rPr>
                <w:b w:val="0"/>
                <w:sz w:val="14"/>
              </w:rPr>
              <w:t>13.3</w:t>
            </w:r>
          </w:p>
        </w:tc>
      </w:tr>
      <w:tr>
        <w:trPr>
          <w:cantSplit/>
        </w:trP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153.3</w:t>
            </w:r>
          </w:p>
        </w:tc>
        <w:tc>
          <w:tcPr>
            <w:tcW w:type="dxa" w:w="1728"/>
            <w:vAlign w:val="top"/>
            <w:tcMar>
              <w:top w:w="40" w:type="dxa"/>
              <w:left w:w="40" w:type="dxa"/>
              <w:bottom w:w="40" w:type="dxa"/>
              <w:right w:w="40" w:type="dxa"/>
            </w:tcMar>
          </w:tcPr>
          <w:p>
            <w:pPr>
              <w:spacing w:after="0"/>
            </w:pPr>
            <w:r/>
            <w:r>
              <w:rPr>
                <w:b w:val="0"/>
                <w:sz w:val="14"/>
              </w:rPr>
              <w:t>99.3</w:t>
            </w:r>
          </w:p>
        </w:tc>
        <w:tc>
          <w:tcPr>
            <w:tcW w:type="dxa" w:w="1872"/>
            <w:vAlign w:val="top"/>
            <w:tcMar>
              <w:top w:w="40" w:type="dxa"/>
              <w:left w:w="40" w:type="dxa"/>
              <w:bottom w:w="40" w:type="dxa"/>
              <w:right w:w="40" w:type="dxa"/>
            </w:tcMar>
          </w:tcPr>
          <w:p>
            <w:pPr>
              <w:spacing w:after="0"/>
            </w:pPr>
            <w:r/>
            <w:r>
              <w:rPr>
                <w:b w:val="0"/>
                <w:sz w:val="14"/>
              </w:rPr>
              <w:t>5.1</w:t>
            </w:r>
          </w:p>
        </w:tc>
        <w:tc>
          <w:tcPr>
            <w:tcW w:type="dxa" w:w="1872"/>
            <w:vAlign w:val="top"/>
            <w:tcMar>
              <w:top w:w="40" w:type="dxa"/>
              <w:left w:w="40" w:type="dxa"/>
              <w:bottom w:w="40" w:type="dxa"/>
              <w:right w:w="40" w:type="dxa"/>
            </w:tcMar>
          </w:tcPr>
          <w:p>
            <w:pPr>
              <w:spacing w:after="0"/>
            </w:pPr>
            <w:r/>
            <w:r>
              <w:rPr>
                <w:b w:val="0"/>
                <w:sz w:val="14"/>
              </w:rPr>
              <w:t>7.9</w:t>
            </w:r>
          </w:p>
        </w:tc>
      </w:tr>
      <w:tr>
        <w:trPr>
          <w:cantSplit/>
        </w:trP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51.3</w:t>
            </w:r>
          </w:p>
        </w:tc>
        <w:tc>
          <w:tcPr>
            <w:tcW w:type="dxa" w:w="1728"/>
            <w:vAlign w:val="top"/>
            <w:tcMar>
              <w:top w:w="40" w:type="dxa"/>
              <w:left w:w="40" w:type="dxa"/>
              <w:bottom w:w="40" w:type="dxa"/>
              <w:right w:w="40" w:type="dxa"/>
            </w:tcMar>
          </w:tcPr>
          <w:p>
            <w:pPr>
              <w:spacing w:after="0"/>
            </w:pPr>
            <w:r/>
            <w:r>
              <w:rPr>
                <w:b w:val="0"/>
                <w:sz w:val="14"/>
              </w:rPr>
              <w:t>29.7</w:t>
            </w:r>
          </w:p>
        </w:tc>
        <w:tc>
          <w:tcPr>
            <w:tcW w:type="dxa" w:w="1872"/>
            <w:vAlign w:val="top"/>
            <w:tcMar>
              <w:top w:w="40" w:type="dxa"/>
              <w:left w:w="40" w:type="dxa"/>
              <w:bottom w:w="40" w:type="dxa"/>
              <w:right w:w="40" w:type="dxa"/>
            </w:tcMar>
          </w:tcPr>
          <w:p>
            <w:pPr>
              <w:spacing w:after="0"/>
            </w:pPr>
            <w:r/>
            <w:r>
              <w:rPr>
                <w:b w:val="0"/>
                <w:sz w:val="14"/>
              </w:rPr>
              <w:t>15.3</w:t>
            </w:r>
          </w:p>
        </w:tc>
        <w:tc>
          <w:tcPr>
            <w:tcW w:type="dxa" w:w="1872"/>
            <w:vAlign w:val="top"/>
            <w:tcMar>
              <w:top w:w="40" w:type="dxa"/>
              <w:left w:w="40" w:type="dxa"/>
              <w:bottom w:w="40" w:type="dxa"/>
              <w:right w:w="40" w:type="dxa"/>
            </w:tcMar>
          </w:tcPr>
          <w:p>
            <w:pPr>
              <w:spacing w:after="0"/>
            </w:pPr>
            <w:r/>
            <w:r>
              <w:rPr>
                <w:b w:val="0"/>
                <w:sz w:val="14"/>
              </w:rPr>
              <w:t>26.5</w:t>
            </w:r>
          </w:p>
        </w:tc>
      </w:tr>
      <w:tr>
        <w:trPr>
          <w:cantSplit/>
        </w:trP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91.3</w:t>
            </w:r>
          </w:p>
        </w:tc>
        <w:tc>
          <w:tcPr>
            <w:tcW w:type="dxa" w:w="1728"/>
            <w:vAlign w:val="top"/>
            <w:tcMar>
              <w:top w:w="40" w:type="dxa"/>
              <w:left w:w="40" w:type="dxa"/>
              <w:bottom w:w="40" w:type="dxa"/>
              <w:right w:w="40" w:type="dxa"/>
            </w:tcMar>
          </w:tcPr>
          <w:p>
            <w:pPr>
              <w:spacing w:after="0"/>
            </w:pPr>
            <w:r/>
            <w:r>
              <w:rPr>
                <w:b w:val="0"/>
                <w:sz w:val="14"/>
              </w:rPr>
              <w:t>69.7</w:t>
            </w:r>
          </w:p>
        </w:tc>
        <w:tc>
          <w:tcPr>
            <w:tcW w:type="dxa" w:w="1872"/>
            <w:vAlign w:val="top"/>
            <w:tcMar>
              <w:top w:w="40" w:type="dxa"/>
              <w:left w:w="40" w:type="dxa"/>
              <w:bottom w:w="40" w:type="dxa"/>
              <w:right w:w="40" w:type="dxa"/>
            </w:tcMar>
          </w:tcPr>
          <w:p>
            <w:pPr>
              <w:spacing w:after="0"/>
            </w:pPr>
            <w:r/>
            <w:r>
              <w:rPr>
                <w:b w:val="0"/>
                <w:sz w:val="14"/>
              </w:rPr>
              <w:t>8.6</w:t>
            </w:r>
          </w:p>
        </w:tc>
        <w:tc>
          <w:tcPr>
            <w:tcW w:type="dxa" w:w="1872"/>
            <w:vAlign w:val="top"/>
            <w:tcMar>
              <w:top w:w="40" w:type="dxa"/>
              <w:left w:w="40" w:type="dxa"/>
              <w:bottom w:w="40" w:type="dxa"/>
              <w:right w:w="40" w:type="dxa"/>
            </w:tcMar>
          </w:tcPr>
          <w:p>
            <w:pPr>
              <w:spacing w:after="0"/>
            </w:pPr>
            <w:r/>
            <w:r>
              <w:rPr>
                <w:b w:val="0"/>
                <w:sz w:val="14"/>
              </w:rPr>
              <w:t>11.3</w:t>
            </w:r>
          </w:p>
        </w:tc>
      </w:tr>
      <w:tr>
        <w:trPr>
          <w:cantSplit/>
        </w:trP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20.3</w:t>
            </w:r>
          </w:p>
        </w:tc>
        <w:tc>
          <w:tcPr>
            <w:tcW w:type="dxa" w:w="1728"/>
            <w:vAlign w:val="top"/>
            <w:tcMar>
              <w:top w:w="40" w:type="dxa"/>
              <w:left w:w="40" w:type="dxa"/>
              <w:bottom w:w="40" w:type="dxa"/>
              <w:right w:w="40" w:type="dxa"/>
            </w:tcMar>
          </w:tcPr>
          <w:p>
            <w:pPr>
              <w:spacing w:after="0"/>
            </w:pPr>
            <w:r/>
            <w:r>
              <w:rPr>
                <w:b w:val="0"/>
                <w:sz w:val="14"/>
              </w:rPr>
              <w:t>14.9</w:t>
            </w:r>
          </w:p>
        </w:tc>
        <w:tc>
          <w:tcPr>
            <w:tcW w:type="dxa" w:w="1872"/>
            <w:vAlign w:val="top"/>
            <w:tcMar>
              <w:top w:w="40" w:type="dxa"/>
              <w:left w:w="40" w:type="dxa"/>
              <w:bottom w:w="40" w:type="dxa"/>
              <w:right w:w="40" w:type="dxa"/>
            </w:tcMar>
          </w:tcPr>
          <w:p>
            <w:pPr>
              <w:spacing w:after="0"/>
            </w:pPr>
            <w:r/>
            <w:r>
              <w:rPr>
                <w:b w:val="0"/>
                <w:sz w:val="14"/>
              </w:rPr>
              <w:t>38.7</w:t>
            </w:r>
          </w:p>
        </w:tc>
        <w:tc>
          <w:tcPr>
            <w:tcW w:type="dxa" w:w="1872"/>
            <w:vAlign w:val="top"/>
            <w:tcMar>
              <w:top w:w="40" w:type="dxa"/>
              <w:left w:w="40" w:type="dxa"/>
              <w:bottom w:w="40" w:type="dxa"/>
              <w:right w:w="40" w:type="dxa"/>
            </w:tcMar>
          </w:tcPr>
          <w:p>
            <w:pPr>
              <w:spacing w:after="0"/>
            </w:pPr>
            <w:r/>
            <w:r>
              <w:rPr>
                <w:b w:val="0"/>
                <w:sz w:val="14"/>
              </w:rPr>
              <w:t>52.7</w:t>
            </w:r>
          </w:p>
        </w:tc>
      </w:tr>
      <w:tr>
        <w:trPr>
          <w:cantSplit/>
        </w:trP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60.3</w:t>
            </w:r>
          </w:p>
        </w:tc>
        <w:tc>
          <w:tcPr>
            <w:tcW w:type="dxa" w:w="1728"/>
            <w:vAlign w:val="top"/>
            <w:tcMar>
              <w:top w:w="40" w:type="dxa"/>
              <w:left w:w="40" w:type="dxa"/>
              <w:bottom w:w="40" w:type="dxa"/>
              <w:right w:w="40" w:type="dxa"/>
            </w:tcMar>
          </w:tcPr>
          <w:p>
            <w:pPr>
              <w:spacing w:after="0"/>
            </w:pPr>
            <w:r/>
            <w:r>
              <w:rPr>
                <w:b w:val="0"/>
                <w:sz w:val="14"/>
              </w:rPr>
              <w:t>54.9</w:t>
            </w:r>
          </w:p>
        </w:tc>
        <w:tc>
          <w:tcPr>
            <w:tcW w:type="dxa" w:w="1872"/>
            <w:vAlign w:val="top"/>
            <w:tcMar>
              <w:top w:w="40" w:type="dxa"/>
              <w:left w:w="40" w:type="dxa"/>
              <w:bottom w:w="40" w:type="dxa"/>
              <w:right w:w="40" w:type="dxa"/>
            </w:tcMar>
          </w:tcPr>
          <w:p>
            <w:pPr>
              <w:spacing w:after="0"/>
            </w:pPr>
            <w:r/>
            <w:r>
              <w:rPr>
                <w:b w:val="0"/>
                <w:sz w:val="14"/>
              </w:rPr>
              <w:t>13.0</w:t>
            </w:r>
          </w:p>
        </w:tc>
        <w:tc>
          <w:tcPr>
            <w:tcW w:type="dxa" w:w="1872"/>
            <w:vAlign w:val="top"/>
            <w:tcMar>
              <w:top w:w="40" w:type="dxa"/>
              <w:left w:w="40" w:type="dxa"/>
              <w:bottom w:w="40" w:type="dxa"/>
              <w:right w:w="40" w:type="dxa"/>
            </w:tcMar>
          </w:tcPr>
          <w:p>
            <w:pPr>
              <w:spacing w:after="0"/>
            </w:pPr>
            <w:r/>
            <w:r>
              <w:rPr>
                <w:b w:val="0"/>
                <w:sz w:val="14"/>
              </w:rPr>
              <w:t>14.3</w:t>
            </w:r>
          </w:p>
        </w:tc>
      </w:tr>
    </w:tbl>
    <w:p/>
    <w:p>
      <w:pPr>
        <w:spacing w:after="80" w:before="0"/>
      </w:pPr>
      <w:r>
        <w:rPr>
          <w:sz w:val="20"/>
        </w:rPr>
        <w:t>The package includes reviewer-runnable macOS dummynet and Linux tc/netem harnesses. Table 23 is a completed but methodologically concurrent legacy run, while the corrected isolated Linux sweep remains to be executed. A full Mininet or multi-host congestion-control study with independent production-style flows remains future work.</w:t>
      </w:r>
    </w:p>
    <w:p>
      <w:pPr>
        <w:pStyle w:val="Heading1"/>
      </w:pPr>
      <w:r>
        <w:rPr>
          <w:rFonts w:ascii="Arial" w:hAnsi="Arial"/>
        </w:rPr>
        <w:t>11. Repair and Authentication Prototypes</w:t>
      </w:r>
    </w:p>
    <w:p>
      <w:pPr>
        <w:spacing w:after="80" w:before="0"/>
      </w:pPr>
      <w:r>
        <w:rPr>
          <w:sz w:val="20"/>
        </w:rPr>
        <w:t>Beyond the in-stream experiments, three prototypes exercise the fail-closed and authentication paths directly. Table 25 summarizes them. The semantic-repair demo forces a 25 percent dictionary-miss fraction and confirms that every miss is repaired with a FULL and that reconstruction is byte-exact. The localhost UDP repair experiment drops every seventh data datagram and uses timeout-based retransmission, again reconstructing fully after 15 semantic repairs and 6 retransmissions. The authenticated UDP experiment adds explicit negative probes: a tampered authentication tag and a replayed nonce are both rejected (1 tamper and 1 replay rejection) before normal authenticated repair traffic is accepted, demonstrating fail-closed behavior under active manipulation.</w:t>
      </w:r>
    </w:p>
    <w:p>
      <w:pPr>
        <w:keepNext/>
        <w:spacing w:after="40" w:before="120"/>
      </w:pPr>
      <w:r>
        <w:rPr>
          <w:b/>
          <w:sz w:val="18"/>
        </w:rPr>
        <w:t>Table 25. Repair and authentication prototypes (localhost).</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cantSplit/>
          <w:tblHeader w:val="true"/>
        </w:trPr>
        <w:tc>
          <w:tcPr>
            <w:tcW w:type="dxa" w:w="2592"/>
            <w:vAlign w:val="top"/>
            <w:tcMar>
              <w:top w:w="40" w:type="dxa"/>
              <w:left w:w="40" w:type="dxa"/>
              <w:bottom w:w="40" w:type="dxa"/>
              <w:right w:w="40" w:type="dxa"/>
            </w:tcMar>
          </w:tcPr>
          <w:p>
            <w:pPr>
              <w:spacing w:after="0"/>
            </w:pPr>
            <w:r/>
            <w:r>
              <w:rPr>
                <w:b/>
                <w:sz w:val="16"/>
              </w:rPr>
              <w:t>Prototype</w:t>
            </w:r>
          </w:p>
        </w:tc>
        <w:tc>
          <w:tcPr>
            <w:tcW w:type="dxa" w:w="1440"/>
            <w:vAlign w:val="top"/>
            <w:tcMar>
              <w:top w:w="40" w:type="dxa"/>
              <w:left w:w="40" w:type="dxa"/>
              <w:bottom w:w="40" w:type="dxa"/>
              <w:right w:w="40" w:type="dxa"/>
            </w:tcMar>
          </w:tcPr>
          <w:p>
            <w:pPr>
              <w:spacing w:after="0"/>
            </w:pPr>
            <w:r/>
            <w:r>
              <w:rPr>
                <w:b/>
                <w:sz w:val="16"/>
              </w:rPr>
              <w:t>Input bytes</w:t>
            </w:r>
          </w:p>
        </w:tc>
        <w:tc>
          <w:tcPr>
            <w:tcW w:type="dxa" w:w="1728"/>
            <w:vAlign w:val="top"/>
            <w:tcMar>
              <w:top w:w="40" w:type="dxa"/>
              <w:left w:w="40" w:type="dxa"/>
              <w:bottom w:w="40" w:type="dxa"/>
              <w:right w:w="40" w:type="dxa"/>
            </w:tcMar>
          </w:tcPr>
          <w:p>
            <w:pPr>
              <w:spacing w:after="0"/>
            </w:pPr>
            <w:r/>
            <w:r>
              <w:rPr>
                <w:b/>
                <w:sz w:val="16"/>
              </w:rPr>
              <w:t>Misses / repairs</w:t>
            </w:r>
          </w:p>
        </w:tc>
        <w:tc>
          <w:tcPr>
            <w:tcW w:type="dxa" w:w="2304"/>
            <w:vAlign w:val="top"/>
            <w:tcMar>
              <w:top w:w="40" w:type="dxa"/>
              <w:left w:w="40" w:type="dxa"/>
              <w:bottom w:w="40" w:type="dxa"/>
              <w:right w:w="40" w:type="dxa"/>
            </w:tcMar>
          </w:tcPr>
          <w:p>
            <w:pPr>
              <w:spacing w:after="0"/>
            </w:pPr>
            <w:r/>
            <w:r>
              <w:rPr>
                <w:b/>
                <w:sz w:val="16"/>
              </w:rPr>
              <w:t>Negative probes rejected</w:t>
            </w:r>
          </w:p>
        </w:tc>
        <w:tc>
          <w:tcPr>
            <w:tcW w:type="dxa" w:w="1008"/>
            <w:vAlign w:val="top"/>
            <w:tcMar>
              <w:top w:w="40" w:type="dxa"/>
              <w:left w:w="40" w:type="dxa"/>
              <w:bottom w:w="40" w:type="dxa"/>
              <w:right w:w="40" w:type="dxa"/>
            </w:tcMar>
          </w:tcPr>
          <w:p>
            <w:pPr>
              <w:spacing w:after="0"/>
            </w:pPr>
            <w:r/>
            <w:r>
              <w:rPr>
                <w:b/>
                <w:sz w:val="16"/>
              </w:rPr>
              <w:t>Recon.</w:t>
            </w:r>
          </w:p>
        </w:tc>
      </w:tr>
      <w:tr>
        <w:trPr>
          <w:cantSplit/>
        </w:trPr>
        <w:tc>
          <w:tcPr>
            <w:tcW w:type="dxa" w:w="2592"/>
            <w:vAlign w:val="top"/>
            <w:tcMar>
              <w:top w:w="40" w:type="dxa"/>
              <w:left w:w="40" w:type="dxa"/>
              <w:bottom w:w="40" w:type="dxa"/>
              <w:right w:w="40" w:type="dxa"/>
            </w:tcMar>
          </w:tcPr>
          <w:p>
            <w:pPr>
              <w:spacing w:after="0"/>
            </w:pPr>
            <w:r/>
            <w:r>
              <w:rPr>
                <w:b w:val="0"/>
                <w:sz w:val="16"/>
              </w:rPr>
              <w:t>Semantic repair demo</w:t>
            </w:r>
          </w:p>
        </w:tc>
        <w:tc>
          <w:tcPr>
            <w:tcW w:type="dxa" w:w="1440"/>
            <w:vAlign w:val="top"/>
            <w:tcMar>
              <w:top w:w="40" w:type="dxa"/>
              <w:left w:w="40" w:type="dxa"/>
              <w:bottom w:w="40" w:type="dxa"/>
              <w:right w:w="40" w:type="dxa"/>
            </w:tcMar>
          </w:tcPr>
          <w:p>
            <w:pPr>
              <w:spacing w:after="0"/>
            </w:pPr>
            <w:r/>
            <w:r>
              <w:rPr>
                <w:b w:val="0"/>
                <w:sz w:val="16"/>
              </w:rPr>
              <w:t>32,546</w:t>
            </w:r>
          </w:p>
        </w:tc>
        <w:tc>
          <w:tcPr>
            <w:tcW w:type="dxa" w:w="1728"/>
            <w:vAlign w:val="top"/>
            <w:tcMar>
              <w:top w:w="40" w:type="dxa"/>
              <w:left w:w="40" w:type="dxa"/>
              <w:bottom w:w="40" w:type="dxa"/>
              <w:right w:w="40" w:type="dxa"/>
            </w:tcMar>
          </w:tcPr>
          <w:p>
            <w:pPr>
              <w:spacing w:after="0"/>
            </w:pPr>
            <w:r/>
            <w:r>
              <w:rPr>
                <w:b w:val="0"/>
                <w:sz w:val="16"/>
              </w:rPr>
              <w:t>2 / 2</w:t>
            </w:r>
          </w:p>
        </w:tc>
        <w:tc>
          <w:tcPr>
            <w:tcW w:type="dxa" w:w="2304"/>
            <w:vAlign w:val="top"/>
            <w:tcMar>
              <w:top w:w="40" w:type="dxa"/>
              <w:left w:w="40" w:type="dxa"/>
              <w:bottom w:w="40" w:type="dxa"/>
              <w:right w:w="40" w:type="dxa"/>
            </w:tcMar>
          </w:tcPr>
          <w:p>
            <w:pPr>
              <w:spacing w:after="0"/>
            </w:pPr>
            <w:r/>
            <w:r>
              <w:rPr>
                <w:b w:val="0"/>
                <w:sz w:val="16"/>
              </w:rPr>
              <w:t>n/a (25% missing)</w:t>
            </w:r>
          </w:p>
        </w:tc>
        <w:tc>
          <w:tcPr>
            <w:tcW w:type="dxa" w:w="1008"/>
            <w:vAlign w:val="top"/>
            <w:tcMar>
              <w:top w:w="40" w:type="dxa"/>
              <w:left w:w="40" w:type="dxa"/>
              <w:bottom w:w="40" w:type="dxa"/>
              <w:right w:w="40" w:type="dxa"/>
            </w:tcMar>
          </w:tcPr>
          <w:p>
            <w:pPr>
              <w:spacing w:after="0"/>
            </w:pPr>
            <w:r/>
            <w:r>
              <w:rPr>
                <w:b w:val="0"/>
                <w:sz w:val="16"/>
              </w:rPr>
              <w:t>OK</w:t>
            </w:r>
          </w:p>
        </w:tc>
      </w:tr>
      <w:tr>
        <w:trPr>
          <w:cantSplit/>
        </w:trPr>
        <w:tc>
          <w:tcPr>
            <w:tcW w:type="dxa" w:w="2592"/>
            <w:vAlign w:val="top"/>
            <w:tcMar>
              <w:top w:w="40" w:type="dxa"/>
              <w:left w:w="40" w:type="dxa"/>
              <w:bottom w:w="40" w:type="dxa"/>
              <w:right w:w="40" w:type="dxa"/>
            </w:tcMar>
          </w:tcPr>
          <w:p>
            <w:pPr>
              <w:spacing w:after="0"/>
            </w:pPr>
            <w:r/>
            <w:r>
              <w:rPr>
                <w:b w:val="0"/>
                <w:sz w:val="16"/>
              </w:rPr>
              <w:t>UDP repair (drop every 7)</w:t>
            </w:r>
          </w:p>
        </w:tc>
        <w:tc>
          <w:tcPr>
            <w:tcW w:type="dxa" w:w="1440"/>
            <w:vAlign w:val="top"/>
            <w:tcMar>
              <w:top w:w="40" w:type="dxa"/>
              <w:left w:w="40" w:type="dxa"/>
              <w:bottom w:w="40" w:type="dxa"/>
              <w:right w:w="40" w:type="dxa"/>
            </w:tcMar>
          </w:tcPr>
          <w:p>
            <w:pPr>
              <w:spacing w:after="0"/>
            </w:pPr>
            <w:r/>
            <w:r>
              <w:rPr>
                <w:b w:val="0"/>
                <w:sz w:val="16"/>
              </w:rPr>
              <w:t>49,152</w:t>
            </w:r>
          </w:p>
        </w:tc>
        <w:tc>
          <w:tcPr>
            <w:tcW w:type="dxa" w:w="1728"/>
            <w:vAlign w:val="top"/>
            <w:tcMar>
              <w:top w:w="40" w:type="dxa"/>
              <w:left w:w="40" w:type="dxa"/>
              <w:bottom w:w="40" w:type="dxa"/>
              <w:right w:w="40" w:type="dxa"/>
            </w:tcMar>
          </w:tcPr>
          <w:p>
            <w:pPr>
              <w:spacing w:after="0"/>
            </w:pPr>
            <w:r/>
            <w:r>
              <w:rPr>
                <w:b w:val="0"/>
                <w:sz w:val="16"/>
              </w:rPr>
              <w:t>15 / 15</w:t>
            </w:r>
          </w:p>
        </w:tc>
        <w:tc>
          <w:tcPr>
            <w:tcW w:type="dxa" w:w="2304"/>
            <w:vAlign w:val="top"/>
            <w:tcMar>
              <w:top w:w="40" w:type="dxa"/>
              <w:left w:w="40" w:type="dxa"/>
              <w:bottom w:w="40" w:type="dxa"/>
              <w:right w:w="40" w:type="dxa"/>
            </w:tcMar>
          </w:tcPr>
          <w:p>
            <w:pPr>
              <w:spacing w:after="0"/>
            </w:pPr>
            <w:r/>
            <w:r>
              <w:rPr>
                <w:b w:val="0"/>
                <w:sz w:val="16"/>
              </w:rPr>
              <w:t>6 retransmits</w:t>
            </w:r>
          </w:p>
        </w:tc>
        <w:tc>
          <w:tcPr>
            <w:tcW w:type="dxa" w:w="1008"/>
            <w:vAlign w:val="top"/>
            <w:tcMar>
              <w:top w:w="40" w:type="dxa"/>
              <w:left w:w="40" w:type="dxa"/>
              <w:bottom w:w="40" w:type="dxa"/>
              <w:right w:w="40" w:type="dxa"/>
            </w:tcMar>
          </w:tcPr>
          <w:p>
            <w:pPr>
              <w:spacing w:after="0"/>
            </w:pPr>
            <w:r/>
            <w:r>
              <w:rPr>
                <w:b w:val="0"/>
                <w:sz w:val="16"/>
              </w:rPr>
              <w:t>OK</w:t>
            </w:r>
          </w:p>
        </w:tc>
      </w:tr>
      <w:tr>
        <w:trPr>
          <w:cantSplit/>
        </w:trPr>
        <w:tc>
          <w:tcPr>
            <w:tcW w:type="dxa" w:w="2592"/>
            <w:vAlign w:val="top"/>
            <w:tcMar>
              <w:top w:w="40" w:type="dxa"/>
              <w:left w:w="40" w:type="dxa"/>
              <w:bottom w:w="40" w:type="dxa"/>
              <w:right w:w="40" w:type="dxa"/>
            </w:tcMar>
          </w:tcPr>
          <w:p>
            <w:pPr>
              <w:spacing w:after="0"/>
            </w:pPr>
            <w:r/>
            <w:r>
              <w:rPr>
                <w:b w:val="0"/>
                <w:sz w:val="16"/>
              </w:rPr>
              <w:t>Authenticated UDP</w:t>
            </w:r>
          </w:p>
        </w:tc>
        <w:tc>
          <w:tcPr>
            <w:tcW w:type="dxa" w:w="1440"/>
            <w:vAlign w:val="top"/>
            <w:tcMar>
              <w:top w:w="40" w:type="dxa"/>
              <w:left w:w="40" w:type="dxa"/>
              <w:bottom w:w="40" w:type="dxa"/>
              <w:right w:w="40" w:type="dxa"/>
            </w:tcMar>
          </w:tcPr>
          <w:p>
            <w:pPr>
              <w:spacing w:after="0"/>
            </w:pPr>
            <w:r/>
            <w:r>
              <w:rPr>
                <w:b w:val="0"/>
                <w:sz w:val="16"/>
              </w:rPr>
              <w:t>65,536</w:t>
            </w:r>
          </w:p>
        </w:tc>
        <w:tc>
          <w:tcPr>
            <w:tcW w:type="dxa" w:w="1728"/>
            <w:vAlign w:val="top"/>
            <w:tcMar>
              <w:top w:w="40" w:type="dxa"/>
              <w:left w:w="40" w:type="dxa"/>
              <w:bottom w:w="40" w:type="dxa"/>
              <w:right w:w="40" w:type="dxa"/>
            </w:tcMar>
          </w:tcPr>
          <w:p>
            <w:pPr>
              <w:spacing w:after="0"/>
            </w:pPr>
            <w:r/>
            <w:r>
              <w:rPr>
                <w:b w:val="0"/>
                <w:sz w:val="16"/>
              </w:rPr>
              <w:t>12 / 12</w:t>
            </w:r>
          </w:p>
        </w:tc>
        <w:tc>
          <w:tcPr>
            <w:tcW w:type="dxa" w:w="2304"/>
            <w:vAlign w:val="top"/>
            <w:tcMar>
              <w:top w:w="40" w:type="dxa"/>
              <w:left w:w="40" w:type="dxa"/>
              <w:bottom w:w="40" w:type="dxa"/>
              <w:right w:w="40" w:type="dxa"/>
            </w:tcMar>
          </w:tcPr>
          <w:p>
            <w:pPr>
              <w:spacing w:after="0"/>
            </w:pPr>
            <w:r/>
            <w:r>
              <w:rPr>
                <w:b w:val="0"/>
                <w:sz w:val="16"/>
              </w:rPr>
              <w:t>1 tamper, 1 replay</w:t>
            </w:r>
          </w:p>
        </w:tc>
        <w:tc>
          <w:tcPr>
            <w:tcW w:type="dxa" w:w="1008"/>
            <w:vAlign w:val="top"/>
            <w:tcMar>
              <w:top w:w="40" w:type="dxa"/>
              <w:left w:w="40" w:type="dxa"/>
              <w:bottom w:w="40" w:type="dxa"/>
              <w:right w:w="40" w:type="dxa"/>
            </w:tcMar>
          </w:tcPr>
          <w:p>
            <w:pPr>
              <w:spacing w:after="0"/>
            </w:pPr>
            <w:r/>
            <w:r>
              <w:rPr>
                <w:b w:val="0"/>
                <w:sz w:val="16"/>
              </w:rPr>
              <w:t>OK</w:t>
            </w:r>
          </w:p>
        </w:tc>
      </w:tr>
    </w:tbl>
    <w:p/>
    <w:p>
      <w:pPr>
        <w:pStyle w:val="Heading1"/>
      </w:pPr>
      <w:r>
        <w:rPr>
          <w:rFonts w:ascii="Arial" w:hAnsi="Arial"/>
        </w:rPr>
        <w:t>12. Why Not Just Compress or Use rsync?</w:t>
      </w:r>
    </w:p>
    <w:p>
      <w:pPr>
        <w:spacing w:after="80" w:before="0"/>
      </w:pPr>
      <w:r>
        <w:rPr>
          <w:sz w:val="20"/>
        </w:rPr>
        <w:t>Compression is best when repetition is local to one object; rsync is best when both endpoints share a file tree and can run a delta protocol; HTTP delta or shared-dictionary transport is best when the application is HTTP and a codec-level dictionary suffices; and whole-stream dictionary delta (zstd --patch-from, Section 7.6) is best on raw bytes whenever the receiver retains the exact prior stream - by one to three orders of magnitude on our corpora. The ReduLink use case is different: encrypted endpoint streams where dictionary state is already available at the receiver, the transfer is not naturally a file-tree synchronization session, and each reconstruction step must be individually authenticated and fail closed. The evaluation confirms the boundary. On source-release trees, rsync dominates (Table 7). On package metadata and logs, compression or fixed-block reuse dominates (Table 6). On object-aligned public releases and layer-like byte-stable objects (Tables 8 and 9), ReduLink provides authenticated reference substitution at modest overhead over a simple fixed-reference baseline.</w:t>
      </w:r>
    </w:p>
    <w:p>
      <w:pPr>
        <w:spacing w:after="80" w:before="0"/>
      </w:pPr>
      <w:r>
        <w:rPr>
          <w:sz w:val="20"/>
        </w:rPr>
        <w:t>The motivating cases are therefore not arbitrary file synchronization. They are stream-serving cases in which the endpoint already knows that a receiver has dictionary state but must still authenticate every reconstruction step and preserve encrypted transport semantics. A CDN edge, registry, backup client, or enterprise service may choose this representation because it avoids exposing plaintext to a WAN optimizer and avoids changing the application protocol into a file-tree delta session, while keeping a stronger per-reference integrity guarantee than a codec-level shared dictionary provides.</w:t>
      </w:r>
    </w:p>
    <w:p>
      <w:r>
        <w:br w:type="page"/>
      </w:r>
    </w:p>
    <w:p>
      <w:pPr>
        <w:spacing w:after="80" w:before="0"/>
      </w:pPr>
      <w:r>
        <w:rPr>
          <w:sz w:val="20"/>
        </w:rPr>
        <w:t>Table 26 consolidates the positioning without downgrading RFC 9842's protections. CDT has hashed dictionary identity, HTTPS origin/availability policy, and response discard on decoding failure. ReduLink differs by exposing individually bound chunk references and explicit semantic state repair outside HTTP content coding. The comparison is about granularity and serving abstraction, not about replacing QUIC/TLS integrity.</w:t>
      </w:r>
    </w:p>
    <w:p>
      <w:pPr>
        <w:keepNext/>
        <w:spacing w:after="40" w:before="120"/>
      </w:pPr>
      <w:r>
        <w:rPr>
          <w:b/>
          <w:sz w:val="18"/>
        </w:rPr>
        <w:t>Table 26. Positioning of ReduLink relative to related redundancy-suppression approaches.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cantSplit/>
          <w:tblHeader w:val="true"/>
        </w:trPr>
        <w:tc>
          <w:tcPr>
            <w:tcW w:type="dxa" w:w="2448"/>
            <w:vAlign w:val="top"/>
            <w:tcMar>
              <w:top w:w="40" w:type="dxa"/>
              <w:left w:w="40" w:type="dxa"/>
              <w:bottom w:w="40" w:type="dxa"/>
              <w:right w:w="40" w:type="dxa"/>
            </w:tcMar>
          </w:tcPr>
          <w:p>
            <w:pPr>
              <w:spacing w:after="0"/>
            </w:pPr>
            <w:r/>
            <w:r>
              <w:rPr>
                <w:b/>
                <w:sz w:val="16"/>
              </w:rPr>
              <w:t>Approach</w:t>
            </w:r>
          </w:p>
        </w:tc>
        <w:tc>
          <w:tcPr>
            <w:tcW w:type="dxa" w:w="1872"/>
            <w:vAlign w:val="top"/>
            <w:tcMar>
              <w:top w:w="40" w:type="dxa"/>
              <w:left w:w="40" w:type="dxa"/>
              <w:bottom w:w="40" w:type="dxa"/>
              <w:right w:w="40" w:type="dxa"/>
            </w:tcMar>
          </w:tcPr>
          <w:p>
            <w:pPr>
              <w:spacing w:after="0"/>
            </w:pPr>
            <w:r/>
            <w:r>
              <w:rPr>
                <w:b/>
                <w:sz w:val="16"/>
              </w:rPr>
              <w:t>E2E-encrypted transport</w:t>
            </w:r>
          </w:p>
        </w:tc>
        <w:tc>
          <w:tcPr>
            <w:tcW w:type="dxa" w:w="1440"/>
            <w:vAlign w:val="top"/>
            <w:tcMar>
              <w:top w:w="40" w:type="dxa"/>
              <w:left w:w="40" w:type="dxa"/>
              <w:bottom w:w="40" w:type="dxa"/>
              <w:right w:w="40" w:type="dxa"/>
            </w:tcMar>
          </w:tcPr>
          <w:p>
            <w:pPr>
              <w:spacing w:after="0"/>
            </w:pPr>
            <w:r/>
            <w:r>
              <w:rPr>
                <w:b/>
                <w:sz w:val="16"/>
              </w:rPr>
              <w:t>Per-reference auth</w:t>
            </w:r>
          </w:p>
        </w:tc>
        <w:tc>
          <w:tcPr>
            <w:tcW w:type="dxa" w:w="1440"/>
            <w:vAlign w:val="top"/>
            <w:tcMar>
              <w:top w:w="40" w:type="dxa"/>
              <w:left w:w="40" w:type="dxa"/>
              <w:bottom w:w="40" w:type="dxa"/>
              <w:right w:w="40" w:type="dxa"/>
            </w:tcMar>
          </w:tcPr>
          <w:p>
            <w:pPr>
              <w:spacing w:after="0"/>
            </w:pPr>
            <w:r/>
            <w:r>
              <w:rPr>
                <w:b/>
                <w:sz w:val="16"/>
              </w:rPr>
              <w:t>Fail-closed repair</w:t>
            </w:r>
          </w:p>
        </w:tc>
        <w:tc>
          <w:tcPr>
            <w:tcW w:type="dxa" w:w="1584"/>
            <w:vAlign w:val="top"/>
            <w:tcMar>
              <w:top w:w="40" w:type="dxa"/>
              <w:left w:w="40" w:type="dxa"/>
              <w:bottom w:w="40" w:type="dxa"/>
              <w:right w:w="40" w:type="dxa"/>
            </w:tcMar>
          </w:tcPr>
          <w:p>
            <w:pPr>
              <w:spacing w:after="0"/>
            </w:pPr>
            <w:r/>
            <w:r>
              <w:rPr>
                <w:b/>
                <w:sz w:val="16"/>
              </w:rPr>
              <w:t>Receiver dictionary</w:t>
            </w:r>
          </w:p>
        </w:tc>
        <w:tc>
          <w:tcPr>
            <w:tcW w:type="dxa" w:w="2304"/>
            <w:vAlign w:val="top"/>
            <w:tcMar>
              <w:top w:w="40" w:type="dxa"/>
              <w:left w:w="40" w:type="dxa"/>
              <w:bottom w:w="40" w:type="dxa"/>
              <w:right w:w="40" w:type="dxa"/>
            </w:tcMar>
          </w:tcPr>
          <w:p>
            <w:pPr>
              <w:spacing w:after="0"/>
            </w:pPr>
            <w:r/>
            <w:r>
              <w:rPr>
                <w:b/>
                <w:sz w:val="16"/>
              </w:rPr>
              <w:t>Best-fit workload</w:t>
            </w:r>
          </w:p>
        </w:tc>
      </w:tr>
      <w:tr>
        <w:trPr>
          <w:cantSplit/>
        </w:trPr>
        <w:tc>
          <w:tcPr>
            <w:tcW w:type="dxa" w:w="2448"/>
            <w:vAlign w:val="top"/>
            <w:tcMar>
              <w:top w:w="40" w:type="dxa"/>
              <w:left w:w="40" w:type="dxa"/>
              <w:bottom w:w="40" w:type="dxa"/>
              <w:right w:w="40" w:type="dxa"/>
            </w:tcMar>
          </w:tcPr>
          <w:p>
            <w:pPr>
              <w:spacing w:after="0"/>
            </w:pPr>
            <w:r/>
            <w:r>
              <w:rPr>
                <w:b w:val="0"/>
                <w:sz w:val="16"/>
              </w:rPr>
              <w:t>In-network RE [1-4]</w:t>
            </w:r>
          </w:p>
        </w:tc>
        <w:tc>
          <w:tcPr>
            <w:tcW w:type="dxa" w:w="1872"/>
            <w:vAlign w:val="top"/>
            <w:tcMar>
              <w:top w:w="40" w:type="dxa"/>
              <w:left w:w="40" w:type="dxa"/>
              <w:bottom w:w="40" w:type="dxa"/>
              <w:right w:w="40" w:type="dxa"/>
            </w:tcMar>
          </w:tcPr>
          <w:p>
            <w:pPr>
              <w:spacing w:after="0"/>
            </w:pPr>
            <w:r/>
            <w:r>
              <w:rPr>
                <w:b w:val="0"/>
                <w:sz w:val="16"/>
              </w:rPr>
              <w:t>No (needs plaintext vantage)</w:t>
            </w:r>
          </w:p>
        </w:tc>
        <w:tc>
          <w:tcPr>
            <w:tcW w:type="dxa" w:w="1440"/>
            <w:vAlign w:val="top"/>
            <w:tcMar>
              <w:top w:w="40" w:type="dxa"/>
              <w:left w:w="40" w:type="dxa"/>
              <w:bottom w:w="40" w:type="dxa"/>
              <w:right w:w="40" w:type="dxa"/>
            </w:tcMar>
          </w:tcPr>
          <w:p>
            <w:pPr>
              <w:spacing w:after="0"/>
            </w:pPr>
            <w:r/>
            <w:r>
              <w:rPr>
                <w:b w:val="0"/>
                <w:sz w:val="16"/>
              </w:rPr>
              <w:t>No</w:t>
            </w:r>
          </w:p>
        </w:tc>
        <w:tc>
          <w:tcPr>
            <w:tcW w:type="dxa" w:w="1440"/>
            <w:vAlign w:val="top"/>
            <w:tcMar>
              <w:top w:w="40" w:type="dxa"/>
              <w:left w:w="40" w:type="dxa"/>
              <w:bottom w:w="40" w:type="dxa"/>
              <w:right w:w="40" w:type="dxa"/>
            </w:tcMar>
          </w:tcPr>
          <w:p>
            <w:pPr>
              <w:spacing w:after="0"/>
            </w:pPr>
            <w:r/>
            <w:r>
              <w:rPr>
                <w:b w:val="0"/>
                <w:sz w:val="16"/>
              </w:rPr>
              <w:t>n/a</w:t>
            </w:r>
          </w:p>
        </w:tc>
        <w:tc>
          <w:tcPr>
            <w:tcW w:type="dxa" w:w="1584"/>
            <w:vAlign w:val="top"/>
            <w:tcMar>
              <w:top w:w="40" w:type="dxa"/>
              <w:left w:w="40" w:type="dxa"/>
              <w:bottom w:w="40" w:type="dxa"/>
              <w:right w:w="40" w:type="dxa"/>
            </w:tcMar>
          </w:tcPr>
          <w:p>
            <w:pPr>
              <w:spacing w:after="0"/>
            </w:pPr>
            <w:r/>
            <w:r>
              <w:rPr>
                <w:b w:val="0"/>
                <w:sz w:val="16"/>
              </w:rPr>
              <w:t>Network cache</w:t>
            </w:r>
          </w:p>
        </w:tc>
        <w:tc>
          <w:tcPr>
            <w:tcW w:type="dxa" w:w="2304"/>
            <w:vAlign w:val="top"/>
            <w:tcMar>
              <w:top w:w="40" w:type="dxa"/>
              <w:left w:w="40" w:type="dxa"/>
              <w:bottom w:w="40" w:type="dxa"/>
              <w:right w:w="40" w:type="dxa"/>
            </w:tcMar>
          </w:tcPr>
          <w:p>
            <w:pPr>
              <w:spacing w:after="0"/>
            </w:pPr>
            <w:r/>
            <w:r>
              <w:rPr>
                <w:b w:val="0"/>
                <w:sz w:val="16"/>
              </w:rPr>
              <w:t>High-redundancy unencrypted links</w:t>
            </w:r>
          </w:p>
        </w:tc>
      </w:tr>
      <w:tr>
        <w:trPr>
          <w:cantSplit/>
        </w:trPr>
        <w:tc>
          <w:tcPr>
            <w:tcW w:type="dxa" w:w="2448"/>
            <w:vAlign w:val="top"/>
            <w:tcMar>
              <w:top w:w="40" w:type="dxa"/>
              <w:left w:w="40" w:type="dxa"/>
              <w:bottom w:w="40" w:type="dxa"/>
              <w:right w:w="40" w:type="dxa"/>
            </w:tcMar>
          </w:tcPr>
          <w:p>
            <w:pPr>
              <w:spacing w:after="0"/>
            </w:pPr>
            <w:r/>
            <w:r>
              <w:rPr>
                <w:b w:val="0"/>
                <w:sz w:val="16"/>
              </w:rPr>
              <w:t>rsync / LBFS [5]</w:t>
            </w:r>
          </w:p>
        </w:tc>
        <w:tc>
          <w:tcPr>
            <w:tcW w:type="dxa" w:w="1872"/>
            <w:vAlign w:val="top"/>
            <w:tcMar>
              <w:top w:w="40" w:type="dxa"/>
              <w:left w:w="40" w:type="dxa"/>
              <w:bottom w:w="40" w:type="dxa"/>
              <w:right w:w="40" w:type="dxa"/>
            </w:tcMar>
          </w:tcPr>
          <w:p>
            <w:pPr>
              <w:spacing w:after="0"/>
            </w:pPr>
            <w:r/>
            <w:r>
              <w:rPr>
                <w:b w:val="0"/>
                <w:sz w:val="16"/>
              </w:rPr>
              <w:t>Endpoints only</w:t>
            </w:r>
          </w:p>
        </w:tc>
        <w:tc>
          <w:tcPr>
            <w:tcW w:type="dxa" w:w="1440"/>
            <w:vAlign w:val="top"/>
            <w:tcMar>
              <w:top w:w="40" w:type="dxa"/>
              <w:left w:w="40" w:type="dxa"/>
              <w:bottom w:w="40" w:type="dxa"/>
              <w:right w:w="40" w:type="dxa"/>
            </w:tcMar>
          </w:tcPr>
          <w:p>
            <w:pPr>
              <w:spacing w:after="0"/>
            </w:pPr>
            <w:r/>
            <w:r>
              <w:rPr>
                <w:b w:val="0"/>
                <w:sz w:val="16"/>
              </w:rPr>
              <w:t>Transport integrity only</w:t>
            </w:r>
          </w:p>
        </w:tc>
        <w:tc>
          <w:tcPr>
            <w:tcW w:type="dxa" w:w="1440"/>
            <w:vAlign w:val="top"/>
            <w:tcMar>
              <w:top w:w="40" w:type="dxa"/>
              <w:left w:w="40" w:type="dxa"/>
              <w:bottom w:w="40" w:type="dxa"/>
              <w:right w:w="40" w:type="dxa"/>
            </w:tcMar>
          </w:tcPr>
          <w:p>
            <w:pPr>
              <w:spacing w:after="0"/>
            </w:pPr>
            <w:r/>
            <w:r>
              <w:rPr>
                <w:b w:val="0"/>
                <w:sz w:val="16"/>
              </w:rPr>
              <w:t>n/a (delta negotiation)</w:t>
            </w:r>
          </w:p>
        </w:tc>
        <w:tc>
          <w:tcPr>
            <w:tcW w:type="dxa" w:w="1584"/>
            <w:vAlign w:val="top"/>
            <w:tcMar>
              <w:top w:w="40" w:type="dxa"/>
              <w:left w:w="40" w:type="dxa"/>
              <w:bottom w:w="40" w:type="dxa"/>
              <w:right w:w="40" w:type="dxa"/>
            </w:tcMar>
          </w:tcPr>
          <w:p>
            <w:pPr>
              <w:spacing w:after="0"/>
            </w:pPr>
            <w:r/>
            <w:r>
              <w:rPr>
                <w:b w:val="0"/>
                <w:sz w:val="16"/>
              </w:rPr>
              <w:t>File/object index</w:t>
            </w:r>
          </w:p>
        </w:tc>
        <w:tc>
          <w:tcPr>
            <w:tcW w:type="dxa" w:w="2304"/>
            <w:vAlign w:val="top"/>
            <w:tcMar>
              <w:top w:w="40" w:type="dxa"/>
              <w:left w:w="40" w:type="dxa"/>
              <w:bottom w:w="40" w:type="dxa"/>
              <w:right w:w="40" w:type="dxa"/>
            </w:tcMar>
          </w:tcPr>
          <w:p>
            <w:pPr>
              <w:spacing w:after="0"/>
            </w:pPr>
            <w:r/>
            <w:r>
              <w:rPr>
                <w:b w:val="0"/>
                <w:sz w:val="16"/>
              </w:rPr>
              <w:t>File-tree synchronization</w:t>
            </w:r>
          </w:p>
        </w:tc>
      </w:tr>
      <w:tr>
        <w:trPr>
          <w:cantSplit/>
        </w:trPr>
        <w:tc>
          <w:tcPr>
            <w:tcW w:type="dxa" w:w="2448"/>
            <w:vAlign w:val="top"/>
            <w:tcMar>
              <w:top w:w="40" w:type="dxa"/>
              <w:left w:w="40" w:type="dxa"/>
              <w:bottom w:w="40" w:type="dxa"/>
              <w:right w:w="40" w:type="dxa"/>
            </w:tcMar>
          </w:tcPr>
          <w:p>
            <w:pPr>
              <w:spacing w:after="0"/>
            </w:pPr>
            <w:r/>
            <w:r>
              <w:rPr>
                <w:b w:val="0"/>
                <w:sz w:val="16"/>
              </w:rPr>
              <w:t>HTTP CDT [19-22]</w:t>
            </w:r>
          </w:p>
        </w:tc>
        <w:tc>
          <w:tcPr>
            <w:tcW w:type="dxa" w:w="1872"/>
            <w:vAlign w:val="top"/>
            <w:tcMar>
              <w:top w:w="40" w:type="dxa"/>
              <w:left w:w="40" w:type="dxa"/>
              <w:bottom w:w="40" w:type="dxa"/>
              <w:right w:w="40" w:type="dxa"/>
            </w:tcMar>
          </w:tcPr>
          <w:p>
            <w:pPr>
              <w:spacing w:after="0"/>
            </w:pPr>
            <w:r/>
            <w:r>
              <w:rPr>
                <w:b w:val="0"/>
                <w:sz w:val="16"/>
              </w:rPr>
              <w:t>Yes (HTTPS / HTTP/3)</w:t>
            </w:r>
          </w:p>
        </w:tc>
        <w:tc>
          <w:tcPr>
            <w:tcW w:type="dxa" w:w="1440"/>
            <w:vAlign w:val="top"/>
            <w:tcMar>
              <w:top w:w="40" w:type="dxa"/>
              <w:left w:w="40" w:type="dxa"/>
              <w:bottom w:w="40" w:type="dxa"/>
              <w:right w:w="40" w:type="dxa"/>
            </w:tcMar>
          </w:tcPr>
          <w:p>
            <w:pPr>
              <w:spacing w:after="0"/>
            </w:pPr>
            <w:r/>
            <w:r>
              <w:rPr>
                <w:b w:val="0"/>
                <w:sz w:val="16"/>
              </w:rPr>
              <w:t>SHA-256 dictionary identity + TLS</w:t>
            </w:r>
          </w:p>
        </w:tc>
        <w:tc>
          <w:tcPr>
            <w:tcW w:type="dxa" w:w="1440"/>
            <w:vAlign w:val="top"/>
            <w:tcMar>
              <w:top w:w="40" w:type="dxa"/>
              <w:left w:w="40" w:type="dxa"/>
              <w:bottom w:w="40" w:type="dxa"/>
              <w:right w:w="40" w:type="dxa"/>
            </w:tcMar>
          </w:tcPr>
          <w:p>
            <w:pPr>
              <w:spacing w:after="0"/>
            </w:pPr>
            <w:r/>
            <w:r>
              <w:rPr>
                <w:b w:val="0"/>
                <w:sz w:val="16"/>
              </w:rPr>
              <w:t>Discard response on decoding failure</w:t>
            </w:r>
          </w:p>
        </w:tc>
        <w:tc>
          <w:tcPr>
            <w:tcW w:type="dxa" w:w="1584"/>
            <w:vAlign w:val="top"/>
            <w:tcMar>
              <w:top w:w="40" w:type="dxa"/>
              <w:left w:w="40" w:type="dxa"/>
              <w:bottom w:w="40" w:type="dxa"/>
              <w:right w:w="40" w:type="dxa"/>
            </w:tcMar>
          </w:tcPr>
          <w:p>
            <w:pPr>
              <w:spacing w:after="0"/>
            </w:pPr>
            <w:r/>
            <w:r>
              <w:rPr>
                <w:b w:val="0"/>
                <w:sz w:val="16"/>
              </w:rPr>
              <w:t>Eligible prior HTTP response</w:t>
            </w:r>
          </w:p>
        </w:tc>
        <w:tc>
          <w:tcPr>
            <w:tcW w:type="dxa" w:w="2304"/>
            <w:vAlign w:val="top"/>
            <w:tcMar>
              <w:top w:w="40" w:type="dxa"/>
              <w:left w:w="40" w:type="dxa"/>
              <w:bottom w:w="40" w:type="dxa"/>
              <w:right w:w="40" w:type="dxa"/>
            </w:tcMar>
          </w:tcPr>
          <w:p>
            <w:pPr>
              <w:spacing w:after="0"/>
            </w:pPr>
            <w:r/>
            <w:r>
              <w:rPr>
                <w:b w:val="0"/>
                <w:sz w:val="16"/>
              </w:rPr>
              <w:t>HTTP content coding with prior responses</w:t>
            </w:r>
          </w:p>
        </w:tc>
      </w:tr>
      <w:tr>
        <w:trPr>
          <w:cantSplit/>
        </w:trPr>
        <w:tc>
          <w:tcPr>
            <w:tcW w:type="dxa" w:w="2448"/>
            <w:vAlign w:val="top"/>
            <w:tcMar>
              <w:top w:w="40" w:type="dxa"/>
              <w:left w:w="40" w:type="dxa"/>
              <w:bottom w:w="40" w:type="dxa"/>
              <w:right w:w="40" w:type="dxa"/>
            </w:tcMar>
          </w:tcPr>
          <w:p>
            <w:pPr>
              <w:spacing w:after="0"/>
            </w:pPr>
            <w:r/>
            <w:r>
              <w:rPr>
                <w:b w:val="0"/>
                <w:sz w:val="16"/>
              </w:rPr>
              <w:t>Local compression (gzip/zstd)</w:t>
            </w:r>
          </w:p>
        </w:tc>
        <w:tc>
          <w:tcPr>
            <w:tcW w:type="dxa" w:w="1872"/>
            <w:vAlign w:val="top"/>
            <w:tcMar>
              <w:top w:w="40" w:type="dxa"/>
              <w:left w:w="40" w:type="dxa"/>
              <w:bottom w:w="40" w:type="dxa"/>
              <w:right w:w="40" w:type="dxa"/>
            </w:tcMar>
          </w:tcPr>
          <w:p>
            <w:pPr>
              <w:spacing w:after="0"/>
            </w:pPr>
            <w:r/>
            <w:r>
              <w:rPr>
                <w:b w:val="0"/>
                <w:sz w:val="16"/>
              </w:rPr>
              <w:t>Yes</w:t>
            </w:r>
          </w:p>
        </w:tc>
        <w:tc>
          <w:tcPr>
            <w:tcW w:type="dxa" w:w="1440"/>
            <w:vAlign w:val="top"/>
            <w:tcMar>
              <w:top w:w="40" w:type="dxa"/>
              <w:left w:w="40" w:type="dxa"/>
              <w:bottom w:w="40" w:type="dxa"/>
              <w:right w:w="40" w:type="dxa"/>
            </w:tcMar>
          </w:tcPr>
          <w:p>
            <w:pPr>
              <w:spacing w:after="0"/>
            </w:pPr>
            <w:r/>
            <w:r>
              <w:rPr>
                <w:b w:val="0"/>
                <w:sz w:val="16"/>
              </w:rPr>
              <w:t>No</w:t>
            </w:r>
          </w:p>
        </w:tc>
        <w:tc>
          <w:tcPr>
            <w:tcW w:type="dxa" w:w="1440"/>
            <w:vAlign w:val="top"/>
            <w:tcMar>
              <w:top w:w="40" w:type="dxa"/>
              <w:left w:w="40" w:type="dxa"/>
              <w:bottom w:w="40" w:type="dxa"/>
              <w:right w:w="40" w:type="dxa"/>
            </w:tcMar>
          </w:tcPr>
          <w:p>
            <w:pPr>
              <w:spacing w:after="0"/>
            </w:pPr>
            <w:r/>
            <w:r>
              <w:rPr>
                <w:b w:val="0"/>
                <w:sz w:val="16"/>
              </w:rPr>
              <w:t>n/a</w:t>
            </w:r>
          </w:p>
        </w:tc>
        <w:tc>
          <w:tcPr>
            <w:tcW w:type="dxa" w:w="1584"/>
            <w:vAlign w:val="top"/>
            <w:tcMar>
              <w:top w:w="40" w:type="dxa"/>
              <w:left w:w="40" w:type="dxa"/>
              <w:bottom w:w="40" w:type="dxa"/>
              <w:right w:w="40" w:type="dxa"/>
            </w:tcMar>
          </w:tcPr>
          <w:p>
            <w:pPr>
              <w:spacing w:after="0"/>
            </w:pPr>
            <w:r/>
            <w:r>
              <w:rPr>
                <w:b w:val="0"/>
                <w:sz w:val="16"/>
              </w:rPr>
              <w:t>None (intra-object)</w:t>
            </w:r>
          </w:p>
        </w:tc>
        <w:tc>
          <w:tcPr>
            <w:tcW w:type="dxa" w:w="2304"/>
            <w:vAlign w:val="top"/>
            <w:tcMar>
              <w:top w:w="40" w:type="dxa"/>
              <w:left w:w="40" w:type="dxa"/>
              <w:bottom w:w="40" w:type="dxa"/>
              <w:right w:w="40" w:type="dxa"/>
            </w:tcMar>
          </w:tcPr>
          <w:p>
            <w:pPr>
              <w:spacing w:after="0"/>
            </w:pPr>
            <w:r/>
            <w:r>
              <w:rPr>
                <w:b w:val="0"/>
                <w:sz w:val="16"/>
              </w:rPr>
              <w:t>Locally repetitive single objects</w:t>
            </w:r>
          </w:p>
        </w:tc>
      </w:tr>
      <w:tr>
        <w:trPr>
          <w:cantSplit/>
        </w:trPr>
        <w:tc>
          <w:tcPr>
            <w:tcW w:type="dxa" w:w="2448"/>
            <w:vAlign w:val="top"/>
            <w:tcMar>
              <w:top w:w="40" w:type="dxa"/>
              <w:left w:w="40" w:type="dxa"/>
              <w:bottom w:w="40" w:type="dxa"/>
              <w:right w:w="40" w:type="dxa"/>
            </w:tcMar>
          </w:tcPr>
          <w:p>
            <w:pPr>
              <w:spacing w:after="0"/>
            </w:pPr>
            <w:r/>
            <w:r>
              <w:rPr>
                <w:b w:val="0"/>
                <w:sz w:val="16"/>
              </w:rPr>
              <w:t>zstd dictionary delta (--patch-from) [26]</w:t>
            </w:r>
          </w:p>
        </w:tc>
        <w:tc>
          <w:tcPr>
            <w:tcW w:type="dxa" w:w="1872"/>
            <w:vAlign w:val="top"/>
            <w:tcMar>
              <w:top w:w="40" w:type="dxa"/>
              <w:left w:w="40" w:type="dxa"/>
              <w:bottom w:w="40" w:type="dxa"/>
              <w:right w:w="40" w:type="dxa"/>
            </w:tcMar>
          </w:tcPr>
          <w:p>
            <w:pPr>
              <w:spacing w:after="0"/>
            </w:pPr>
            <w:r/>
            <w:r>
              <w:rPr>
                <w:b w:val="0"/>
                <w:sz w:val="16"/>
              </w:rPr>
              <w:t>Yes (as payload)</w:t>
            </w:r>
          </w:p>
        </w:tc>
        <w:tc>
          <w:tcPr>
            <w:tcW w:type="dxa" w:w="1440"/>
            <w:vAlign w:val="top"/>
            <w:tcMar>
              <w:top w:w="40" w:type="dxa"/>
              <w:left w:w="40" w:type="dxa"/>
              <w:bottom w:w="40" w:type="dxa"/>
              <w:right w:w="40" w:type="dxa"/>
            </w:tcMar>
          </w:tcPr>
          <w:p>
            <w:pPr>
              <w:spacing w:after="0"/>
            </w:pPr>
            <w:r/>
            <w:r>
              <w:rPr>
                <w:b w:val="0"/>
                <w:sz w:val="16"/>
              </w:rPr>
              <w:t>No (codec trust)</w:t>
            </w:r>
          </w:p>
        </w:tc>
        <w:tc>
          <w:tcPr>
            <w:tcW w:type="dxa" w:w="1440"/>
            <w:vAlign w:val="top"/>
            <w:tcMar>
              <w:top w:w="40" w:type="dxa"/>
              <w:left w:w="40" w:type="dxa"/>
              <w:bottom w:w="40" w:type="dxa"/>
              <w:right w:w="40" w:type="dxa"/>
            </w:tcMar>
          </w:tcPr>
          <w:p>
            <w:pPr>
              <w:spacing w:after="0"/>
            </w:pPr>
            <w:r/>
            <w:r>
              <w:rPr>
                <w:b w:val="0"/>
                <w:sz w:val="16"/>
              </w:rPr>
              <w:t>No</w:t>
            </w:r>
          </w:p>
        </w:tc>
        <w:tc>
          <w:tcPr>
            <w:tcW w:type="dxa" w:w="1584"/>
            <w:vAlign w:val="top"/>
            <w:tcMar>
              <w:top w:w="40" w:type="dxa"/>
              <w:left w:w="40" w:type="dxa"/>
              <w:bottom w:w="40" w:type="dxa"/>
              <w:right w:w="40" w:type="dxa"/>
            </w:tcMar>
          </w:tcPr>
          <w:p>
            <w:pPr>
              <w:spacing w:after="0"/>
            </w:pPr>
            <w:r/>
            <w:r>
              <w:rPr>
                <w:b w:val="0"/>
                <w:sz w:val="16"/>
              </w:rPr>
              <w:t>Exact retained prior stream</w:t>
            </w:r>
          </w:p>
        </w:tc>
        <w:tc>
          <w:tcPr>
            <w:tcW w:type="dxa" w:w="2304"/>
            <w:vAlign w:val="top"/>
            <w:tcMar>
              <w:top w:w="40" w:type="dxa"/>
              <w:left w:w="40" w:type="dxa"/>
              <w:bottom w:w="40" w:type="dxa"/>
              <w:right w:w="40" w:type="dxa"/>
            </w:tcMar>
          </w:tcPr>
          <w:p>
            <w:pPr>
              <w:spacing w:after="0"/>
            </w:pPr>
            <w:r/>
            <w:r>
              <w:rPr>
                <w:b w:val="0"/>
                <w:sz w:val="16"/>
              </w:rPr>
              <w:t>Full prior stream retained; best byte savings (Sec. 7.6)</w:t>
            </w:r>
          </w:p>
        </w:tc>
      </w:tr>
      <w:tr>
        <w:trPr>
          <w:cantSplit/>
        </w:trPr>
        <w:tc>
          <w:tcPr>
            <w:tcW w:type="dxa" w:w="2448"/>
            <w:vAlign w:val="top"/>
            <w:tcMar>
              <w:top w:w="40" w:type="dxa"/>
              <w:left w:w="40" w:type="dxa"/>
              <w:bottom w:w="40" w:type="dxa"/>
              <w:right w:w="40" w:type="dxa"/>
            </w:tcMar>
          </w:tcPr>
          <w:p>
            <w:pPr>
              <w:spacing w:after="0"/>
            </w:pPr>
            <w:r/>
            <w:r>
              <w:rPr>
                <w:b w:val="0"/>
                <w:sz w:val="16"/>
              </w:rPr>
              <w:t>ReduLink (this work)</w:t>
            </w:r>
          </w:p>
        </w:tc>
        <w:tc>
          <w:tcPr>
            <w:tcW w:type="dxa" w:w="1872"/>
            <w:vAlign w:val="top"/>
            <w:tcMar>
              <w:top w:w="40" w:type="dxa"/>
              <w:left w:w="40" w:type="dxa"/>
              <w:bottom w:w="40" w:type="dxa"/>
              <w:right w:w="40" w:type="dxa"/>
            </w:tcMar>
          </w:tcPr>
          <w:p>
            <w:pPr>
              <w:spacing w:after="0"/>
            </w:pPr>
            <w:r/>
            <w:r>
              <w:rPr>
                <w:b w:val="0"/>
                <w:sz w:val="16"/>
              </w:rPr>
              <w:t>Yes (QUIC streams)</w:t>
            </w:r>
          </w:p>
        </w:tc>
        <w:tc>
          <w:tcPr>
            <w:tcW w:type="dxa" w:w="1440"/>
            <w:vAlign w:val="top"/>
            <w:tcMar>
              <w:top w:w="40" w:type="dxa"/>
              <w:left w:w="40" w:type="dxa"/>
              <w:bottom w:w="40" w:type="dxa"/>
              <w:right w:w="40" w:type="dxa"/>
            </w:tcMar>
          </w:tcPr>
          <w:p>
            <w:pPr>
              <w:spacing w:after="0"/>
            </w:pPr>
            <w:r/>
            <w:r>
              <w:rPr>
                <w:b w:val="0"/>
                <w:sz w:val="16"/>
              </w:rPr>
              <w:t>Yes (per reference)</w:t>
            </w:r>
          </w:p>
        </w:tc>
        <w:tc>
          <w:tcPr>
            <w:tcW w:type="dxa" w:w="1440"/>
            <w:vAlign w:val="top"/>
            <w:tcMar>
              <w:top w:w="40" w:type="dxa"/>
              <w:left w:w="40" w:type="dxa"/>
              <w:bottom w:w="40" w:type="dxa"/>
              <w:right w:w="40" w:type="dxa"/>
            </w:tcMar>
          </w:tcPr>
          <w:p>
            <w:pPr>
              <w:spacing w:after="0"/>
            </w:pPr>
            <w:r/>
            <w:r>
              <w:rPr>
                <w:b w:val="0"/>
                <w:sz w:val="16"/>
              </w:rPr>
              <w:t>Yes (MISS then FULL)</w:t>
            </w:r>
          </w:p>
        </w:tc>
        <w:tc>
          <w:tcPr>
            <w:tcW w:type="dxa" w:w="1584"/>
            <w:vAlign w:val="top"/>
            <w:tcMar>
              <w:top w:w="40" w:type="dxa"/>
              <w:left w:w="40" w:type="dxa"/>
              <w:bottom w:w="40" w:type="dxa"/>
              <w:right w:w="40" w:type="dxa"/>
            </w:tcMar>
          </w:tcPr>
          <w:p>
            <w:pPr>
              <w:spacing w:after="0"/>
            </w:pPr>
            <w:r/>
            <w:r>
              <w:rPr>
                <w:b w:val="0"/>
                <w:sz w:val="16"/>
              </w:rPr>
              <w:t>Scoped warm dictionary</w:t>
            </w:r>
          </w:p>
        </w:tc>
        <w:tc>
          <w:tcPr>
            <w:tcW w:type="dxa" w:w="2304"/>
            <w:vAlign w:val="top"/>
            <w:tcMar>
              <w:top w:w="40" w:type="dxa"/>
              <w:left w:w="40" w:type="dxa"/>
              <w:bottom w:w="40" w:type="dxa"/>
              <w:right w:w="40" w:type="dxa"/>
            </w:tcMar>
          </w:tcPr>
          <w:p>
            <w:pPr>
              <w:spacing w:after="0"/>
            </w:pPr>
            <w:r/>
            <w:r>
              <w:rPr>
                <w:b w:val="0"/>
                <w:sz w:val="16"/>
              </w:rPr>
              <w:t>Warm-state object / layer transfers</w:t>
            </w:r>
          </w:p>
        </w:tc>
      </w:tr>
    </w:tbl>
    <w:p/>
    <w:p>
      <w:pPr>
        <w:pStyle w:val="Heading1"/>
      </w:pPr>
      <w:r>
        <w:rPr>
          <w:rFonts w:ascii="Arial" w:hAnsi="Arial"/>
        </w:rPr>
        <w:t>13. Limitations and Future Work</w:t>
      </w:r>
    </w:p>
    <w:p>
      <w:pPr>
        <w:spacing w:after="80" w:before="0"/>
      </w:pPr>
      <w:r>
        <w:rPr>
          <w:sz w:val="20"/>
        </w:rPr>
        <w:t>The implementation is an application-stream mapping, uses server-only certificate authentication, and substitutes random exporter input because aioquic does not expose live TLS exporter bytes. The public and PyPI objects are transfer models rather than production traces. Userspace shaping is localhost evidence. The committed Linux netem data are concurrent legacy measurements with incomplete environment provenance; they do not support isolated kernel latency or a causal qdisc explanation. A corrected isolated runner is present but has not yet been rerun on Linux. The macOS dummynet path still times out. Bootstrap intervals describe within-run local variability only. Native experiments reach 16 MiB and expose dictionary-budget overflow, but multi-connection, Internet, migration, and larger-than-memory behavior remain out of scope. The formal argument assumes HMAC PRF/random-function behavior for truncation bounds and SHA-256 collision resistance; it is not machine checked. Model framing is optimistic, zstd 1.5.7 dictionary delta dominates where its assumptions hold, and absolute timings are host-dependent.</w:t>
      </w:r>
    </w:p>
    <w:p>
      <w:pPr>
        <w:spacing w:after="80" w:before="0"/>
      </w:pPr>
      <w:r>
        <w:rPr>
          <w:sz w:val="20"/>
        </w:rPr>
        <w:t>Future work should integrate actual QUIC TLS exporter output, client/application authentication policy, custom frame negotiation if justified, isolated full-duplex kernel experiments with packet capture and complete provenance, production-style competing flows, larger live traces, broader miss-rate grids, machine-checked analysis, side-channel mitigation, and a true HTTP-level RFC 9842 comparison. The current zstd --patch-from baseline must remain labeled whole-stream dictionary delta, not CDT.</w:t>
      </w:r>
    </w:p>
    <w:p>
      <w:pPr>
        <w:pStyle w:val="Heading1"/>
      </w:pPr>
      <w:r>
        <w:rPr>
          <w:rFonts w:ascii="Arial" w:hAnsi="Arial"/>
        </w:rPr>
        <w:t>14. Reproducibility</w:t>
      </w:r>
    </w:p>
    <w:p>
      <w:pPr>
        <w:spacing w:after="80" w:before="0"/>
      </w:pPr>
      <w:r>
        <w:rPr>
          <w:sz w:val="20"/>
        </w:rPr>
        <w:t>The package contains source, manifests, benchmark runners, result CSV/JSON, figures, citation checks, and tests [15]. Both python3 scripts/run_smoke_validation.py and python3 scripts/run_full_validation.py generate the gitignored deterministic target corpora before checking them, so they run from a clean clone. Full validation executes all tests; it validates committed network evidence but does not rerun privileged kernel experiments or download every external corpus. requirements-lock.txt pins Python packages. The Dockerfile additionally pins zstd 1.5.7 by source checksum and installs GNU rsync, iproute2/tc, and util-linux/taskset. The active builder is scripts/build_manuscript_v3_14.py. Framing JSON records zstd command/version and host provenance; the corrected netem runner records command, platform, Python, aioquic, tc, commit, and active qdisc. The v3.14 files are currently a reviewer-adapted candidate, not yet a public tag; MANUSCRIPT_SHA256.txt binds the local PDF/DOCX, and scripts/verify_public_release.py is intended for use after publication.</w:t>
      </w:r>
    </w:p>
    <w:p>
      <w:pPr>
        <w:pStyle w:val="Heading1"/>
      </w:pPr>
      <w:r>
        <w:rPr>
          <w:rFonts w:ascii="Arial" w:hAnsi="Arial"/>
        </w:rPr>
        <w:t>15. Conclusion</w:t>
      </w:r>
    </w:p>
    <w:p>
      <w:pPr>
        <w:spacing w:after="80" w:before="0"/>
      </w:pPr>
      <w:r>
        <w:rPr>
          <w:sz w:val="20"/>
        </w:rPr>
        <w:t>ReduLink is best understood as authenticated, scoped reference substitution for encrypted endpoint streams. Its byte savings are conditional and are often reproduced or exceeded by simpler fixed-block reuse, compression, or rsync; the contribution is to make reference substitution explicit, individually authenticated, privacy-scoped, repairable, and compatible with native QUIC stream transport, and to position it precisely against both in-network redundancy elimination and HTTP shared-dictionary transport. The evidence supports ReduLink for warm-state object-aligned or layer-like transfers, while negative source-release results show where it should not be used.</w:t>
      </w:r>
    </w:p>
    <w:p>
      <w:pPr>
        <w:pStyle w:val="Heading1"/>
      </w:pPr>
      <w:r>
        <w:rPr>
          <w:rFonts w:ascii="Arial" w:hAnsi="Arial"/>
        </w:rPr>
        <w:t>Data and Code Availability</w:t>
      </w:r>
    </w:p>
    <w:p>
      <w:pPr>
        <w:spacing w:after="80" w:before="0"/>
      </w:pPr>
      <w:r>
        <w:rPr>
          <w:sz w:val="20"/>
        </w:rPr>
        <w:t>All source code, public-corpus manifests, generated corpora, benchmark scripts, result CSV/JSON files, figures, the citation checker, public-release verifier, and the test suite are openly available in the ReduLink repository [15] under the MIT License. Every figure and table is regenerated from the committed result files, so the reported numbers can be reproduced from the artifact. Large external public-release corpora are reconstructed from documented public sources rather than redistributed.</w:t>
      </w:r>
    </w:p>
    <w:p>
      <w:pPr>
        <w:pStyle w:val="Heading1"/>
      </w:pPr>
      <w:r>
        <w:rPr>
          <w:rFonts w:ascii="Arial" w:hAnsi="Arial"/>
        </w:rPr>
        <w:t>References</w:t>
      </w:r>
    </w:p>
    <w:p>
      <w:pPr>
        <w:spacing w:after="20" w:before="0"/>
      </w:pPr>
      <w:r>
        <w:rPr>
          <w:sz w:val="16"/>
        </w:rPr>
        <w:t>[1] N. T. Spring and D. Wetherall, 'A protocol-independent technique for eliminating redundant network traffic,' ACM SIGCOMM, 2000.</w:t>
      </w:r>
    </w:p>
    <w:p>
      <w:pPr>
        <w:spacing w:after="20" w:before="0"/>
      </w:pPr>
      <w:r>
        <w:rPr>
          <w:sz w:val="16"/>
        </w:rPr>
        <w:t>[2] A. Anand, V. Sekar, and A. Akella, 'SmartRE: An architecture for coordinated network-wide redundancy elimination,' ACM SIGCOMM, 2009.</w:t>
      </w:r>
    </w:p>
    <w:p>
      <w:pPr>
        <w:spacing w:after="20" w:before="0"/>
      </w:pPr>
      <w:r>
        <w:rPr>
          <w:sz w:val="16"/>
        </w:rPr>
        <w:t>[3] A. Anand et al., 'Redundancy in network traffic: Findings and implications,' ACM SIGMETRICS, 2009.</w:t>
      </w:r>
    </w:p>
    <w:p>
      <w:pPr>
        <w:spacing w:after="20" w:before="0"/>
      </w:pPr>
      <w:r>
        <w:rPr>
          <w:sz w:val="16"/>
        </w:rPr>
        <w:t>[4] B. Aggarwal et al., 'EndRE: An end-system redundancy elimination service for enterprises,' USENIX NSDI, 2010.</w:t>
      </w:r>
    </w:p>
    <w:p>
      <w:pPr>
        <w:spacing w:after="20" w:before="0"/>
      </w:pPr>
      <w:r>
        <w:rPr>
          <w:sz w:val="16"/>
        </w:rPr>
        <w:t>[5] A. Muthitacharoen, B. Chen, and D. Mazieres, 'A low-bandwidth network file system,' ACM SOSP, 2001.</w:t>
      </w:r>
    </w:p>
    <w:p>
      <w:pPr>
        <w:spacing w:after="20" w:before="0"/>
      </w:pPr>
      <w:r>
        <w:rPr>
          <w:sz w:val="16"/>
        </w:rPr>
        <w:t>[6] J. Iyengar and M. Thomson, 'QUIC: A UDP-based multiplexed and secure transport,' RFC 9000, IETF, 2021.</w:t>
      </w:r>
    </w:p>
    <w:p>
      <w:pPr>
        <w:spacing w:after="20" w:before="0"/>
      </w:pPr>
      <w:r>
        <w:rPr>
          <w:sz w:val="16"/>
        </w:rPr>
        <w:t>[7] M. Thomson and S. Turner, 'Using TLS to secure QUIC,' RFC 9001, IETF, 2021.</w:t>
      </w:r>
    </w:p>
    <w:p>
      <w:pPr>
        <w:spacing w:after="20" w:before="0"/>
      </w:pPr>
      <w:r>
        <w:rPr>
          <w:sz w:val="16"/>
        </w:rPr>
        <w:t>[8] J. Iyengar and I. Swett, 'QUIC loss detection and congestion control,' RFC 9002, IETF, 2021.</w:t>
      </w:r>
    </w:p>
    <w:p>
      <w:pPr>
        <w:spacing w:after="20" w:before="0"/>
      </w:pPr>
      <w:r>
        <w:rPr>
          <w:sz w:val="16"/>
        </w:rPr>
        <w:t>[9] M. Kuehlewind and B. Trammell, 'Applicability of the QUIC transport protocol,' RFC 9308, IETF, 2022.</w:t>
      </w:r>
    </w:p>
    <w:p>
      <w:pPr>
        <w:spacing w:after="20" w:before="0"/>
      </w:pPr>
      <w:r>
        <w:rPr>
          <w:sz w:val="16"/>
        </w:rPr>
        <w:t>[10] B. Trammell et al., 'Manageability of the QUIC transport protocol,' RFC 9312, IETF, 2022.</w:t>
      </w:r>
    </w:p>
    <w:p>
      <w:pPr>
        <w:spacing w:after="20" w:before="0"/>
      </w:pPr>
      <w:r>
        <w:rPr>
          <w:sz w:val="16"/>
        </w:rPr>
        <w:t>[11] W. Xia, X. Zou, Y. Zhou, H. Jiang, C. Liu, D. Feng, Y. Hua, Y. Hu, and Y. Zhang, 'The design of fast content-defined chunking for data deduplication based storage systems,' IEEE Transactions on Parallel and Distributed Systems, vol. 31, no. 9, 2020.</w:t>
      </w:r>
    </w:p>
    <w:p>
      <w:pPr>
        <w:spacing w:after="20" w:before="0"/>
      </w:pPr>
      <w:r>
        <w:rPr>
          <w:sz w:val="16"/>
        </w:rPr>
        <w:t>[12] M. Gregoriadis, L. Balduf, B. Scheuermann, and J. Pouwelse, 'A thorough investigation of content-defined chunking algorithms for data deduplication,' arXiv:2409.06066, 2024.</w:t>
      </w:r>
    </w:p>
    <w:p>
      <w:pPr>
        <w:spacing w:after="20" w:before="0"/>
      </w:pPr>
      <w:r>
        <w:rPr>
          <w:sz w:val="16"/>
        </w:rPr>
        <w:t>[13] B. Alexeev, C. Percival, and Y. X. Zhang, 'Chunking attacks on file backup services using content-defined chunking,' arXiv:2504.02095, 2025.</w:t>
      </w:r>
    </w:p>
    <w:p>
      <w:pPr>
        <w:spacing w:after="20" w:before="0"/>
      </w:pPr>
      <w:r>
        <w:rPr>
          <w:sz w:val="16"/>
        </w:rPr>
        <w:t>[14] IEEE 802.3 Ethernet Working Group, 'IEEE 802.3 Ethernet Working Group active projects,' accessed June 2026.</w:t>
      </w:r>
    </w:p>
    <w:p>
      <w:pPr>
        <w:spacing w:after="20" w:before="0"/>
      </w:pPr>
      <w:r>
        <w:rPr>
          <w:sz w:val="16"/>
        </w:rPr>
        <w:t>[15] M. Nguyen, 'ReduLink artifact and reproducibility package,' version 3.14 reviewer-adapted candidate, GitHub, 2026. https://github.com/pinkysworld/redulink-deduplex-quic</w:t>
      </w:r>
    </w:p>
    <w:p>
      <w:pPr>
        <w:spacing w:after="20" w:before="0"/>
      </w:pPr>
      <w:r>
        <w:rPr>
          <w:sz w:val="16"/>
        </w:rPr>
        <w:t>[16] D. Harnik, B. Pinkas, and A. Shulman-Peleg, 'Side channels in cloud services: Deduplication in cloud storage,' IEEE Security and Privacy, 2010.</w:t>
      </w:r>
    </w:p>
    <w:p>
      <w:pPr>
        <w:spacing w:after="20" w:before="0"/>
      </w:pPr>
      <w:r>
        <w:rPr>
          <w:sz w:val="16"/>
        </w:rPr>
        <w:t>[17] M. Bellare, S. Keelveedhi, and T. Ristenpart, 'DupLESS: Server-aided encryption for deduplicated storage,' USENIX Security, 2013.</w:t>
      </w:r>
    </w:p>
    <w:p>
      <w:pPr>
        <w:spacing w:after="20" w:before="0"/>
      </w:pPr>
      <w:r>
        <w:rPr>
          <w:sz w:val="16"/>
        </w:rPr>
        <w:t>[18] aioquic project contributors, 'aioquic: QUIC and HTTP/3 implementation in Python,' software repository, version 1.3.0, 2026. https://github.com/aiortc/aioquic</w:t>
      </w:r>
    </w:p>
    <w:p>
      <w:pPr>
        <w:spacing w:after="20" w:before="0"/>
      </w:pPr>
      <w:r>
        <w:rPr>
          <w:sz w:val="16"/>
        </w:rPr>
        <w:t>[19] J. Mogul, B. Krishnamurthy, F. Douglis, A. Feldmann, Y. Goland, A. van Hoff, and D. Hellerstein, 'Delta encoding in HTTP,' RFC 3229, IETF, 2002.</w:t>
      </w:r>
    </w:p>
    <w:p>
      <w:pPr>
        <w:spacing w:after="20" w:before="0"/>
      </w:pPr>
      <w:r>
        <w:rPr>
          <w:sz w:val="16"/>
        </w:rPr>
        <w:t>[20] D. Korn, J. MacDonald, J. Mogul, and K. Vo, 'The VCDIFF generic differencing and compression data format,' RFC 3284, IETF, 2002.</w:t>
      </w:r>
    </w:p>
    <w:p>
      <w:pPr>
        <w:spacing w:after="20" w:before="0"/>
      </w:pPr>
      <w:r>
        <w:rPr>
          <w:sz w:val="16"/>
        </w:rPr>
        <w:t>[21] J. Butler, W.-H. Lee, B. McQuade, and K. Mixter, 'A proposal for shared dictionary compression over HTTP (SDCH),' IETF Internet-Draft draft-lee-sdch-spec-00, 2016.</w:t>
      </w:r>
    </w:p>
    <w:p>
      <w:pPr>
        <w:spacing w:after="20" w:before="0"/>
      </w:pPr>
      <w:r>
        <w:rPr>
          <w:sz w:val="16"/>
        </w:rPr>
        <w:t>[22] P. Meenan and Y. Weiss, 'Compression dictionary transport,' RFC 9842, IETF, 2025.</w:t>
      </w:r>
    </w:p>
    <w:p>
      <w:pPr>
        <w:spacing w:after="20" w:before="0"/>
      </w:pPr>
      <w:r>
        <w:rPr>
          <w:sz w:val="16"/>
        </w:rPr>
        <w:t>[23] H. Krawczyk, M. Bellare, and R. Canetti, 'HMAC: Keyed-hashing for message authentication,' RFC 2104, IETF, 1997.</w:t>
      </w:r>
    </w:p>
    <w:p>
      <w:pPr>
        <w:spacing w:after="20" w:before="0"/>
      </w:pPr>
      <w:r>
        <w:rPr>
          <w:sz w:val="16"/>
        </w:rPr>
        <w:t>[24] H. Krawczyk and P. Eronen, 'HMAC-based extract-and-expand key derivation function (HKDF),' RFC 5869, IETF, 2010.</w:t>
      </w:r>
    </w:p>
    <w:p>
      <w:pPr>
        <w:spacing w:after="20" w:before="0"/>
      </w:pPr>
      <w:r>
        <w:rPr>
          <w:sz w:val="16"/>
        </w:rPr>
        <w:t>[25] R. Jain, D.-M. Chiu, and W. Hawe, 'A quantitative measure of fairness and discrimination for shared computer systems,' DEC Research Report TR-301, 1984.</w:t>
      </w:r>
    </w:p>
    <w:p>
      <w:pPr>
        <w:spacing w:after="20" w:before="0"/>
      </w:pPr>
      <w:r>
        <w:rPr>
          <w:sz w:val="16"/>
        </w:rPr>
        <w:t>[26] Y. Collet and M. Kucherawy, 'Zstandard compression and the application/zstd media type,' RFC 8878, IETF, 2021.</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ORCID: 0000-0001-6834-4422; University of the People</dc:subject>
  <dc:creator>Michél Nguyen</dc:creator>
  <cp:keywords/>
  <dc:description>ReduLink journal-ready v3.14 reviewer-adapted candidate; ORCID: 0000-0001-6834-4422; University of the People</dc:description>
  <cp:lastModifiedBy>Michél Nguyen</cp:lastModifiedBy>
  <cp:revision>1</cp:revision>
  <dcterms:created xsi:type="dcterms:W3CDTF">2013-12-23T23:15:00Z</dcterms:created>
  <dcterms:modified xsi:type="dcterms:W3CDTF">2013-12-23T23:15:00Z</dcterms:modified>
  <cp:category/>
</cp:coreProperties>
</file>