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minh.systems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trace of real package upgrades and a formal security analysis of the reference-authentication construction.</w:t>
      </w:r>
    </w:p>
    <w:p>
      <w:pPr>
        <w:spacing w:after="80" w:before="0"/>
      </w:pPr>
      <w:r>
        <w:rPr>
          <w:sz w:val="20"/>
        </w:rPr>
        <w:t>Quantitatively, on object-aligned public release transfers ReduLink reaches 1.94x to 9.70x effective stream-payload reduction (and 21.37x on a layer-like positive case), within a few percent of an idealized fixed-object-reuse baseline, while the authenticated variant stays within a few additional percent; on ordinary source-tree updates rsync wins by up to 73x, which we report rather than hide.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21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artifact uses conservative accounting overheads of 24 bytes for FULL metadata and 32 bytes for REF metadata; these are accounting inputs, not a final QUIC wire encoding, which would recompute overhead from varint lengths and authentication-tag choice.</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The artifact derives inner authentication keys with an HKDF exporter-style schedule keyed by an explicit experiment secret plus ALPN, epoch, scope, connection, and stream context; tests confirm that the derived secret changes when any of these inputs changes. A production profile should instead key this schedule from QUIC TLS exporter bytes.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the implementation rejects tampered tags and replayed nonces in its own HMAC model, which shows the design behaves as specified, not that it withstands a defined adversary. There is no formal model or reduction, and production keying and replay-window policy are unimplemented.</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recomputes the tag, checks the epoch, scope, stream, and offset against the expected values, rejects any previously seen nonce, and reconstructs or admits bytes only on success.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context fails because the nonce is rejected once seen. The expansion bound holds because the receiver delivers exactly length bytes from the identified dictionary entry.</w:t>
      </w:r>
    </w:p>
    <w:p>
      <w:pPr>
        <w:spacing w:after="80" w:before="0"/>
      </w:pPr>
      <w:r>
        <w:rPr>
          <w:sz w:val="20"/>
        </w:rPr>
        <w:t>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independent captured positive trace of real package upgrades is added in Section 7.5.</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the effective multiplier is bounded by roughly one over one minus the unchanged fraction,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only a few additional percent.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Independent package-upgrade trace</w:t>
      </w:r>
    </w:p>
    <w:p>
      <w:pPr>
        <w:spacing w:after="80" w:before="0"/>
      </w:pPr>
      <w:r>
        <w:rPr>
          <w:sz w:val="20"/>
        </w:rPr>
        <w:t>The fixtures of Section 7 and the object-aligned experiment use bytes the author selected; to obtain a positive case from fully independent data, Table 11 reports a captured trace of real package upgrades.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neither the corpus nor the overlap was chosen by the author; the overlap is whatever the real releases happened to share.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Independent captured positive trace: real PyPI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12 compares raw and ReduLink stream mapping at zero and periodic datagram loss, and Table 13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w:t>
      </w:r>
    </w:p>
    <w:p>
      <w:pPr>
        <w:spacing w:after="40" w:before="120"/>
      </w:pPr>
      <w:r>
        <w:rPr>
          <w:b/>
          <w:sz w:val="18"/>
        </w:rPr>
        <w:t>Table 12.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13.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14 reports three repeated trials of the native demo workload. The multiplier is deterministic for fixed bytes, while elapsed times vary modestly across runs; reporting both avoids cherry-picking a single favorable QUIC run; with only three trials these are run-to-run stability indicators rather than a statistically powered variance estimate. Table 15 then scales the payload from 96 to 1024 blocks: the stream multiplier rises from 3.19x to 3.87x as more reusable chunks accumulate, the miss count grows proportionally with the dictionary warm-up, and reconstruction remains byte-exact at every scale.</w:t>
      </w:r>
    </w:p>
    <w:p>
      <w:pPr>
        <w:spacing w:after="40" w:before="120"/>
      </w:pPr>
      <w:r>
        <w:rPr>
          <w:b/>
          <w:sz w:val="18"/>
        </w:rPr>
        <w:t>Table 14.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40" w:before="120"/>
      </w:pPr>
      <w:r>
        <w:rPr>
          <w:b/>
          <w:sz w:val="18"/>
        </w:rPr>
        <w:t>Table 15. Payload scaling of the native aioquic stream mapping.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440"/>
            <w:vAlign w:val="top"/>
            <w:tcMar>
              <w:top w:w="40" w:type="dxa"/>
              <w:left w:w="40" w:type="dxa"/>
              <w:bottom w:w="40" w:type="dxa"/>
              <w:right w:w="40" w:type="dxa"/>
            </w:tcMar>
          </w:tcPr>
          <w:p>
            <w:pPr>
              <w:spacing w:after="0"/>
            </w:pPr>
            <w:r/>
            <w:r>
              <w:rPr>
                <w:b/>
                <w:sz w:val="16"/>
              </w:rPr>
              <w:t>Blocks</w:t>
            </w:r>
          </w:p>
        </w:tc>
        <w:tc>
          <w:tcPr>
            <w:tcW w:type="dxa" w:w="1728"/>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Misses</w:t>
            </w:r>
          </w:p>
        </w:tc>
        <w:tc>
          <w:tcPr>
            <w:tcW w:type="dxa" w:w="1440"/>
            <w:vAlign w:val="top"/>
            <w:tcMar>
              <w:top w:w="40" w:type="dxa"/>
              <w:left w:w="40" w:type="dxa"/>
              <w:bottom w:w="40" w:type="dxa"/>
              <w:right w:w="40" w:type="dxa"/>
            </w:tcMar>
          </w:tcPr>
          <w:p>
            <w:pPr>
              <w:spacing w:after="0"/>
            </w:pPr>
            <w:r/>
            <w:r>
              <w:rPr>
                <w:b/>
                <w:sz w:val="16"/>
              </w:rPr>
              <w:t>Client ms</w:t>
            </w:r>
          </w:p>
        </w:tc>
        <w:tc>
          <w:tcPr>
            <w:tcW w:type="dxa" w:w="1152"/>
            <w:vAlign w:val="top"/>
            <w:tcMar>
              <w:top w:w="40" w:type="dxa"/>
              <w:left w:w="40" w:type="dxa"/>
              <w:bottom w:w="40" w:type="dxa"/>
              <w:right w:w="40" w:type="dxa"/>
            </w:tcMar>
          </w:tcPr>
          <w:p>
            <w:pPr>
              <w:spacing w:after="0"/>
            </w:pPr>
            <w:r/>
            <w:r>
              <w:rPr>
                <w:b/>
                <w:sz w:val="16"/>
              </w:rPr>
              <w:t>Recon.</w:t>
            </w:r>
          </w:p>
        </w:tc>
      </w:tr>
      <w:tr>
        <w:tc>
          <w:tcPr>
            <w:tcW w:type="dxa" w:w="1440"/>
            <w:vAlign w:val="top"/>
            <w:tcMar>
              <w:top w:w="40" w:type="dxa"/>
              <w:left w:w="40" w:type="dxa"/>
              <w:bottom w:w="40" w:type="dxa"/>
              <w:right w:w="40" w:type="dxa"/>
            </w:tcMar>
          </w:tcPr>
          <w:p>
            <w:pPr>
              <w:spacing w:after="0"/>
            </w:pPr>
            <w:r/>
            <w:r>
              <w:rPr>
                <w:b w:val="0"/>
                <w:sz w:val="16"/>
              </w:rPr>
              <w:t>96</w:t>
            </w:r>
          </w:p>
        </w:tc>
        <w:tc>
          <w:tcPr>
            <w:tcW w:type="dxa" w:w="1728"/>
            <w:vAlign w:val="top"/>
            <w:tcMar>
              <w:top w:w="40" w:type="dxa"/>
              <w:left w:w="40" w:type="dxa"/>
              <w:bottom w:w="40" w:type="dxa"/>
              <w:right w:w="40" w:type="dxa"/>
            </w:tcMar>
          </w:tcPr>
          <w:p>
            <w:pPr>
              <w:spacing w:after="0"/>
            </w:pPr>
            <w:r/>
            <w:r>
              <w:rPr>
                <w:b w:val="0"/>
                <w:sz w:val="16"/>
              </w:rPr>
              <w:t>98,304</w:t>
            </w:r>
          </w:p>
        </w:tc>
        <w:tc>
          <w:tcPr>
            <w:tcW w:type="dxa" w:w="1440"/>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13</w:t>
            </w:r>
          </w:p>
        </w:tc>
        <w:tc>
          <w:tcPr>
            <w:tcW w:type="dxa" w:w="1440"/>
            <w:vAlign w:val="top"/>
            <w:tcMar>
              <w:top w:w="40" w:type="dxa"/>
              <w:left w:w="40" w:type="dxa"/>
              <w:bottom w:w="40" w:type="dxa"/>
              <w:right w:w="40" w:type="dxa"/>
            </w:tcMar>
          </w:tcPr>
          <w:p>
            <w:pPr>
              <w:spacing w:after="0"/>
            </w:pPr>
            <w:r/>
            <w:r>
              <w:rPr>
                <w:b w:val="0"/>
                <w:sz w:val="16"/>
              </w:rPr>
              <w:t>124.0</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512</w:t>
            </w:r>
          </w:p>
        </w:tc>
        <w:tc>
          <w:tcPr>
            <w:tcW w:type="dxa" w:w="1728"/>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3.77x</w:t>
            </w:r>
          </w:p>
        </w:tc>
        <w:tc>
          <w:tcPr>
            <w:tcW w:type="dxa" w:w="1296"/>
            <w:vAlign w:val="top"/>
            <w:tcMar>
              <w:top w:w="40" w:type="dxa"/>
              <w:left w:w="40" w:type="dxa"/>
              <w:bottom w:w="40" w:type="dxa"/>
              <w:right w:w="40" w:type="dxa"/>
            </w:tcMar>
          </w:tcPr>
          <w:p>
            <w:pPr>
              <w:spacing w:after="0"/>
            </w:pPr>
            <w:r/>
            <w:r>
              <w:rPr>
                <w:b w:val="0"/>
                <w:sz w:val="16"/>
              </w:rPr>
              <w:t>73</w:t>
            </w:r>
          </w:p>
        </w:tc>
        <w:tc>
          <w:tcPr>
            <w:tcW w:type="dxa" w:w="1440"/>
            <w:vAlign w:val="top"/>
            <w:tcMar>
              <w:top w:w="40" w:type="dxa"/>
              <w:left w:w="40" w:type="dxa"/>
              <w:bottom w:w="40" w:type="dxa"/>
              <w:right w:w="40" w:type="dxa"/>
            </w:tcMar>
          </w:tcPr>
          <w:p>
            <w:pPr>
              <w:spacing w:after="0"/>
            </w:pPr>
            <w:r/>
            <w:r>
              <w:rPr>
                <w:b w:val="0"/>
                <w:sz w:val="16"/>
              </w:rPr>
              <w:t>192.9</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1024</w:t>
            </w:r>
          </w:p>
        </w:tc>
        <w:tc>
          <w:tcPr>
            <w:tcW w:type="dxa" w:w="1728"/>
            <w:vAlign w:val="top"/>
            <w:tcMar>
              <w:top w:w="40" w:type="dxa"/>
              <w:left w:w="40" w:type="dxa"/>
              <w:bottom w:w="40" w:type="dxa"/>
              <w:right w:w="40" w:type="dxa"/>
            </w:tcMar>
          </w:tcPr>
          <w:p>
            <w:pPr>
              <w:spacing w:after="0"/>
            </w:pPr>
            <w:r/>
            <w:r>
              <w:rPr>
                <w:b w:val="0"/>
                <w:sz w:val="16"/>
              </w:rPr>
              <w:t>1,048,576</w:t>
            </w:r>
          </w:p>
        </w:tc>
        <w:tc>
          <w:tcPr>
            <w:tcW w:type="dxa" w:w="1440"/>
            <w:vAlign w:val="top"/>
            <w:tcMar>
              <w:top w:w="40" w:type="dxa"/>
              <w:left w:w="40" w:type="dxa"/>
              <w:bottom w:w="40" w:type="dxa"/>
              <w:right w:w="40" w:type="dxa"/>
            </w:tcMar>
          </w:tcPr>
          <w:p>
            <w:pPr>
              <w:spacing w:after="0"/>
            </w:pPr>
            <w:r/>
            <w:r>
              <w:rPr>
                <w:b w:val="0"/>
                <w:sz w:val="16"/>
              </w:rPr>
              <w:t>3.87x</w:t>
            </w:r>
          </w:p>
        </w:tc>
        <w:tc>
          <w:tcPr>
            <w:tcW w:type="dxa" w:w="1296"/>
            <w:vAlign w:val="top"/>
            <w:tcMar>
              <w:top w:w="40" w:type="dxa"/>
              <w:left w:w="40" w:type="dxa"/>
              <w:bottom w:w="40" w:type="dxa"/>
              <w:right w:w="40" w:type="dxa"/>
            </w:tcMar>
          </w:tcPr>
          <w:p>
            <w:pPr>
              <w:spacing w:after="0"/>
            </w:pPr>
            <w:r/>
            <w:r>
              <w:rPr>
                <w:b w:val="0"/>
                <w:sz w:val="16"/>
              </w:rPr>
              <w:t>146</w:t>
            </w:r>
          </w:p>
        </w:tc>
        <w:tc>
          <w:tcPr>
            <w:tcW w:type="dxa" w:w="1440"/>
            <w:vAlign w:val="top"/>
            <w:tcMar>
              <w:top w:w="40" w:type="dxa"/>
              <w:left w:w="40" w:type="dxa"/>
              <w:bottom w:w="40" w:type="dxa"/>
              <w:right w:w="40" w:type="dxa"/>
            </w:tcMar>
          </w:tcPr>
          <w:p>
            <w:pPr>
              <w:spacing w:after="0"/>
            </w:pPr>
            <w:r/>
            <w:r>
              <w:rPr>
                <w:b w:val="0"/>
                <w:sz w:val="16"/>
              </w:rPr>
              <w:t>260.4</w:t>
            </w:r>
          </w:p>
        </w:tc>
        <w:tc>
          <w:tcPr>
            <w:tcW w:type="dxa" w:w="1152"/>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9. Component Costs</w:t>
      </w:r>
    </w:p>
    <w:p>
      <w:pPr>
        <w:spacing w:after="80" w:before="0"/>
      </w:pPr>
      <w:r>
        <w:rPr>
          <w:sz w:val="20"/>
        </w:rPr>
        <w:t>Table 16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16.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17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17.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18 reports a measured concurrent competing-flow experiment in which a raw QUIC flow and a ReduLink flow run simultaneously over a shared localhost schedule with periodic datagram loss, repeated over 12 rounds. Across the measured rounds the reconstructed-rate Jain index [25] is 0.923 and the encoded-rate index is 0.722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not a congestion-control study; kernel-level path emulation (tc/netem or Mininet) on a privileged host remains future work. Table 19 is an analytic illustration rather than a measurement: it applies a closed-form fluid model, completion time approximately equal to encoded_bytes times 8 divided by rate, plus two times RTT,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and is not evidence of fair coexistence under a real congestion controller; the modeled benefit narrows on the RTT-bound 50 ms rows, where latency rather than encoded volume dominates.</w:t>
      </w:r>
    </w:p>
    <w:p>
      <w:pPr>
        <w:spacing w:after="40" w:before="120"/>
      </w:pPr>
      <w:r>
        <w:rPr>
          <w:b/>
          <w:sz w:val="18"/>
        </w:rPr>
        <w:t>Table 18. Measured concurrent competing-flow experiment (Jain fairness index, twelve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12 concurrent rounds, ~25.0 Mbps hint,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0.722</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0.923</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40" w:before="120"/>
      </w:pPr>
      <w:r>
        <w:rPr>
          <w:b/>
          <w:sz w:val="18"/>
        </w:rPr>
        <w:t>Table 19.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does not include a full tc/netem or Mininet congestion-control study; the competing-flow and bottleneck results are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20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20.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or file object and can run a delta protocol; and HTTP delta or shared-dictionary transport is best when the application is HTTP and a codec-level dictionary suffices.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21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21.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twelve-round competing-flow experiment plus an explicitly analytic bottleneck model (Section 10); it does not replace a kernel-level tc/netem or Mininet congestion-control study, which requires a privileged host and remains future work, and all transport experiments run over localhost. Every native-QUIC experiment uses at most 1 MiB over a single connection (most about 96 KiB); the byte multipliers are size-independent by construction, but completion time, miss dynamics, dictionary eviction, and flow-control and fairness interactions are not, and are out of scope at this scale. The independent positive trace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remain future work.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privileged-host tc/netem or Mininet fairness study with competing real flows, packet capture, larger and live-captured registry or backup traces, a machine-checked security proof,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scripts/build_manuscript_v3_3.py and scripts/make_journal_figures_v2_8.py.</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GitHub repository, 2026. https://github.com/pinkysworld/redulink-deduplex-quic</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v3.3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