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trace of real package upgrades, a formal security analysis of the reference-authentication construction, and a measured shared-bottleneck path emulation whose result sharpens the claim boundary: byte savings do not automatically shorten completion time for small repair-bearing transfers competing on a constrained path.</w:t>
      </w:r>
    </w:p>
    <w:p>
      <w:pPr>
        <w:spacing w:after="80" w:before="0"/>
      </w:pPr>
      <w:r>
        <w:rPr>
          <w:sz w:val="20"/>
        </w:rPr>
        <w:t>Quantitatively, on object-aligned public release transfers ReduLink reaches 1.94x to 9.70x effective stream-payload reduction under the offline model's framing (1.8x to 7.9x when re-priced at the artifact's measured 108-byte binary wire framing), and 21.37x (15.3x re-priced) on a layer-like positive case; the authenticated variant costs a further 3 to 11 percent. We also report the baselines that beat ReduLink on bytes: rsync wins by up to 73x on ordinary source-tree updates, and a zstd dictionary-delta baseline (the Compression Dictionary Transport analog) wins by 65x to 1,785x whenever the receiver retains the exact prior byte stream and a codec delta is acceptable. ReduLink's contribution is therefore not byte-optimality but authenticated, object-granular, fail-closed reference substitution over a chunk dictionary.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23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offline model charges 24 bytes of framing per FULL and 32 bytes per REF. These modeled overheads are optimistic, not conservative: the artifact's own compact binary wire format costs a measured 108 bytes of metadata per frame (4-byte length prefix, 74-byte fixed header, scope string, cid and tag) - a 32-byte REF budget cannot even hold the 16-byte chunk identifier plus 16-byte tag that Section 4.5 requires. Section 7.6 re-prices every headline result at the measured cost; a production varint encoding would land between the two.</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Keying differs by artifact path, and we state this precisely: the native aioquic experiment derives its authentication key through the HKDF exporter-style schedule (keyed by an experiment master secret plus ALPN, epoch, scope, connection, and stream context; tests confirm the derived secret changes when any input changes), whereas the standalone secure model and the authenticated-UDP prototype default to a fixed test secret, so their context binding lives in the MAC message, not the key. A production profile keys the schedule from QUIC TLS exporter bytes on every path, which also gives cross-connection freshness: a frame recorded on one connection fails authentication on any other because the key differs.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a session fails because the nonce window rejects both repeated nonces and nonces below its floor. One caveat is inherited from the artifact keying: nonces restart at one for each encoding, so replaying an entire recorded session to a fresh receiver holding the same fixed test key would verify - cross-session freshness comes from per-connection derived keys (Section 4.3), which the aioquic path implements and the standalone model does not. A REF whose length disagrees with the stored chunk is additionally caught by the explicit length binding even when identifiers collide. The expansion bound holds because the receiver delivers exactly length bytes from the identified dictionary entry.</w:t>
      </w:r>
    </w:p>
    <w:p>
      <w:pPr>
        <w:spacing w:after="80" w:before="0"/>
      </w:pPr>
      <w:r>
        <w:rPr>
          <w:sz w:val="20"/>
        </w:rPr>
        <w:t>The MAC input is a canonical JSON encoding of the labeled fields (sorted keys, fixed separators); an interoperating implementation must reproduce this byte-exact canonicalization or define its own. 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a further 3 to 11 percent (11.3 percent on the layer-like case, 6.8 percent on redis).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The fixtures of Section 7 and the object-aligned experiment use bytes the author selected; to obtain a positive case from fully independent data, Table 11 reports a version-pair study over real released packages.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the byte overlap is whatever the real releases happened to share; the package list and version pairs were still author-selected, so this is a version-pair study rather than a captured client trace, and no claim about upgrade-traffic frequency or population weighting is made.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Two review-driven checks close out the workload evaluation; Table 12 reports both. First, framing repricing: the offline model's 24/32-byte overheads understate the artifact's own compact binary wire format, which costs a measured 108 bytes of metadata per frame. Re-pricing every FULL and REF at the measured cost lowers the headline multipliers by 5 to 28 percent - redis falls from 9.70x to 7.90x, the layer-like case from 21.37x to 15.28x - without changing any qualitative conclusion; both figures are reported so readers can price a production varint encoding anywhere between them. Second, the strongest byte baseline we know of: zstd with the prior object stream as a raw-content dictionary (zstd -3 --patch-from [26]), the deployed-style analog of Compression Dictionary Transport. Its result is unambiguous and we state it plainly: whenever the receiver retains the exact prior byte stream and a codec delta is acceptable, dictionary delta dominates ReduLink on bytes by one to three orders of magnitude (65x to 1,785x on these corpora). ReduLink's justification is therefore never byte-optimality against a whole-stream codec delta; it is per-reference authentication, object-granular incremental delivery against a chunk dictionary rather than a contiguous retained stream, fail-closed repair, and stream compatibility. Deployments whose receivers can hold the exact prior stream and tolerate codec-level trust should prefer dictionary delta; Section 12 revisits this boundary.</w:t>
      </w:r>
    </w:p>
    <w:p>
      <w:pPr>
        <w:spacing w:after="40" w:before="120"/>
      </w:pPr>
      <w:r>
        <w:rPr>
          <w:b/>
          <w:sz w:val="18"/>
        </w:rPr>
        <w:t>Table 12. Framing repricing (measured 108-byte wire framing vs 24/32-byte model) and the zstd dictionary-delta baseline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1.94x</w:t>
            </w:r>
          </w:p>
        </w:tc>
        <w:tc>
          <w:tcPr>
            <w:tcW w:type="dxa" w:w="1584"/>
            <w:vAlign w:val="top"/>
            <w:tcMar>
              <w:top w:w="40" w:type="dxa"/>
              <w:left w:w="40" w:type="dxa"/>
              <w:bottom w:w="40" w:type="dxa"/>
              <w:right w:w="40" w:type="dxa"/>
            </w:tcMar>
          </w:tcPr>
          <w:p>
            <w:pPr>
              <w:spacing w:after="0"/>
            </w:pPr>
            <w:r/>
            <w:r>
              <w:rPr>
                <w:b w:val="0"/>
                <w:sz w:val="14"/>
              </w:rPr>
              <w:t>1.84x</w:t>
            </w:r>
          </w:p>
        </w:tc>
        <w:tc>
          <w:tcPr>
            <w:tcW w:type="dxa" w:w="1728"/>
            <w:vAlign w:val="top"/>
            <w:tcMar>
              <w:top w:w="40" w:type="dxa"/>
              <w:left w:w="40" w:type="dxa"/>
              <w:bottom w:w="40" w:type="dxa"/>
              <w:right w:w="40" w:type="dxa"/>
            </w:tcMar>
          </w:tcPr>
          <w:p>
            <w:pPr>
              <w:spacing w:after="0"/>
            </w:pPr>
            <w:r/>
            <w:r>
              <w:rPr>
                <w:b w:val="0"/>
                <w:sz w:val="14"/>
              </w:rPr>
              <w:t>65.25x</w:t>
            </w:r>
          </w:p>
        </w:tc>
        <w:tc>
          <w:tcPr>
            <w:tcW w:type="dxa" w:w="1008"/>
            <w:vAlign w:val="top"/>
            <w:tcMar>
              <w:top w:w="40" w:type="dxa"/>
              <w:left w:w="40" w:type="dxa"/>
              <w:bottom w:w="40" w:type="dxa"/>
              <w:right w:w="40" w:type="dxa"/>
            </w:tcMar>
          </w:tcPr>
          <w:p>
            <w:pPr>
              <w:spacing w:after="0"/>
            </w:pPr>
            <w:r/>
            <w:r>
              <w:rPr>
                <w:b w:val="0"/>
                <w:sz w:val="14"/>
              </w:rPr>
              <w:t>2.86x</w:t>
            </w:r>
          </w:p>
        </w:tc>
      </w:tr>
      <w:t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9.70x</w:t>
            </w:r>
          </w:p>
        </w:tc>
        <w:tc>
          <w:tcPr>
            <w:tcW w:type="dxa" w:w="1584"/>
            <w:vAlign w:val="top"/>
            <w:tcMar>
              <w:top w:w="40" w:type="dxa"/>
              <w:left w:w="40" w:type="dxa"/>
              <w:bottom w:w="40" w:type="dxa"/>
              <w:right w:w="40" w:type="dxa"/>
            </w:tcMar>
          </w:tcPr>
          <w:p>
            <w:pPr>
              <w:spacing w:after="0"/>
            </w:pPr>
            <w:r/>
            <w:r>
              <w:rPr>
                <w:b w:val="0"/>
                <w:sz w:val="14"/>
              </w:rPr>
              <w:t>7.90x</w:t>
            </w:r>
          </w:p>
        </w:tc>
        <w:tc>
          <w:tcPr>
            <w:tcW w:type="dxa" w:w="1728"/>
            <w:vAlign w:val="top"/>
            <w:tcMar>
              <w:top w:w="40" w:type="dxa"/>
              <w:left w:w="40" w:type="dxa"/>
              <w:bottom w:w="40" w:type="dxa"/>
              <w:right w:w="40" w:type="dxa"/>
            </w:tcMar>
          </w:tcPr>
          <w:p>
            <w:pPr>
              <w:spacing w:after="0"/>
            </w:pPr>
            <w:r/>
            <w:r>
              <w:rPr>
                <w:b w:val="0"/>
                <w:sz w:val="14"/>
              </w:rPr>
              <w:t>1785.43x</w:t>
            </w:r>
          </w:p>
        </w:tc>
        <w:tc>
          <w:tcPr>
            <w:tcW w:type="dxa" w:w="1008"/>
            <w:vAlign w:val="top"/>
            <w:tcMar>
              <w:top w:w="40" w:type="dxa"/>
              <w:left w:w="40" w:type="dxa"/>
              <w:bottom w:w="40" w:type="dxa"/>
              <w:right w:w="40" w:type="dxa"/>
            </w:tcMar>
          </w:tcPr>
          <w:p>
            <w:pPr>
              <w:spacing w:after="0"/>
            </w:pPr>
            <w:r/>
            <w:r>
              <w:rPr>
                <w:b w:val="0"/>
                <w:sz w:val="14"/>
              </w:rPr>
              <w:t>4.61x</w:t>
            </w:r>
          </w:p>
        </w:tc>
      </w:tr>
      <w:t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4.38x</w:t>
            </w:r>
          </w:p>
        </w:tc>
        <w:tc>
          <w:tcPr>
            <w:tcW w:type="dxa" w:w="1584"/>
            <w:vAlign w:val="top"/>
            <w:tcMar>
              <w:top w:w="40" w:type="dxa"/>
              <w:left w:w="40" w:type="dxa"/>
              <w:bottom w:w="40" w:type="dxa"/>
              <w:right w:w="40" w:type="dxa"/>
            </w:tcMar>
          </w:tcPr>
          <w:p>
            <w:pPr>
              <w:spacing w:after="0"/>
            </w:pPr>
            <w:r/>
            <w:r>
              <w:rPr>
                <w:b w:val="0"/>
                <w:sz w:val="14"/>
              </w:rPr>
              <w:t>4.00x</w:t>
            </w:r>
          </w:p>
        </w:tc>
        <w:tc>
          <w:tcPr>
            <w:tcW w:type="dxa" w:w="1728"/>
            <w:vAlign w:val="top"/>
            <w:tcMar>
              <w:top w:w="40" w:type="dxa"/>
              <w:left w:w="40" w:type="dxa"/>
              <w:bottom w:w="40" w:type="dxa"/>
              <w:right w:w="40" w:type="dxa"/>
            </w:tcMar>
          </w:tcPr>
          <w:p>
            <w:pPr>
              <w:spacing w:after="0"/>
            </w:pPr>
            <w:r/>
            <w:r>
              <w:rPr>
                <w:b w:val="0"/>
                <w:sz w:val="14"/>
              </w:rPr>
              <w:t>951.72x</w:t>
            </w:r>
          </w:p>
        </w:tc>
        <w:tc>
          <w:tcPr>
            <w:tcW w:type="dxa" w:w="1008"/>
            <w:vAlign w:val="top"/>
            <w:tcMar>
              <w:top w:w="40" w:type="dxa"/>
              <w:left w:w="40" w:type="dxa"/>
              <w:bottom w:w="40" w:type="dxa"/>
              <w:right w:w="40" w:type="dxa"/>
            </w:tcMar>
          </w:tcPr>
          <w:p>
            <w:pPr>
              <w:spacing w:after="0"/>
            </w:pPr>
            <w:r/>
            <w:r>
              <w:rPr>
                <w:b w:val="0"/>
                <w:sz w:val="14"/>
              </w:rPr>
              <w:t>6.09x</w:t>
            </w:r>
          </w:p>
        </w:tc>
      </w:tr>
      <w:t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1659.14x</w:t>
            </w:r>
          </w:p>
        </w:tc>
        <w:tc>
          <w:tcPr>
            <w:tcW w:type="dxa" w:w="1008"/>
            <w:vAlign w:val="top"/>
            <w:tcMar>
              <w:top w:w="40" w:type="dxa"/>
              <w:left w:w="40" w:type="dxa"/>
              <w:bottom w:w="40" w:type="dxa"/>
              <w:right w:w="40" w:type="dxa"/>
            </w:tcMar>
          </w:tcPr>
          <w:p>
            <w:pPr>
              <w:spacing w:after="0"/>
            </w:pPr>
            <w:r/>
            <w:r>
              <w:rPr>
                <w:b w:val="0"/>
                <w:sz w:val="14"/>
              </w:rPr>
              <w:t>4.24x</w:t>
            </w:r>
          </w:p>
        </w:tc>
      </w:tr>
      <w:t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12.41x</w:t>
            </w:r>
          </w:p>
        </w:tc>
        <w:tc>
          <w:tcPr>
            <w:tcW w:type="dxa" w:w="1584"/>
            <w:vAlign w:val="top"/>
            <w:tcMar>
              <w:top w:w="40" w:type="dxa"/>
              <w:left w:w="40" w:type="dxa"/>
              <w:bottom w:w="40" w:type="dxa"/>
              <w:right w:w="40" w:type="dxa"/>
            </w:tcMar>
          </w:tcPr>
          <w:p>
            <w:pPr>
              <w:spacing w:after="0"/>
            </w:pPr>
            <w:r/>
            <w:r>
              <w:rPr>
                <w:b w:val="0"/>
                <w:sz w:val="14"/>
              </w:rPr>
              <w:t>9.72x</w:t>
            </w:r>
          </w:p>
        </w:tc>
        <w:tc>
          <w:tcPr>
            <w:tcW w:type="dxa" w:w="1728"/>
            <w:vAlign w:val="top"/>
            <w:tcMar>
              <w:top w:w="40" w:type="dxa"/>
              <w:left w:w="40" w:type="dxa"/>
              <w:bottom w:w="40" w:type="dxa"/>
              <w:right w:w="40" w:type="dxa"/>
            </w:tcMar>
          </w:tcPr>
          <w:p>
            <w:pPr>
              <w:spacing w:after="0"/>
            </w:pPr>
            <w:r/>
            <w:r>
              <w:rPr>
                <w:b w:val="0"/>
                <w:sz w:val="14"/>
              </w:rPr>
              <w:t>603.15x</w:t>
            </w:r>
          </w:p>
        </w:tc>
        <w:tc>
          <w:tcPr>
            <w:tcW w:type="dxa" w:w="1008"/>
            <w:vAlign w:val="top"/>
            <w:tcMar>
              <w:top w:w="40" w:type="dxa"/>
              <w:left w:w="40" w:type="dxa"/>
              <w:bottom w:w="40" w:type="dxa"/>
              <w:right w:w="40" w:type="dxa"/>
            </w:tcMar>
          </w:tcPr>
          <w:p>
            <w:pPr>
              <w:spacing w:after="0"/>
            </w:pPr>
            <w:r/>
            <w:r>
              <w:rPr>
                <w:b w:val="0"/>
                <w:sz w:val="14"/>
              </w:rPr>
              <w:t>4.43x</w:t>
            </w:r>
          </w:p>
        </w:tc>
      </w:tr>
      <w:t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1.10x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156.44x</w:t>
            </w:r>
          </w:p>
        </w:tc>
        <w:tc>
          <w:tcPr>
            <w:tcW w:type="dxa" w:w="1008"/>
            <w:vAlign w:val="top"/>
            <w:tcMar>
              <w:top w:w="40" w:type="dxa"/>
              <w:left w:w="40" w:type="dxa"/>
              <w:bottom w:w="40" w:type="dxa"/>
              <w:right w:w="40" w:type="dxa"/>
            </w:tcMar>
          </w:tcPr>
          <w:p>
            <w:pPr>
              <w:spacing w:after="0"/>
            </w:pPr>
            <w:r/>
            <w:r>
              <w:rPr>
                <w:b w:val="0"/>
                <w:sz w:val="14"/>
              </w:rPr>
              <w:t>4.03x</w:t>
            </w:r>
          </w:p>
        </w:tc>
      </w:tr>
      <w:t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11.17x</w:t>
            </w:r>
          </w:p>
        </w:tc>
        <w:tc>
          <w:tcPr>
            <w:tcW w:type="dxa" w:w="1584"/>
            <w:vAlign w:val="top"/>
            <w:tcMar>
              <w:top w:w="40" w:type="dxa"/>
              <w:left w:w="40" w:type="dxa"/>
              <w:bottom w:w="40" w:type="dxa"/>
              <w:right w:w="40" w:type="dxa"/>
            </w:tcMar>
          </w:tcPr>
          <w:p>
            <w:pPr>
              <w:spacing w:after="0"/>
            </w:pPr>
            <w:r/>
            <w:r>
              <w:rPr>
                <w:b w:val="0"/>
                <w:sz w:val="14"/>
              </w:rPr>
              <w:t>9.08x</w:t>
            </w:r>
          </w:p>
        </w:tc>
        <w:tc>
          <w:tcPr>
            <w:tcW w:type="dxa" w:w="1728"/>
            <w:vAlign w:val="top"/>
            <w:tcMar>
              <w:top w:w="40" w:type="dxa"/>
              <w:left w:w="40" w:type="dxa"/>
              <w:bottom w:w="40" w:type="dxa"/>
              <w:right w:w="40" w:type="dxa"/>
            </w:tcMar>
          </w:tcPr>
          <w:p>
            <w:pPr>
              <w:spacing w:after="0"/>
            </w:pPr>
            <w:r/>
            <w:r>
              <w:rPr>
                <w:b w:val="0"/>
                <w:sz w:val="14"/>
              </w:rPr>
              <w:t>639.80x</w:t>
            </w:r>
          </w:p>
        </w:tc>
        <w:tc>
          <w:tcPr>
            <w:tcW w:type="dxa" w:w="1008"/>
            <w:vAlign w:val="top"/>
            <w:tcMar>
              <w:top w:w="40" w:type="dxa"/>
              <w:left w:w="40" w:type="dxa"/>
              <w:bottom w:w="40" w:type="dxa"/>
              <w:right w:w="40" w:type="dxa"/>
            </w:tcMar>
          </w:tcPr>
          <w:p>
            <w:pPr>
              <w:spacing w:after="0"/>
            </w:pPr>
            <w:r/>
            <w:r>
              <w:rPr>
                <w:b w:val="0"/>
                <w:sz w:val="14"/>
              </w:rPr>
              <w:t>3.98x</w:t>
            </w:r>
          </w:p>
        </w:tc>
      </w:tr>
      <w:t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3.06x</w:t>
            </w:r>
          </w:p>
        </w:tc>
        <w:tc>
          <w:tcPr>
            <w:tcW w:type="dxa" w:w="1584"/>
            <w:vAlign w:val="top"/>
            <w:tcMar>
              <w:top w:w="40" w:type="dxa"/>
              <w:left w:w="40" w:type="dxa"/>
              <w:bottom w:w="40" w:type="dxa"/>
              <w:right w:w="40" w:type="dxa"/>
            </w:tcMar>
          </w:tcPr>
          <w:p>
            <w:pPr>
              <w:spacing w:after="0"/>
            </w:pPr>
            <w:r/>
            <w:r>
              <w:rPr>
                <w:b w:val="0"/>
                <w:sz w:val="14"/>
              </w:rPr>
              <w:t>2.86x</w:t>
            </w:r>
          </w:p>
        </w:tc>
        <w:tc>
          <w:tcPr>
            <w:tcW w:type="dxa" w:w="1728"/>
            <w:vAlign w:val="top"/>
            <w:tcMar>
              <w:top w:w="40" w:type="dxa"/>
              <w:left w:w="40" w:type="dxa"/>
              <w:bottom w:w="40" w:type="dxa"/>
              <w:right w:w="40" w:type="dxa"/>
            </w:tcMar>
          </w:tcPr>
          <w:p>
            <w:pPr>
              <w:spacing w:after="0"/>
            </w:pPr>
            <w:r/>
            <w:r>
              <w:rPr>
                <w:b w:val="0"/>
                <w:sz w:val="14"/>
              </w:rPr>
              <w:t>387.09x</w:t>
            </w:r>
          </w:p>
        </w:tc>
        <w:tc>
          <w:tcPr>
            <w:tcW w:type="dxa" w:w="1008"/>
            <w:vAlign w:val="top"/>
            <w:tcMar>
              <w:top w:w="40" w:type="dxa"/>
              <w:left w:w="40" w:type="dxa"/>
              <w:bottom w:w="40" w:type="dxa"/>
              <w:right w:w="40" w:type="dxa"/>
            </w:tcMar>
          </w:tcPr>
          <w:p>
            <w:pPr>
              <w:spacing w:after="0"/>
            </w:pPr>
            <w:r/>
            <w:r>
              <w:rPr>
                <w:b w:val="0"/>
                <w:sz w:val="14"/>
              </w:rPr>
              <w:t>3.97x</w:t>
            </w:r>
          </w:p>
        </w:tc>
      </w:tr>
      <w:t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1.87x</w:t>
            </w:r>
          </w:p>
        </w:tc>
        <w:tc>
          <w:tcPr>
            <w:tcW w:type="dxa" w:w="1584"/>
            <w:vAlign w:val="top"/>
            <w:tcMar>
              <w:top w:w="40" w:type="dxa"/>
              <w:left w:w="40" w:type="dxa"/>
              <w:bottom w:w="40" w:type="dxa"/>
              <w:right w:w="40" w:type="dxa"/>
            </w:tcMar>
          </w:tcPr>
          <w:p>
            <w:pPr>
              <w:spacing w:after="0"/>
            </w:pPr>
            <w:r/>
            <w:r>
              <w:rPr>
                <w:b w:val="0"/>
                <w:sz w:val="14"/>
              </w:rPr>
              <w:t>1.79x</w:t>
            </w:r>
          </w:p>
        </w:tc>
        <w:tc>
          <w:tcPr>
            <w:tcW w:type="dxa" w:w="1728"/>
            <w:vAlign w:val="top"/>
            <w:tcMar>
              <w:top w:w="40" w:type="dxa"/>
              <w:left w:w="40" w:type="dxa"/>
              <w:bottom w:w="40" w:type="dxa"/>
              <w:right w:w="40" w:type="dxa"/>
            </w:tcMar>
          </w:tcPr>
          <w:p>
            <w:pPr>
              <w:spacing w:after="0"/>
            </w:pPr>
            <w:r/>
            <w:r>
              <w:rPr>
                <w:b w:val="0"/>
                <w:sz w:val="14"/>
              </w:rPr>
              <w:t>29.49x</w:t>
            </w:r>
          </w:p>
        </w:tc>
        <w:tc>
          <w:tcPr>
            <w:tcW w:type="dxa" w:w="1008"/>
            <w:vAlign w:val="top"/>
            <w:tcMar>
              <w:top w:w="40" w:type="dxa"/>
              <w:left w:w="40" w:type="dxa"/>
              <w:bottom w:w="40" w:type="dxa"/>
              <w:right w:w="40" w:type="dxa"/>
            </w:tcMar>
          </w:tcPr>
          <w:p>
            <w:pPr>
              <w:spacing w:after="0"/>
            </w:pPr>
            <w:r/>
            <w:r>
              <w:rPr>
                <w:b w:val="0"/>
                <w:sz w:val="14"/>
              </w:rPr>
              <w:t>3.81x</w:t>
            </w:r>
          </w:p>
        </w:tc>
      </w:tr>
      <w:t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1.54x</w:t>
            </w:r>
          </w:p>
        </w:tc>
        <w:tc>
          <w:tcPr>
            <w:tcW w:type="dxa" w:w="1584"/>
            <w:vAlign w:val="top"/>
            <w:tcMar>
              <w:top w:w="40" w:type="dxa"/>
              <w:left w:w="40" w:type="dxa"/>
              <w:bottom w:w="40" w:type="dxa"/>
              <w:right w:w="40" w:type="dxa"/>
            </w:tcMar>
          </w:tcPr>
          <w:p>
            <w:pPr>
              <w:spacing w:after="0"/>
            </w:pPr>
            <w:r/>
            <w:r>
              <w:rPr>
                <w:b w:val="0"/>
                <w:sz w:val="14"/>
              </w:rPr>
              <w:t>1.48x</w:t>
            </w:r>
          </w:p>
        </w:tc>
        <w:tc>
          <w:tcPr>
            <w:tcW w:type="dxa" w:w="1728"/>
            <w:vAlign w:val="top"/>
            <w:tcMar>
              <w:top w:w="40" w:type="dxa"/>
              <w:left w:w="40" w:type="dxa"/>
              <w:bottom w:w="40" w:type="dxa"/>
              <w:right w:w="40" w:type="dxa"/>
            </w:tcMar>
          </w:tcPr>
          <w:p>
            <w:pPr>
              <w:spacing w:after="0"/>
            </w:pPr>
            <w:r/>
            <w:r>
              <w:rPr>
                <w:b w:val="0"/>
                <w:sz w:val="14"/>
              </w:rPr>
              <w:t>82.47x</w:t>
            </w:r>
          </w:p>
        </w:tc>
        <w:tc>
          <w:tcPr>
            <w:tcW w:type="dxa" w:w="1008"/>
            <w:vAlign w:val="top"/>
            <w:tcMar>
              <w:top w:w="40" w:type="dxa"/>
              <w:left w:w="40" w:type="dxa"/>
              <w:bottom w:w="40" w:type="dxa"/>
              <w:right w:w="40" w:type="dxa"/>
            </w:tcMar>
          </w:tcPr>
          <w:p>
            <w:pPr>
              <w:spacing w:after="0"/>
            </w:pPr>
            <w:r/>
            <w:r>
              <w:rPr>
                <w:b w:val="0"/>
                <w:sz w:val="14"/>
              </w:rPr>
              <w:t>3.79x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 One apparent inconsistency deserves explicit reconciliation: the Redis-layered corpus reaches 21.37x in the offline model (Table 9) but 3.83x over the QUIC mapping (Table 13). The gap decomposes into three deliberate differences: the QUIC experiment chunks at 1 KiB rather than 4 KiB (four times as many frames), each frame pays the measured 108-byte wire framing rather than the 32-byte model charge (Section 7.6), and the server dictionary is deliberately punctured (every seventh chunk withheld), forcing 72 semantic misses whose FULL repairs carry payload. No offline multiplier in Tables 6 to 12 has been achieved over the wire; the QUIC tables are the end-to-end evidence, and the offline tables isolate the representation layer.</w:t>
      </w:r>
    </w:p>
    <w:p>
      <w:pPr>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three repeated trials of the native demo workload. The multiplier is near-deterministic for fixed bytes (encoded bytes vary by at most one byte across rounds from control-message framing), while elapsed times vary modestly across runs; reporting both avoids cherry-picking a single favorable QUIC run; with only three trials these are run-to-run stability indicators rather than a statistically powered variance estimate. Table 16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in this single-run comparison, roughly halves completion time (592 versus 1,305 ms). Dictionary sizing relative to the warm working set is therefore a hard provisioning requirement, not a tuning nicety.</w:t>
      </w:r>
    </w:p>
    <w:p>
      <w:pPr>
        <w:spacing w:after="40" w:before="120"/>
      </w:pPr>
      <w:r>
        <w:rPr>
          <w:b/>
          <w:sz w:val="18"/>
        </w:rPr>
        <w:t>Table 15.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3.4</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502.9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a measured concurrent competing-flow experiment in which a raw QUIC flow and a ReduLink flow (both using aioquic's default NewReno congestion controller, so fairness is between identical stacks) run simultaneously over a shared localhost schedule with periodic datagram loss, repeated over 12 rounds. Across the measured rounds the reconstructed-rate Jain index [25] is 0.923 and the encoded-rate index is 0.722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20 adds measured rate and delay emulation. Table 21 is an analytic illustration rather than a measurement: it applies a closed-form fluid model - fair-share serialization of the measured encoded bytes plus one RTT of completion latency -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20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19. Measured concurrent competing-flow experiment (Jain fairness index, twelve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12 concurrent rounds, unshaped localhost (no rate limit),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0.722</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0.923</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20 adds rate and delay to the same harness as a measured emulation: both flows run concurrently through localhost proxies that share a single userspace token-bucket link with one-way propagation delay, sweeping 5 and 20 Mbps against 20 and 80 ms RTT with three rounds per point. This is a real measurement of aioquic traffic through an emulated bottleneck, though userspace shaping is not kernel netem. The result is deliberately unflattering and, we argue, the most important fairness finding in the paper: despite transmitting 3.19x fewer encoded bytes, ReduLink does not complete faster, and at 5 Mbps with 20 ms RTT it completes about 74 percent slower than the competing raw flow (1275 ms versus 731 ms). The instrumented shaper explains the mechanism: at 5 Mbps the shared queue contributes about 24 ms of mean queueing delay (72 ms maximum) behind the raw flow's larger byte volume, and ReduLink's semantic MISS/repair exchange must cross that inflated path more times than a one-way bulk stream, whereas at 20 Mbps, where measured queueing is about 1 ms, the two flows complete within 3 to 10 percent of each other. Reconstruction is byte-exact in every round and encoded-rate Jain indices stay between 0.67 and 0.78. The sharpened claim boundary follows: on constrained shared paths, ReduLink's measured benefit is byte-cost reduction at equal congestion fairness, not single-transfer latency; completion-time benefits require miss-free warm state or pipelined bulk transfers.</w:t>
      </w:r>
    </w:p>
    <w:p>
      <w:pPr>
        <w:spacing w:after="40" w:before="120"/>
      </w:pPr>
      <w:r>
        <w:rPr>
          <w:b/>
          <w:sz w:val="18"/>
        </w:rPr>
        <w:t>Table 20. Measured shared-bottleneck path emulation (userspace token bucket + one-way delay; three rounds per point): completion, queueing, and encoded-rate fairness for competing raw and ReduLink flows.</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152"/>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152"/>
            <w:vAlign w:val="top"/>
            <w:tcMar>
              <w:top w:w="40" w:type="dxa"/>
              <w:left w:w="40" w:type="dxa"/>
              <w:bottom w:w="40" w:type="dxa"/>
              <w:right w:w="40" w:type="dxa"/>
            </w:tcMar>
          </w:tcPr>
          <w:p>
            <w:pPr>
              <w:spacing w:after="0"/>
            </w:pPr>
            <w:r/>
            <w:r>
              <w:rPr>
                <w:b/>
                <w:sz w:val="14"/>
              </w:rPr>
              <w:t>Raw ms</w:t>
            </w:r>
          </w:p>
        </w:tc>
        <w:tc>
          <w:tcPr>
            <w:tcW w:type="dxa" w:w="1440"/>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440"/>
            <w:vAlign w:val="top"/>
            <w:tcMar>
              <w:top w:w="40" w:type="dxa"/>
              <w:left w:w="40" w:type="dxa"/>
              <w:bottom w:w="40" w:type="dxa"/>
              <w:right w:w="40" w:type="dxa"/>
            </w:tcMar>
          </w:tcPr>
          <w:p>
            <w:pPr>
              <w:spacing w:after="0"/>
            </w:pPr>
            <w:r/>
            <w:r>
              <w:rPr>
                <w:b/>
                <w:sz w:val="14"/>
              </w:rPr>
              <w:t>Mean queue ms</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152"/>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152"/>
            <w:vAlign w:val="top"/>
            <w:tcMar>
              <w:top w:w="40" w:type="dxa"/>
              <w:left w:w="40" w:type="dxa"/>
              <w:bottom w:w="40" w:type="dxa"/>
              <w:right w:w="40" w:type="dxa"/>
            </w:tcMar>
          </w:tcPr>
          <w:p>
            <w:pPr>
              <w:spacing w:after="0"/>
            </w:pPr>
            <w:r/>
            <w:r>
              <w:rPr>
                <w:b w:val="0"/>
                <w:sz w:val="14"/>
              </w:rPr>
              <w:t>731.4</w:t>
            </w:r>
          </w:p>
        </w:tc>
        <w:tc>
          <w:tcPr>
            <w:tcW w:type="dxa" w:w="1440"/>
            <w:vAlign w:val="top"/>
            <w:tcMar>
              <w:top w:w="40" w:type="dxa"/>
              <w:left w:w="40" w:type="dxa"/>
              <w:bottom w:w="40" w:type="dxa"/>
              <w:right w:w="40" w:type="dxa"/>
            </w:tcMar>
          </w:tcPr>
          <w:p>
            <w:pPr>
              <w:spacing w:after="0"/>
            </w:pPr>
            <w:r/>
            <w:r>
              <w:rPr>
                <w:b w:val="0"/>
                <w:sz w:val="14"/>
              </w:rPr>
              <w:t>1274.8</w:t>
            </w:r>
          </w:p>
        </w:tc>
        <w:tc>
          <w:tcPr>
            <w:tcW w:type="dxa" w:w="1008"/>
            <w:vAlign w:val="top"/>
            <w:tcMar>
              <w:top w:w="40" w:type="dxa"/>
              <w:left w:w="40" w:type="dxa"/>
              <w:bottom w:w="40" w:type="dxa"/>
              <w:right w:w="40" w:type="dxa"/>
            </w:tcMar>
          </w:tcPr>
          <w:p>
            <w:pPr>
              <w:spacing w:after="0"/>
            </w:pPr>
            <w:r/>
            <w:r>
              <w:rPr>
                <w:b w:val="0"/>
                <w:sz w:val="14"/>
              </w:rPr>
              <w:t>1.74x</w:t>
            </w:r>
          </w:p>
        </w:tc>
        <w:tc>
          <w:tcPr>
            <w:tcW w:type="dxa" w:w="1440"/>
            <w:vAlign w:val="top"/>
            <w:tcMar>
              <w:top w:w="40" w:type="dxa"/>
              <w:left w:w="40" w:type="dxa"/>
              <w:bottom w:w="40" w:type="dxa"/>
              <w:right w:w="40" w:type="dxa"/>
            </w:tcMar>
          </w:tcPr>
          <w:p>
            <w:pPr>
              <w:spacing w:after="0"/>
            </w:pPr>
            <w:r/>
            <w:r>
              <w:rPr>
                <w:b w:val="0"/>
                <w:sz w:val="14"/>
              </w:rPr>
              <w:t>23.6</w:t>
            </w:r>
          </w:p>
        </w:tc>
        <w:tc>
          <w:tcPr>
            <w:tcW w:type="dxa" w:w="1152"/>
            <w:vAlign w:val="top"/>
            <w:tcMar>
              <w:top w:w="40" w:type="dxa"/>
              <w:left w:w="40" w:type="dxa"/>
              <w:bottom w:w="40" w:type="dxa"/>
              <w:right w:w="40" w:type="dxa"/>
            </w:tcMar>
          </w:tcPr>
          <w:p>
            <w:pPr>
              <w:spacing w:after="0"/>
            </w:pPr>
            <w:r/>
            <w:r>
              <w:rPr>
                <w:b w:val="0"/>
                <w:sz w:val="14"/>
              </w:rPr>
              <w:t>0.674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152"/>
            <w:vAlign w:val="top"/>
            <w:tcMar>
              <w:top w:w="40" w:type="dxa"/>
              <w:left w:w="40" w:type="dxa"/>
              <w:bottom w:w="40" w:type="dxa"/>
              <w:right w:w="40" w:type="dxa"/>
            </w:tcMar>
          </w:tcPr>
          <w:p>
            <w:pPr>
              <w:spacing w:after="0"/>
            </w:pPr>
            <w:r/>
            <w:r>
              <w:rPr>
                <w:b w:val="0"/>
                <w:sz w:val="14"/>
              </w:rPr>
              <w:t>977.9</w:t>
            </w:r>
          </w:p>
        </w:tc>
        <w:tc>
          <w:tcPr>
            <w:tcW w:type="dxa" w:w="1440"/>
            <w:vAlign w:val="top"/>
            <w:tcMar>
              <w:top w:w="40" w:type="dxa"/>
              <w:left w:w="40" w:type="dxa"/>
              <w:bottom w:w="40" w:type="dxa"/>
              <w:right w:w="40" w:type="dxa"/>
            </w:tcMar>
          </w:tcPr>
          <w:p>
            <w:pPr>
              <w:spacing w:after="0"/>
            </w:pPr>
            <w:r/>
            <w:r>
              <w:rPr>
                <w:b w:val="0"/>
                <w:sz w:val="14"/>
              </w:rPr>
              <w:t>1357.6</w:t>
            </w:r>
          </w:p>
        </w:tc>
        <w:tc>
          <w:tcPr>
            <w:tcW w:type="dxa" w:w="1008"/>
            <w:vAlign w:val="top"/>
            <w:tcMar>
              <w:top w:w="40" w:type="dxa"/>
              <w:left w:w="40" w:type="dxa"/>
              <w:bottom w:w="40" w:type="dxa"/>
              <w:right w:w="40" w:type="dxa"/>
            </w:tcMar>
          </w:tcPr>
          <w:p>
            <w:pPr>
              <w:spacing w:after="0"/>
            </w:pPr>
            <w:r/>
            <w:r>
              <w:rPr>
                <w:b w:val="0"/>
                <w:sz w:val="14"/>
              </w:rPr>
              <w:t>1.39x</w:t>
            </w:r>
          </w:p>
        </w:tc>
        <w:tc>
          <w:tcPr>
            <w:tcW w:type="dxa" w:w="1440"/>
            <w:vAlign w:val="top"/>
            <w:tcMar>
              <w:top w:w="40" w:type="dxa"/>
              <w:left w:w="40" w:type="dxa"/>
              <w:bottom w:w="40" w:type="dxa"/>
              <w:right w:w="40" w:type="dxa"/>
            </w:tcMar>
          </w:tcPr>
          <w:p>
            <w:pPr>
              <w:spacing w:after="0"/>
            </w:pPr>
            <w:r/>
            <w:r>
              <w:rPr>
                <w:b w:val="0"/>
                <w:sz w:val="14"/>
              </w:rPr>
              <w:t>10.3</w:t>
            </w:r>
          </w:p>
        </w:tc>
        <w:tc>
          <w:tcPr>
            <w:tcW w:type="dxa" w:w="1152"/>
            <w:vAlign w:val="top"/>
            <w:tcMar>
              <w:top w:w="40" w:type="dxa"/>
              <w:left w:w="40" w:type="dxa"/>
              <w:bottom w:w="40" w:type="dxa"/>
              <w:right w:w="40" w:type="dxa"/>
            </w:tcMar>
          </w:tcPr>
          <w:p>
            <w:pPr>
              <w:spacing w:after="0"/>
            </w:pPr>
            <w:r/>
            <w:r>
              <w:rPr>
                <w:b w:val="0"/>
                <w:sz w:val="14"/>
              </w:rPr>
              <w:t>0.715</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152"/>
            <w:vAlign w:val="top"/>
            <w:tcMar>
              <w:top w:w="40" w:type="dxa"/>
              <w:left w:w="40" w:type="dxa"/>
              <w:bottom w:w="40" w:type="dxa"/>
              <w:right w:w="40" w:type="dxa"/>
            </w:tcMar>
          </w:tcPr>
          <w:p>
            <w:pPr>
              <w:spacing w:after="0"/>
            </w:pPr>
            <w:r/>
            <w:r>
              <w:rPr>
                <w:b w:val="0"/>
                <w:sz w:val="14"/>
              </w:rPr>
              <w:t>318.5</w:t>
            </w:r>
          </w:p>
        </w:tc>
        <w:tc>
          <w:tcPr>
            <w:tcW w:type="dxa" w:w="1440"/>
            <w:vAlign w:val="top"/>
            <w:tcMar>
              <w:top w:w="40" w:type="dxa"/>
              <w:left w:w="40" w:type="dxa"/>
              <w:bottom w:w="40" w:type="dxa"/>
              <w:right w:w="40" w:type="dxa"/>
            </w:tcMar>
          </w:tcPr>
          <w:p>
            <w:pPr>
              <w:spacing w:after="0"/>
            </w:pPr>
            <w:r/>
            <w:r>
              <w:rPr>
                <w:b w:val="0"/>
                <w:sz w:val="14"/>
              </w:rPr>
              <w:t>350.0</w:t>
            </w:r>
          </w:p>
        </w:tc>
        <w:tc>
          <w:tcPr>
            <w:tcW w:type="dxa" w:w="1008"/>
            <w:vAlign w:val="top"/>
            <w:tcMar>
              <w:top w:w="40" w:type="dxa"/>
              <w:left w:w="40" w:type="dxa"/>
              <w:bottom w:w="40" w:type="dxa"/>
              <w:right w:w="40" w:type="dxa"/>
            </w:tcMar>
          </w:tcPr>
          <w:p>
            <w:pPr>
              <w:spacing w:after="0"/>
            </w:pPr>
            <w:r/>
            <w:r>
              <w:rPr>
                <w:b w:val="0"/>
                <w:sz w:val="14"/>
              </w:rPr>
              <w:t>1.10x</w:t>
            </w:r>
          </w:p>
        </w:tc>
        <w:tc>
          <w:tcPr>
            <w:tcW w:type="dxa" w:w="1440"/>
            <w:vAlign w:val="top"/>
            <w:tcMar>
              <w:top w:w="40" w:type="dxa"/>
              <w:left w:w="40" w:type="dxa"/>
              <w:bottom w:w="40" w:type="dxa"/>
              <w:right w:w="40" w:type="dxa"/>
            </w:tcMar>
          </w:tcPr>
          <w:p>
            <w:pPr>
              <w:spacing w:after="0"/>
            </w:pPr>
            <w:r/>
            <w:r>
              <w:rPr>
                <w:b w:val="0"/>
                <w:sz w:val="14"/>
              </w:rPr>
              <w:t>1.4</w:t>
            </w:r>
          </w:p>
        </w:tc>
        <w:tc>
          <w:tcPr>
            <w:tcW w:type="dxa" w:w="1152"/>
            <w:vAlign w:val="top"/>
            <w:tcMar>
              <w:top w:w="40" w:type="dxa"/>
              <w:left w:w="40" w:type="dxa"/>
              <w:bottom w:w="40" w:type="dxa"/>
              <w:right w:w="40" w:type="dxa"/>
            </w:tcMar>
          </w:tcPr>
          <w:p>
            <w:pPr>
              <w:spacing w:after="0"/>
            </w:pPr>
            <w:r/>
            <w:r>
              <w:rPr>
                <w:b w:val="0"/>
                <w:sz w:val="14"/>
              </w:rPr>
              <w:t>0.764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152"/>
            <w:vAlign w:val="top"/>
            <w:tcMar>
              <w:top w:w="40" w:type="dxa"/>
              <w:left w:w="40" w:type="dxa"/>
              <w:bottom w:w="40" w:type="dxa"/>
              <w:right w:w="40" w:type="dxa"/>
            </w:tcMar>
          </w:tcPr>
          <w:p>
            <w:pPr>
              <w:spacing w:after="0"/>
            </w:pPr>
            <w:r/>
            <w:r>
              <w:rPr>
                <w:b w:val="0"/>
                <w:sz w:val="14"/>
              </w:rPr>
              <w:t>794.3</w:t>
            </w:r>
          </w:p>
        </w:tc>
        <w:tc>
          <w:tcPr>
            <w:tcW w:type="dxa" w:w="1440"/>
            <w:vAlign w:val="top"/>
            <w:tcMar>
              <w:top w:w="40" w:type="dxa"/>
              <w:left w:w="40" w:type="dxa"/>
              <w:bottom w:w="40" w:type="dxa"/>
              <w:right w:w="40" w:type="dxa"/>
            </w:tcMar>
          </w:tcPr>
          <w:p>
            <w:pPr>
              <w:spacing w:after="0"/>
            </w:pPr>
            <w:r/>
            <w:r>
              <w:rPr>
                <w:b w:val="0"/>
                <w:sz w:val="14"/>
              </w:rPr>
              <w:t>817.1</w:t>
            </w:r>
          </w:p>
        </w:tc>
        <w:tc>
          <w:tcPr>
            <w:tcW w:type="dxa" w:w="1008"/>
            <w:vAlign w:val="top"/>
            <w:tcMar>
              <w:top w:w="40" w:type="dxa"/>
              <w:left w:w="40" w:type="dxa"/>
              <w:bottom w:w="40" w:type="dxa"/>
              <w:right w:w="40" w:type="dxa"/>
            </w:tcMar>
          </w:tcPr>
          <w:p>
            <w:pPr>
              <w:spacing w:after="0"/>
            </w:pPr>
            <w:r/>
            <w:r>
              <w:rPr>
                <w:b w:val="0"/>
                <w:sz w:val="14"/>
              </w:rPr>
              <w:t>1.03x</w:t>
            </w:r>
          </w:p>
        </w:tc>
        <w:tc>
          <w:tcPr>
            <w:tcW w:type="dxa" w:w="1440"/>
            <w:vAlign w:val="top"/>
            <w:tcMar>
              <w:top w:w="40" w:type="dxa"/>
              <w:left w:w="40" w:type="dxa"/>
              <w:bottom w:w="40" w:type="dxa"/>
              <w:right w:w="40" w:type="dxa"/>
            </w:tcMar>
          </w:tcPr>
          <w:p>
            <w:pPr>
              <w:spacing w:after="0"/>
            </w:pPr>
            <w:r/>
            <w:r>
              <w:rPr>
                <w:b w:val="0"/>
                <w:sz w:val="14"/>
              </w:rPr>
              <w:t>0.5</w:t>
            </w:r>
          </w:p>
        </w:tc>
        <w:tc>
          <w:tcPr>
            <w:tcW w:type="dxa" w:w="1152"/>
            <w:vAlign w:val="top"/>
            <w:tcMar>
              <w:top w:w="40" w:type="dxa"/>
              <w:left w:w="40" w:type="dxa"/>
              <w:bottom w:w="40" w:type="dxa"/>
              <w:right w:w="40" w:type="dxa"/>
            </w:tcMar>
          </w:tcPr>
          <w:p>
            <w:pPr>
              <w:spacing w:after="0"/>
            </w:pPr>
            <w:r/>
            <w:r>
              <w:rPr>
                <w:b w:val="0"/>
                <w:sz w:val="14"/>
              </w:rPr>
              <w:t>0.779</w:t>
            </w:r>
          </w:p>
        </w:tc>
        <w:tc>
          <w:tcPr>
            <w:tcW w:type="dxa" w:w="864"/>
            <w:vAlign w:val="top"/>
            <w:tcMar>
              <w:top w:w="40" w:type="dxa"/>
              <w:left w:w="40" w:type="dxa"/>
              <w:bottom w:w="40" w:type="dxa"/>
              <w:right w:w="40" w:type="dxa"/>
            </w:tcMar>
          </w:tcPr>
          <w:p>
            <w:pPr>
              <w:spacing w:after="0"/>
            </w:pPr>
            <w:r/>
            <w:r>
              <w:rPr>
                <w:b w:val="0"/>
                <w:sz w:val="14"/>
              </w:rPr>
              <w:t>OK</w:t>
            </w:r>
          </w:p>
        </w:tc>
      </w:tr>
    </w:tbl>
    <w:p/>
    <w:p>
      <w:pPr>
        <w:spacing w:after="40" w:before="120"/>
      </w:pPr>
      <w:r>
        <w:rPr>
          <w:b/>
          <w:sz w:val="18"/>
        </w:rPr>
        <w:t>Table 21.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22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22.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23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23.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zstd dictionary delta (--patch-from) [26]</w:t>
            </w:r>
          </w:p>
        </w:tc>
        <w:tc>
          <w:tcPr>
            <w:tcW w:type="dxa" w:w="1872"/>
            <w:vAlign w:val="top"/>
            <w:tcMar>
              <w:top w:w="40" w:type="dxa"/>
              <w:left w:w="40" w:type="dxa"/>
              <w:bottom w:w="40" w:type="dxa"/>
              <w:right w:w="40" w:type="dxa"/>
            </w:tcMar>
          </w:tcPr>
          <w:p>
            <w:pPr>
              <w:spacing w:after="0"/>
            </w:pPr>
            <w:r/>
            <w:r>
              <w:rPr>
                <w:b w:val="0"/>
                <w:sz w:val="14"/>
              </w:rPr>
              <w:t>Yes (as payload)</w:t>
            </w:r>
          </w:p>
        </w:tc>
        <w:tc>
          <w:tcPr>
            <w:tcW w:type="dxa" w:w="1440"/>
            <w:vAlign w:val="top"/>
            <w:tcMar>
              <w:top w:w="40" w:type="dxa"/>
              <w:left w:w="40" w:type="dxa"/>
              <w:bottom w:w="40" w:type="dxa"/>
              <w:right w:w="40" w:type="dxa"/>
            </w:tcMar>
          </w:tcPr>
          <w:p>
            <w:pPr>
              <w:spacing w:after="0"/>
            </w:pPr>
            <w:r/>
            <w:r>
              <w:rPr>
                <w:b w:val="0"/>
                <w:sz w:val="14"/>
              </w:rPr>
              <w:t>No (codec trust)</w:t>
            </w:r>
          </w:p>
        </w:tc>
        <w:tc>
          <w:tcPr>
            <w:tcW w:type="dxa" w:w="1440"/>
            <w:vAlign w:val="top"/>
            <w:tcMar>
              <w:top w:w="40" w:type="dxa"/>
              <w:left w:w="40" w:type="dxa"/>
              <w:bottom w:w="40" w:type="dxa"/>
              <w:right w:w="40" w:type="dxa"/>
            </w:tcMar>
          </w:tcPr>
          <w:p>
            <w:pPr>
              <w:spacing w:after="0"/>
            </w:pPr>
            <w:r/>
            <w:r>
              <w:rPr>
                <w:b w:val="0"/>
                <w:sz w:val="14"/>
              </w:rPr>
              <w:t>No</w:t>
            </w:r>
          </w:p>
        </w:tc>
        <w:tc>
          <w:tcPr>
            <w:tcW w:type="dxa" w:w="1584"/>
            <w:vAlign w:val="top"/>
            <w:tcMar>
              <w:top w:w="40" w:type="dxa"/>
              <w:left w:w="40" w:type="dxa"/>
              <w:bottom w:w="40" w:type="dxa"/>
              <w:right w:w="40" w:type="dxa"/>
            </w:tcMar>
          </w:tcPr>
          <w:p>
            <w:pPr>
              <w:spacing w:after="0"/>
            </w:pPr>
            <w:r/>
            <w:r>
              <w:rPr>
                <w:b w:val="0"/>
                <w:sz w:val="14"/>
              </w:rPr>
              <w:t>Exact retained prior stream</w:t>
            </w:r>
          </w:p>
        </w:tc>
        <w:tc>
          <w:tcPr>
            <w:tcW w:type="dxa" w:w="2304"/>
            <w:vAlign w:val="top"/>
            <w:tcMar>
              <w:top w:w="40" w:type="dxa"/>
              <w:left w:w="40" w:type="dxa"/>
              <w:bottom w:w="40" w:type="dxa"/>
              <w:right w:w="40" w:type="dxa"/>
            </w:tcMar>
          </w:tcPr>
          <w:p>
            <w:pPr>
              <w:spacing w:after="0"/>
            </w:pPr>
            <w:r/>
            <w:r>
              <w:rPr>
                <w:b w:val="0"/>
                <w:sz w:val="14"/>
              </w:rPr>
              <w:t>Full prior stream retained; best byte savings (Sec. 7.6)</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twelve-round competing-flow experiment plus a measured userspace path emulation across a rate/RTT grid (Section 10); userspace shaping is faithful at the studied rates but is not kernel tc/netem or Mininet, which requires a privileged host and remains future work, and all transport experiments run over localhost. Native-QUIC experiments now reach 16 MiB over a single localhost connection, including a demonstrated dictionary-budget overflow and recovery; multi-connection behavior, larger-than-memory dictionaries, and Internet-path dynamics remain out of scope. The independent positive trace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on every path remain future work. Headline byte multipliers are model-framed; the wire-priced values of Section 7.6 are 5 to 28 percent lower, and whole-stream dictionary delta beats both wherever its retention and trust assumptions hold.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privileged-host tc/netem or Mininet fairness study with competing real flows, packet capture, larger and live-captured registry or backup traces,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scripts/build_manuscript_v3_6.py and scripts/make_journal_figures_v2_8.py. The framing-repricing and dictionary-delta baseline is regenerated by benchmarks/run_framing_dictionary_baseline.py, and the verifier-hardening properties of Section 4.5 (authentication-first ordering, bounded replay window, context binding under a valid tag) are pinned by dedicated unit tests.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v3.6-journal-submission, GitHub, 2026. https://github.com/pinkysworld/redulink-deduplex-quic/releases/tag/v3.6-journal-submission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v3.6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