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minh.systems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for receivers that already hold related bytes,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compact binary ReduLink messages into TLS-protected aioquic QUIC streams, implements semantic MISS/FULL repair, derives keys with an exporter-style schedule, and tests replay and tamper rejection. We evaluate against fixed-block reuse, gzip/zstd, and real rsync over deterministic journal fixtures, hash-pinned public source releases, object-aligned public-release transfers, and a layer-like positive case, and we report native QUIC stream experiments under datagram loss, scaling, repeated trials, block-size sensitivity, component costs, competing-flow and bottleneck-emulation fairness, and conservative wire-byte accounting.</w:t>
      </w:r>
    </w:p>
    <w:p>
      <w:pPr>
        <w:spacing w:after="80" w:before="0"/>
      </w:pPr>
      <w:r>
        <w:rPr>
          <w:sz w:val="20"/>
        </w:rPr>
        <w:t>Quantitatively, on object-aligned public release transfers ReduLink reaches 1.94x to 9.70x effective stream-payload reduction (and 21.37x on a layer-like positive case), within a few percent of an idealized fixed-object-reuse baseline, while the authenticated variant stays within a few additional percent; on ordinary source-tree updates rsync wins by up to 73x, which we report rather than hide. Native aioquic experiments confirm byte-exact reconstruction with deterministic stream multipliers under zero and periodic datagram loss, and the accounting experiments confirm that congestion and fairness are charged on encoded bytes, not reconstructed bytes. The result is a clear deployment boundary: simple reuse or rsync wins for file-tree synchronization, while ReduLink is preferable for object-aligned or layer-like warm-state transfers where an authenticated, stream-compatible reference is the desired abstraction.</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An exporter-style artifact key schedule and security tests for wrong secret, scope, epoch, stream id, offset, length, replay, and tampering, including authenticated-UDP tamper and replay probes.</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competing-flow and bottleneck-emulation fairness analysis,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web has its own lineage of receiver-side reuse over an encrypted channel, and it is the closest existing work. RFC 3229 defines delta encoding in HTTP, sending only the difference of a response relative to a prior instance the client holds, typically using the VCDIFF format [19,20]. Shared Dictionary Compression over HTTP (SDCH) generalized this to a shared dictionary referenced across responses [21], and the recent Compression Dictionary Transport standard (RFC 9842) lets a server designate a previously fetched response as an external Brotli or Zstandard dictionary for future responses [22]. Because these mechanisms operate on HTTP responses, they already run over HTTP/3 on QUIC: receiver-held bytes are reused as a dictionary across an encrypted transport, which is precisely ReduLink's setting.</w:t>
      </w:r>
    </w:p>
    <w:p>
      <w:pPr>
        <w:spacing w:after="80" w:before="0"/>
      </w:pPr>
      <w:r>
        <w:rPr>
          <w:sz w:val="20"/>
        </w:rPr>
        <w:t>ReduLink differs in three ways that matter for the deployments it targets. First, it authenticates each reference individually and binds it to epoch, scope, stream, reconstructed offset, length, and a nonce, so a reference cannot be replayed across context or silently expanded; compression-dictionary schemes treat the dictionary as a codec input and rely on the surrounding TLS channel for integrity. Second, ReduLink defines an explicit fail-closed semantic-repair path (MISS then FULL) rather than degrading to a codec fallback. Third, it is a general stream-representation abstraction rather than a codec scoped to HTTP responses with URL-pattern dictionary matching. We therefore treat compression dictionary transport as the strongest deployed point of comparison and position ReduLink as the authenticated, fail-closed, transport-general variant of the same receiver-side reuse idea; Section 12 and Table 20 consolidate this comparison. The distinction is not merely cosmetic: consider a shared or partially trusted origin dictionary, where a CDN edge or several tenants serve from one warm dictionary. An unauthenticated codec reference cannot distinguish a legitimate cross-version reference from a forged or cross-context one, whereas ReduLink's per-reference binding to epoch, scope, stream, offset, and nonce makes such a reference fail closed. That shared-dictionary integrity case, not raw compression ratio, is the gap ReduLink targets.</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mutually authenticated endpoints. QUIC packetization, packet numbers, ACK processing, TLS, and congestion control remain QUIC responsibilities; ReduLink defines only how application bytes are represented as authenticated FULL, REF, MISS, and DICT_ACK records and how the receiver validates them. 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all validate; otherwise the receiver fails closed and requests semantic FULL repair. The full sender/receiver state machines, dictionary-admission rules, and negotiation parameters are specified in the artifact's protocol appendix.</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frame carries chunk bytes and admits them to the receiver dictionary after validation. A REF frame carries an authenticated reference to a chunk already present at the receiver. A MISS frame is a receiver request for FULL fallback when a reference cannot be resolved. A DICT_ACK frame optionally acknowledges that a receiver admitted a chunk, letting a conservative sender reference only acknowledged chunks. Critically, the stream_offset field always denotes the offset in the original reconstructed application byte stream, never an offset in encoded frame bytes. Table 2 lists the bound fields. The artifact uses conservative accounting overheads of 24 bytes for FULL metadata and 32 bytes for REF metadata; these are accounting inputs, not a final QUIC wire encoding, which would recompute overhead from varint lengths and authentication-tag choice.</w:t>
      </w:r>
    </w:p>
    <w:p>
      <w:pPr>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scoped per connection by default and per origin or per tenant only under explicit policy; global cross-user dictionaries are out of scope. Implementations use bounded LRU-style eviction, per-origin or per-tenant quotas, and short-lived epochs, and a receiver may refuse admission under memory pressure or policy. Chunk identifiers are computed with domain separation over the active epoch, dictionary scope, stream context where applicable, a canonical length encoding, and the chunk bytes, so the same bytes in a different context yield a different identifier. The artifact derives inner authentication keys with an HKDF exporter-style schedule keyed by an explicit experiment secret plus ALPN, epoch, scope, connection, and stream context; tests confirm that the derived secret changes when any of these inputs changes. A production profile should instead key this schedule from QUIC TLS exporter bytes.</w:t>
      </w:r>
    </w:p>
    <w:p>
      <w:pPr>
        <w:pStyle w:val="Heading2"/>
      </w:pPr>
      <w:r>
        <w:rPr>
          <w:rFonts w:ascii="Arial" w:hAnsi="Arial"/>
        </w:rPr>
        <w:t>4.4 Threat model</w:t>
      </w:r>
    </w:p>
    <w:p>
      <w:pPr>
        <w:spacing w:after="80" w:before="0"/>
      </w:pPr>
      <w:r>
        <w:rPr>
          <w:sz w:val="20"/>
        </w:rPr>
        <w:t>Table 3 maps each security property to the mechanism it requires and to the current artifact status, and Table 4 names the privacy modes and their leakage risks. The artifact implements HMAC binding, chunk-id validation, nonce rejection, length and expansion checks, and fail-closed repair; it does not implement production exporter-derived keys, custom extension-frame parsing, production replay windows, or cross-tenant isolation enforcement, which are stated as future work.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 The security evidence in this paper is artifact-level functional testing: the implementation rejects tampered tags and replayed nonces in its own HMAC model, which shows the design behaves as specified, not that it withstands a defined adversary. There is no formal model or reduction, and production keying and replay-window policy are unimplemented.</w:t>
      </w:r>
    </w:p>
    <w:p>
      <w:pPr>
        <w:spacing w:after="40" w:before="120"/>
      </w:pPr>
      <w:r>
        <w:rPr>
          <w:b/>
          <w:sz w:val="18"/>
        </w:rPr>
        <w:t>Table 3. Security properties, required mechanisms, and artifact status.</w:t>
      </w:r>
    </w:p>
    <w:tbl>
      <w:tblPr>
        <w:tblStyle w:val="TableGrid"/>
        <w:tblW w:type="auto" w:w="0"/>
        <w:jc w:val="center"/>
        <w:tblLook w:firstColumn="1" w:firstRow="1" w:lastColumn="0" w:lastRow="0" w:noHBand="0" w:noVBand="1" w:val="04A0"/>
      </w:tblPr>
      <w:tblGrid>
        <w:gridCol w:w="3504"/>
        <w:gridCol w:w="3504"/>
        <w:gridCol w:w="3504"/>
      </w:tblGrid>
      <w:tr>
        <w:tc>
          <w:tcPr>
            <w:tcW w:type="dxa" w:w="1728"/>
            <w:vAlign w:val="top"/>
            <w:tcMar>
              <w:top w:w="40" w:type="dxa"/>
              <w:left w:w="40" w:type="dxa"/>
              <w:bottom w:w="40" w:type="dxa"/>
              <w:right w:w="40" w:type="dxa"/>
            </w:tcMar>
          </w:tcPr>
          <w:p>
            <w:pPr>
              <w:spacing w:after="0"/>
            </w:pPr>
            <w:r/>
            <w:r>
              <w:rPr>
                <w:b/>
                <w:sz w:val="16"/>
              </w:rPr>
              <w:t>Property</w:t>
            </w:r>
          </w:p>
        </w:tc>
        <w:tc>
          <w:tcPr>
            <w:tcW w:type="dxa" w:w="4320"/>
            <w:vAlign w:val="top"/>
            <w:tcMar>
              <w:top w:w="40" w:type="dxa"/>
              <w:left w:w="40" w:type="dxa"/>
              <w:bottom w:w="40" w:type="dxa"/>
              <w:right w:w="40" w:type="dxa"/>
            </w:tcMar>
          </w:tcPr>
          <w:p>
            <w:pPr>
              <w:spacing w:after="0"/>
            </w:pPr>
            <w:r/>
            <w:r>
              <w:rPr>
                <w:b/>
                <w:sz w:val="16"/>
              </w:rPr>
              <w:t>Required mechanism</w:t>
            </w:r>
          </w:p>
        </w:tc>
        <w:tc>
          <w:tcPr>
            <w:tcW w:type="dxa" w:w="3456"/>
            <w:vAlign w:val="top"/>
            <w:tcMar>
              <w:top w:w="40" w:type="dxa"/>
              <w:left w:w="40" w:type="dxa"/>
              <w:bottom w:w="40" w:type="dxa"/>
              <w:right w:w="40" w:type="dxa"/>
            </w:tcMar>
          </w:tcPr>
          <w:p>
            <w:pPr>
              <w:spacing w:after="0"/>
            </w:pPr>
            <w:r/>
            <w:r>
              <w:rPr>
                <w:b/>
                <w:sz w:val="16"/>
              </w:rPr>
              <w:t>Artifact status</w:t>
            </w:r>
          </w:p>
        </w:tc>
      </w:tr>
      <w:tr>
        <w:tc>
          <w:tcPr>
            <w:tcW w:type="dxa" w:w="1728"/>
            <w:vAlign w:val="top"/>
            <w:tcMar>
              <w:top w:w="40" w:type="dxa"/>
              <w:left w:w="40" w:type="dxa"/>
              <w:bottom w:w="40" w:type="dxa"/>
              <w:right w:w="40" w:type="dxa"/>
            </w:tcMar>
          </w:tcPr>
          <w:p>
            <w:pPr>
              <w:spacing w:after="0"/>
            </w:pPr>
            <w:r/>
            <w:r>
              <w:rPr>
                <w:b w:val="0"/>
                <w:sz w:val="16"/>
              </w:rPr>
              <w:t>Integrity</w:t>
            </w:r>
          </w:p>
        </w:tc>
        <w:tc>
          <w:tcPr>
            <w:tcW w:type="dxa" w:w="4320"/>
            <w:vAlign w:val="top"/>
            <w:tcMar>
              <w:top w:w="40" w:type="dxa"/>
              <w:left w:w="40" w:type="dxa"/>
              <w:bottom w:w="40" w:type="dxa"/>
              <w:right w:w="40" w:type="dxa"/>
            </w:tcMar>
          </w:tcPr>
          <w:p>
            <w:pPr>
              <w:spacing w:after="0"/>
            </w:pPr>
            <w:r/>
            <w:r>
              <w:rPr>
                <w:b w:val="0"/>
                <w:sz w:val="16"/>
              </w:rPr>
              <w:t>FULL/REF authentication, chunk-id, offset and length binding</w:t>
            </w:r>
          </w:p>
        </w:tc>
        <w:tc>
          <w:tcPr>
            <w:tcW w:type="dxa" w:w="3456"/>
            <w:vAlign w:val="top"/>
            <w:tcMar>
              <w:top w:w="40" w:type="dxa"/>
              <w:left w:w="40" w:type="dxa"/>
              <w:bottom w:w="40" w:type="dxa"/>
              <w:right w:w="40" w:type="dxa"/>
            </w:tcMar>
          </w:tcPr>
          <w:p>
            <w:pPr>
              <w:spacing w:after="0"/>
            </w:pPr>
            <w:r/>
            <w:r>
              <w:rPr>
                <w:b w:val="0"/>
                <w:sz w:val="16"/>
              </w:rPr>
              <w:t>Modeled by reconstruction and mismatch tests; production crypto pending.</w:t>
            </w:r>
          </w:p>
        </w:tc>
      </w:tr>
      <w:tr>
        <w:tc>
          <w:tcPr>
            <w:tcW w:type="dxa" w:w="1728"/>
            <w:vAlign w:val="top"/>
            <w:tcMar>
              <w:top w:w="40" w:type="dxa"/>
              <w:left w:w="40" w:type="dxa"/>
              <w:bottom w:w="40" w:type="dxa"/>
              <w:right w:w="40" w:type="dxa"/>
            </w:tcMar>
          </w:tcPr>
          <w:p>
            <w:pPr>
              <w:spacing w:after="0"/>
            </w:pPr>
            <w:r/>
            <w:r>
              <w:rPr>
                <w:b w:val="0"/>
                <w:sz w:val="16"/>
              </w:rPr>
              <w:t>Context binding</w:t>
            </w:r>
          </w:p>
        </w:tc>
        <w:tc>
          <w:tcPr>
            <w:tcW w:type="dxa" w:w="4320"/>
            <w:vAlign w:val="top"/>
            <w:tcMar>
              <w:top w:w="40" w:type="dxa"/>
              <w:left w:w="40" w:type="dxa"/>
              <w:bottom w:w="40" w:type="dxa"/>
              <w:right w:w="40" w:type="dxa"/>
            </w:tcMar>
          </w:tcPr>
          <w:p>
            <w:pPr>
              <w:spacing w:after="0"/>
            </w:pPr>
            <w:r/>
            <w:r>
              <w:rPr>
                <w:b w:val="0"/>
                <w:sz w:val="16"/>
              </w:rPr>
              <w:t>Exporter-derived keys, epoch/stream/offset/scope, nonce, replay window</w:t>
            </w:r>
          </w:p>
        </w:tc>
        <w:tc>
          <w:tcPr>
            <w:tcW w:type="dxa" w:w="3456"/>
            <w:vAlign w:val="top"/>
            <w:tcMar>
              <w:top w:w="40" w:type="dxa"/>
              <w:left w:w="40" w:type="dxa"/>
              <w:bottom w:w="40" w:type="dxa"/>
              <w:right w:w="40" w:type="dxa"/>
            </w:tcMar>
          </w:tcPr>
          <w:p>
            <w:pPr>
              <w:spacing w:after="0"/>
            </w:pPr>
            <w:r/>
            <w:r>
              <w:rPr>
                <w:b w:val="0"/>
                <w:sz w:val="16"/>
              </w:rPr>
              <w:t>HMAC binding and nonce rejection implemented; exporter keys pending.</w:t>
            </w:r>
          </w:p>
        </w:tc>
      </w:tr>
      <w:tr>
        <w:tc>
          <w:tcPr>
            <w:tcW w:type="dxa" w:w="1728"/>
            <w:vAlign w:val="top"/>
            <w:tcMar>
              <w:top w:w="40" w:type="dxa"/>
              <w:left w:w="40" w:type="dxa"/>
              <w:bottom w:w="40" w:type="dxa"/>
              <w:right w:w="40" w:type="dxa"/>
            </w:tcMar>
          </w:tcPr>
          <w:p>
            <w:pPr>
              <w:spacing w:after="0"/>
            </w:pPr>
            <w:r/>
            <w:r>
              <w:rPr>
                <w:b w:val="0"/>
                <w:sz w:val="16"/>
              </w:rPr>
              <w:t>Dictionary safety</w:t>
            </w:r>
          </w:p>
        </w:tc>
        <w:tc>
          <w:tcPr>
            <w:tcW w:type="dxa" w:w="4320"/>
            <w:vAlign w:val="top"/>
            <w:tcMar>
              <w:top w:w="40" w:type="dxa"/>
              <w:left w:w="40" w:type="dxa"/>
              <w:bottom w:w="40" w:type="dxa"/>
              <w:right w:w="40" w:type="dxa"/>
            </w:tcMar>
          </w:tcPr>
          <w:p>
            <w:pPr>
              <w:spacing w:after="0"/>
            </w:pPr>
            <w:r/>
            <w:r>
              <w:rPr>
                <w:b w:val="0"/>
                <w:sz w:val="16"/>
              </w:rPr>
              <w:t>Authenticated FULL, manifest commitment, admission/eviction policy</w:t>
            </w:r>
          </w:p>
        </w:tc>
        <w:tc>
          <w:tcPr>
            <w:tcW w:type="dxa" w:w="3456"/>
            <w:vAlign w:val="top"/>
            <w:tcMar>
              <w:top w:w="40" w:type="dxa"/>
              <w:left w:w="40" w:type="dxa"/>
              <w:bottom w:w="40" w:type="dxa"/>
              <w:right w:w="40" w:type="dxa"/>
            </w:tcMar>
          </w:tcPr>
          <w:p>
            <w:pPr>
              <w:spacing w:after="0"/>
            </w:pPr>
            <w:r/>
            <w:r>
              <w:rPr>
                <w:b w:val="0"/>
                <w:sz w:val="16"/>
              </w:rPr>
              <w:t>FULL chunk-id checks modeled; manifest policy not implemented.</w:t>
            </w:r>
          </w:p>
        </w:tc>
      </w:tr>
      <w:tr>
        <w:tc>
          <w:tcPr>
            <w:tcW w:type="dxa" w:w="1728"/>
            <w:vAlign w:val="top"/>
            <w:tcMar>
              <w:top w:w="40" w:type="dxa"/>
              <w:left w:w="40" w:type="dxa"/>
              <w:bottom w:w="40" w:type="dxa"/>
              <w:right w:w="40" w:type="dxa"/>
            </w:tcMar>
          </w:tcPr>
          <w:p>
            <w:pPr>
              <w:spacing w:after="0"/>
            </w:pPr>
            <w:r/>
            <w:r>
              <w:rPr>
                <w:b w:val="0"/>
                <w:sz w:val="16"/>
              </w:rPr>
              <w:t>Expansion bound</w:t>
            </w:r>
          </w:p>
        </w:tc>
        <w:tc>
          <w:tcPr>
            <w:tcW w:type="dxa" w:w="4320"/>
            <w:vAlign w:val="top"/>
            <w:tcMar>
              <w:top w:w="40" w:type="dxa"/>
              <w:left w:w="40" w:type="dxa"/>
              <w:bottom w:w="40" w:type="dxa"/>
              <w:right w:w="40" w:type="dxa"/>
            </w:tcMar>
          </w:tcPr>
          <w:p>
            <w:pPr>
              <w:spacing w:after="0"/>
            </w:pPr>
            <w:r/>
            <w:r>
              <w:rPr>
                <w:b w:val="0"/>
                <w:sz w:val="16"/>
              </w:rPr>
              <w:t>Per-frame, per-stream, per-epoch reconstructed-byte caps</w:t>
            </w:r>
          </w:p>
        </w:tc>
        <w:tc>
          <w:tcPr>
            <w:tcW w:type="dxa" w:w="3456"/>
            <w:vAlign w:val="top"/>
            <w:tcMar>
              <w:top w:w="40" w:type="dxa"/>
              <w:left w:w="40" w:type="dxa"/>
              <w:bottom w:w="40" w:type="dxa"/>
              <w:right w:w="40" w:type="dxa"/>
            </w:tcMar>
          </w:tcPr>
          <w:p>
            <w:pPr>
              <w:spacing w:after="0"/>
            </w:pPr>
            <w:r/>
            <w:r>
              <w:rPr>
                <w:b w:val="0"/>
                <w:sz w:val="16"/>
              </w:rPr>
              <w:t>Length and accounting checks modeled; full flow control pending.</w:t>
            </w:r>
          </w:p>
        </w:tc>
      </w:tr>
      <w:tr>
        <w:tc>
          <w:tcPr>
            <w:tcW w:type="dxa" w:w="1728"/>
            <w:vAlign w:val="top"/>
            <w:tcMar>
              <w:top w:w="40" w:type="dxa"/>
              <w:left w:w="40" w:type="dxa"/>
              <w:bottom w:w="40" w:type="dxa"/>
              <w:right w:w="40" w:type="dxa"/>
            </w:tcMar>
          </w:tcPr>
          <w:p>
            <w:pPr>
              <w:spacing w:after="0"/>
            </w:pPr>
            <w:r/>
            <w:r>
              <w:rPr>
                <w:b w:val="0"/>
                <w:sz w:val="16"/>
              </w:rPr>
              <w:t>Privacy scope</w:t>
            </w:r>
          </w:p>
        </w:tc>
        <w:tc>
          <w:tcPr>
            <w:tcW w:type="dxa" w:w="4320"/>
            <w:vAlign w:val="top"/>
            <w:tcMar>
              <w:top w:w="40" w:type="dxa"/>
              <w:left w:w="40" w:type="dxa"/>
              <w:bottom w:w="40" w:type="dxa"/>
              <w:right w:w="40" w:type="dxa"/>
            </w:tcMar>
          </w:tcPr>
          <w:p>
            <w:pPr>
              <w:spacing w:after="0"/>
            </w:pPr>
            <w:r/>
            <w:r>
              <w:rPr>
                <w:b w:val="0"/>
                <w:sz w:val="16"/>
              </w:rPr>
              <w:t>Per-connection default, no global cross-user dictionary</w:t>
            </w:r>
          </w:p>
        </w:tc>
        <w:tc>
          <w:tcPr>
            <w:tcW w:type="dxa" w:w="3456"/>
            <w:vAlign w:val="top"/>
            <w:tcMar>
              <w:top w:w="40" w:type="dxa"/>
              <w:left w:w="40" w:type="dxa"/>
              <w:bottom w:w="40" w:type="dxa"/>
              <w:right w:w="40" w:type="dxa"/>
            </w:tcMar>
          </w:tcPr>
          <w:p>
            <w:pPr>
              <w:spacing w:after="0"/>
            </w:pPr>
            <w:r/>
            <w:r>
              <w:rPr>
                <w:b w:val="0"/>
                <w:sz w:val="16"/>
              </w:rPr>
              <w:t>Policy specified; cross-tenant enforcement not implemented.</w:t>
            </w:r>
          </w:p>
        </w:tc>
      </w:tr>
    </w:tbl>
    <w:p/>
    <w:p>
      <w:pPr>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to the absolute numbers. Byte multipliers are deterministic functions of the input bytes and chunking parameters and are therefore machine-independent; they are the paper's results. Wall-clock times and local throughputs (for example the client elapsed times in Section 8 and the MiB/s figures in Section 9) are indicative measurements from a single commodity multi-core Linux host and are hardware-dependent; they should be read as order-of-magnitude component costs, not as portable performance guarantees.</w:t>
      </w:r>
    </w:p>
    <w:p>
      <w:pPr>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 The journal fixtures are constructed with a chosen unchanged fraction and therefore illustrate workload shapes rather than estimate real-world gains; the only fully external inputs are the public source releases, which are negative for ReduLink, and their object-aligned re-framing, which is the paper's primary external positive signal. An independent captured positive trace remains future work.</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 The Unchanged column makes the mechanism explicit: because the effective multiplier is bounded by roughly one over one minus the unchanged fraction, these deterministic fixtures (96 to 100 percent unchanged on the positive rows) are illustrative workload shapes chosen to expose where reference substitution can and cannot help, not estimates of real-world overlap. The repository fixture in particular changes only 210 of 501,760 bytes, so its 24.73x is close to a no-op transfer.</w:t>
      </w:r>
    </w:p>
    <w:p>
      <w:pPr>
        <w:spacing w:after="40" w:before="120"/>
      </w:pPr>
      <w:r>
        <w:rPr>
          <w:b/>
          <w:sz w:val="18"/>
        </w:rPr>
        <w:t>Table 6. Warm-state workload results (effective stream-payload multiplier), with the constructed unchanged fraction of each fixture.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16"/>
            <w:vAlign w:val="top"/>
            <w:tcMar>
              <w:top w:w="40" w:type="dxa"/>
              <w:left w:w="40" w:type="dxa"/>
              <w:bottom w:w="40" w:type="dxa"/>
              <w:right w:w="40" w:type="dxa"/>
            </w:tcMar>
          </w:tcPr>
          <w:p>
            <w:pPr>
              <w:spacing w:after="0"/>
            </w:pPr>
            <w:r/>
            <w:r>
              <w:rPr>
                <w:b/>
                <w:sz w:val="16"/>
              </w:rPr>
              <w:t>Workload</w:t>
            </w:r>
          </w:p>
        </w:tc>
        <w:tc>
          <w:tcPr>
            <w:tcW w:type="dxa" w:w="1296"/>
            <w:vAlign w:val="top"/>
            <w:tcMar>
              <w:top w:w="40" w:type="dxa"/>
              <w:left w:w="40" w:type="dxa"/>
              <w:bottom w:w="40" w:type="dxa"/>
              <w:right w:w="40" w:type="dxa"/>
            </w:tcMar>
          </w:tcPr>
          <w:p>
            <w:pPr>
              <w:spacing w:after="0"/>
            </w:pPr>
            <w:r/>
            <w:r>
              <w:rPr>
                <w:b/>
                <w:sz w:val="16"/>
              </w:rPr>
              <w:t>Unchanged</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728"/>
            <w:vAlign w:val="top"/>
            <w:tcMar>
              <w:top w:w="40" w:type="dxa"/>
              <w:left w:w="40" w:type="dxa"/>
              <w:bottom w:w="40" w:type="dxa"/>
              <w:right w:w="40" w:type="dxa"/>
            </w:tcMar>
          </w:tcPr>
          <w:p>
            <w:pPr>
              <w:spacing w:after="0"/>
            </w:pPr>
            <w:r/>
            <w:r>
              <w:rPr>
                <w:b/>
                <w:sz w:val="16"/>
              </w:rPr>
              <w:t>Best compression</w:t>
            </w:r>
          </w:p>
        </w:tc>
        <w:tc>
          <w:tcPr>
            <w:tcW w:type="dxa" w:w="1440"/>
            <w:vAlign w:val="top"/>
            <w:tcMar>
              <w:top w:w="40" w:type="dxa"/>
              <w:left w:w="40" w:type="dxa"/>
              <w:bottom w:w="40" w:type="dxa"/>
              <w:right w:w="40" w:type="dxa"/>
            </w:tcMar>
          </w:tcPr>
          <w:p>
            <w:pPr>
              <w:spacing w:after="0"/>
            </w:pPr>
            <w:r/>
            <w:r>
              <w:rPr>
                <w:b/>
                <w:sz w:val="16"/>
              </w:rPr>
              <w:t>RL - fixed</w:t>
            </w:r>
          </w:p>
        </w:tc>
      </w:tr>
      <w:tr>
        <w:tc>
          <w:tcPr>
            <w:tcW w:type="dxa" w:w="2016"/>
            <w:vAlign w:val="top"/>
            <w:tcMar>
              <w:top w:w="40" w:type="dxa"/>
              <w:left w:w="40" w:type="dxa"/>
              <w:bottom w:w="40" w:type="dxa"/>
              <w:right w:w="40" w:type="dxa"/>
            </w:tcMar>
          </w:tcPr>
          <w:p>
            <w:pPr>
              <w:spacing w:after="0"/>
            </w:pPr>
            <w:r/>
            <w:r>
              <w:rPr>
                <w:b w:val="0"/>
                <w:sz w:val="16"/>
              </w:rPr>
              <w:t>disk snap</w:t>
            </w:r>
          </w:p>
        </w:tc>
        <w:tc>
          <w:tcPr>
            <w:tcW w:type="dxa" w:w="1296"/>
            <w:vAlign w:val="top"/>
            <w:tcMar>
              <w:top w:w="40" w:type="dxa"/>
              <w:left w:w="40" w:type="dxa"/>
              <w:bottom w:w="40" w:type="dxa"/>
              <w:right w:w="40" w:type="dxa"/>
            </w:tcMar>
          </w:tcPr>
          <w:p>
            <w:pPr>
              <w:spacing w:after="0"/>
            </w:pPr>
            <w:r/>
            <w:r>
              <w:rPr>
                <w:b w:val="0"/>
                <w:sz w:val="16"/>
              </w:rPr>
              <w:t>97.3%</w:t>
            </w:r>
          </w:p>
        </w:tc>
        <w:tc>
          <w:tcPr>
            <w:tcW w:type="dxa" w:w="1440"/>
            <w:vAlign w:val="top"/>
            <w:tcMar>
              <w:top w:w="40" w:type="dxa"/>
              <w:left w:w="40" w:type="dxa"/>
              <w:bottom w:w="40" w:type="dxa"/>
              <w:right w:w="40" w:type="dxa"/>
            </w:tcMar>
          </w:tcPr>
          <w:p>
            <w:pPr>
              <w:spacing w:after="0"/>
            </w:pPr>
            <w:r/>
            <w:r>
              <w:rPr>
                <w:b w:val="0"/>
                <w:sz w:val="16"/>
              </w:rPr>
              <w:t>28.49x</w:t>
            </w:r>
          </w:p>
        </w:tc>
        <w:tc>
          <w:tcPr>
            <w:tcW w:type="dxa" w:w="1440"/>
            <w:vAlign w:val="top"/>
            <w:tcMar>
              <w:top w:w="40" w:type="dxa"/>
              <w:left w:w="40" w:type="dxa"/>
              <w:bottom w:w="40" w:type="dxa"/>
              <w:right w:w="40" w:type="dxa"/>
            </w:tcMar>
          </w:tcPr>
          <w:p>
            <w:pPr>
              <w:spacing w:after="0"/>
            </w:pPr>
            <w:r/>
            <w:r>
              <w:rPr>
                <w:b w:val="0"/>
                <w:sz w:val="16"/>
              </w:rPr>
              <w:t>31.97x</w:t>
            </w:r>
          </w:p>
        </w:tc>
        <w:tc>
          <w:tcPr>
            <w:tcW w:type="dxa" w:w="1728"/>
            <w:vAlign w:val="top"/>
            <w:tcMar>
              <w:top w:w="40" w:type="dxa"/>
              <w:left w:w="40" w:type="dxa"/>
              <w:bottom w:w="40" w:type="dxa"/>
              <w:right w:w="40" w:type="dxa"/>
            </w:tcMar>
          </w:tcPr>
          <w:p>
            <w:pPr>
              <w:spacing w:after="0"/>
            </w:pPr>
            <w:r/>
            <w:r>
              <w:rPr>
                <w:b w:val="0"/>
                <w:sz w:val="16"/>
              </w:rPr>
              <w:t>1.06x</w:t>
            </w:r>
          </w:p>
        </w:tc>
        <w:tc>
          <w:tcPr>
            <w:tcW w:type="dxa" w:w="1440"/>
            <w:vAlign w:val="top"/>
            <w:tcMar>
              <w:top w:w="40" w:type="dxa"/>
              <w:left w:w="40" w:type="dxa"/>
              <w:bottom w:w="40" w:type="dxa"/>
              <w:right w:w="40" w:type="dxa"/>
            </w:tcMar>
          </w:tcPr>
          <w:p>
            <w:pPr>
              <w:spacing w:after="0"/>
            </w:pPr>
            <w:r/>
            <w:r>
              <w:rPr>
                <w:b w:val="0"/>
                <w:sz w:val="16"/>
              </w:rPr>
              <w:t>-3.48x</w:t>
            </w:r>
          </w:p>
        </w:tc>
      </w:tr>
      <w:tr>
        <w:tc>
          <w:tcPr>
            <w:tcW w:type="dxa" w:w="2016"/>
            <w:vAlign w:val="top"/>
            <w:tcMar>
              <w:top w:w="40" w:type="dxa"/>
              <w:left w:w="40" w:type="dxa"/>
              <w:bottom w:w="40" w:type="dxa"/>
              <w:right w:w="40" w:type="dxa"/>
            </w:tcMar>
          </w:tcPr>
          <w:p>
            <w:pPr>
              <w:spacing w:after="0"/>
            </w:pPr>
            <w:r/>
            <w:r>
              <w:rPr>
                <w:b w:val="0"/>
                <w:sz w:val="16"/>
              </w:rPr>
              <w:t>oci layer</w:t>
            </w:r>
          </w:p>
        </w:tc>
        <w:tc>
          <w:tcPr>
            <w:tcW w:type="dxa" w:w="1296"/>
            <w:vAlign w:val="top"/>
            <w:tcMar>
              <w:top w:w="40" w:type="dxa"/>
              <w:left w:w="40" w:type="dxa"/>
              <w:bottom w:w="40" w:type="dxa"/>
              <w:right w:w="40" w:type="dxa"/>
            </w:tcMar>
          </w:tcPr>
          <w:p>
            <w:pPr>
              <w:spacing w:after="0"/>
            </w:pPr>
            <w:r/>
            <w:r>
              <w:rPr>
                <w:b w:val="0"/>
                <w:sz w:val="16"/>
              </w:rPr>
              <w:t>96.5%</w:t>
            </w:r>
          </w:p>
        </w:tc>
        <w:tc>
          <w:tcPr>
            <w:tcW w:type="dxa" w:w="1440"/>
            <w:vAlign w:val="top"/>
            <w:tcMar>
              <w:top w:w="40" w:type="dxa"/>
              <w:left w:w="40" w:type="dxa"/>
              <w:bottom w:w="40" w:type="dxa"/>
              <w:right w:w="40" w:type="dxa"/>
            </w:tcMar>
          </w:tcPr>
          <w:p>
            <w:pPr>
              <w:spacing w:after="0"/>
            </w:pPr>
            <w:r/>
            <w:r>
              <w:rPr>
                <w:b w:val="0"/>
                <w:sz w:val="16"/>
              </w:rPr>
              <w:t>11.05x</w:t>
            </w:r>
          </w:p>
        </w:tc>
        <w:tc>
          <w:tcPr>
            <w:tcW w:type="dxa" w:w="1440"/>
            <w:vAlign w:val="top"/>
            <w:tcMar>
              <w:top w:w="40" w:type="dxa"/>
              <w:left w:w="40" w:type="dxa"/>
              <w:bottom w:w="40" w:type="dxa"/>
              <w:right w:w="40" w:type="dxa"/>
            </w:tcMar>
          </w:tcPr>
          <w:p>
            <w:pPr>
              <w:spacing w:after="0"/>
            </w:pPr>
            <w:r/>
            <w:r>
              <w:rPr>
                <w:b w:val="0"/>
                <w:sz w:val="16"/>
              </w:rPr>
              <w:t>10.68x</w:t>
            </w:r>
          </w:p>
        </w:tc>
        <w:tc>
          <w:tcPr>
            <w:tcW w:type="dxa" w:w="1728"/>
            <w:vAlign w:val="top"/>
            <w:tcMar>
              <w:top w:w="40" w:type="dxa"/>
              <w:left w:w="40" w:type="dxa"/>
              <w:bottom w:w="40" w:type="dxa"/>
              <w:right w:w="40" w:type="dxa"/>
            </w:tcMar>
          </w:tcPr>
          <w:p>
            <w:pPr>
              <w:spacing w:after="0"/>
            </w:pPr>
            <w:r/>
            <w:r>
              <w:rPr>
                <w:b w:val="0"/>
                <w:sz w:val="16"/>
              </w:rPr>
              <w:t>1.50x</w:t>
            </w:r>
          </w:p>
        </w:tc>
        <w:tc>
          <w:tcPr>
            <w:tcW w:type="dxa" w:w="1440"/>
            <w:vAlign w:val="top"/>
            <w:tcMar>
              <w:top w:w="40" w:type="dxa"/>
              <w:left w:w="40" w:type="dxa"/>
              <w:bottom w:w="40" w:type="dxa"/>
              <w:right w:w="40" w:type="dxa"/>
            </w:tcMar>
          </w:tcPr>
          <w:p>
            <w:pPr>
              <w:spacing w:after="0"/>
            </w:pPr>
            <w:r/>
            <w:r>
              <w:rPr>
                <w:b w:val="0"/>
                <w:sz w:val="16"/>
              </w:rPr>
              <w:t>+0.37x</w:t>
            </w:r>
          </w:p>
        </w:tc>
      </w:tr>
      <w:tr>
        <w:tc>
          <w:tcPr>
            <w:tcW w:type="dxa" w:w="2016"/>
            <w:vAlign w:val="top"/>
            <w:tcMar>
              <w:top w:w="40" w:type="dxa"/>
              <w:left w:w="40" w:type="dxa"/>
              <w:bottom w:w="40" w:type="dxa"/>
              <w:right w:w="40" w:type="dxa"/>
            </w:tcMar>
          </w:tcPr>
          <w:p>
            <w:pPr>
              <w:spacing w:after="0"/>
            </w:pPr>
            <w:r/>
            <w:r>
              <w:rPr>
                <w:b w:val="0"/>
                <w:sz w:val="16"/>
              </w:rPr>
              <w:t>package meta</w:t>
            </w:r>
          </w:p>
        </w:tc>
        <w:tc>
          <w:tcPr>
            <w:tcW w:type="dxa" w:w="1296"/>
            <w:vAlign w:val="top"/>
            <w:tcMar>
              <w:top w:w="40" w:type="dxa"/>
              <w:left w:w="40" w:type="dxa"/>
              <w:bottom w:w="40" w:type="dxa"/>
              <w:right w:w="40" w:type="dxa"/>
            </w:tcMar>
          </w:tcPr>
          <w:p>
            <w:pPr>
              <w:spacing w:after="0"/>
            </w:pPr>
            <w:r/>
            <w:r>
              <w:rPr>
                <w:b w:val="0"/>
                <w:sz w:val="16"/>
              </w:rPr>
              <w:t>3.5%</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9.88x</w:t>
            </w:r>
          </w:p>
        </w:tc>
        <w:tc>
          <w:tcPr>
            <w:tcW w:type="dxa" w:w="1728"/>
            <w:vAlign w:val="top"/>
            <w:tcMar>
              <w:top w:w="40" w:type="dxa"/>
              <w:left w:w="40" w:type="dxa"/>
              <w:bottom w:w="40" w:type="dxa"/>
              <w:right w:w="40" w:type="dxa"/>
            </w:tcMar>
          </w:tcPr>
          <w:p>
            <w:pPr>
              <w:spacing w:after="0"/>
            </w:pPr>
            <w:r/>
            <w:r>
              <w:rPr>
                <w:b w:val="0"/>
                <w:sz w:val="16"/>
              </w:rPr>
              <w:t>14.31x</w:t>
            </w:r>
          </w:p>
        </w:tc>
        <w:tc>
          <w:tcPr>
            <w:tcW w:type="dxa" w:w="1440"/>
            <w:vAlign w:val="top"/>
            <w:tcMar>
              <w:top w:w="40" w:type="dxa"/>
              <w:left w:w="40" w:type="dxa"/>
              <w:bottom w:w="40" w:type="dxa"/>
              <w:right w:w="40" w:type="dxa"/>
            </w:tcMar>
          </w:tcPr>
          <w:p>
            <w:pPr>
              <w:spacing w:after="0"/>
            </w:pPr>
            <w:r/>
            <w:r>
              <w:rPr>
                <w:b w:val="0"/>
                <w:sz w:val="16"/>
              </w:rPr>
              <w:t>-8.89x</w:t>
            </w:r>
          </w:p>
        </w:tc>
      </w:tr>
      <w:tr>
        <w:tc>
          <w:tcPr>
            <w:tcW w:type="dxa" w:w="2016"/>
            <w:vAlign w:val="top"/>
            <w:tcMar>
              <w:top w:w="40" w:type="dxa"/>
              <w:left w:w="40" w:type="dxa"/>
              <w:bottom w:w="40" w:type="dxa"/>
              <w:right w:w="40" w:type="dxa"/>
            </w:tcMar>
          </w:tcPr>
          <w:p>
            <w:pPr>
              <w:spacing w:after="0"/>
            </w:pPr>
            <w:r/>
            <w:r>
              <w:rPr>
                <w:b w:val="0"/>
                <w:sz w:val="16"/>
              </w:rPr>
              <w:t>repository snap</w:t>
            </w:r>
          </w:p>
        </w:tc>
        <w:tc>
          <w:tcPr>
            <w:tcW w:type="dxa" w:w="1296"/>
            <w:vAlign w:val="top"/>
            <w:tcMar>
              <w:top w:w="40" w:type="dxa"/>
              <w:left w:w="40" w:type="dxa"/>
              <w:bottom w:w="40" w:type="dxa"/>
              <w:right w:w="40" w:type="dxa"/>
            </w:tcMar>
          </w:tcPr>
          <w:p>
            <w:pPr>
              <w:spacing w:after="0"/>
            </w:pPr>
            <w:r/>
            <w:r>
              <w:rPr>
                <w:b w:val="0"/>
                <w:sz w:val="16"/>
              </w:rPr>
              <w:t>100.0%</w:t>
            </w:r>
          </w:p>
        </w:tc>
        <w:tc>
          <w:tcPr>
            <w:tcW w:type="dxa" w:w="1440"/>
            <w:vAlign w:val="top"/>
            <w:tcMar>
              <w:top w:w="40" w:type="dxa"/>
              <w:left w:w="40" w:type="dxa"/>
              <w:bottom w:w="40" w:type="dxa"/>
              <w:right w:w="40" w:type="dxa"/>
            </w:tcMar>
          </w:tcPr>
          <w:p>
            <w:pPr>
              <w:spacing w:after="0"/>
            </w:pPr>
            <w:r/>
            <w:r>
              <w:rPr>
                <w:b w:val="0"/>
                <w:sz w:val="16"/>
              </w:rPr>
              <w:t>24.73x</w:t>
            </w:r>
          </w:p>
        </w:tc>
        <w:tc>
          <w:tcPr>
            <w:tcW w:type="dxa" w:w="1440"/>
            <w:vAlign w:val="top"/>
            <w:tcMar>
              <w:top w:w="40" w:type="dxa"/>
              <w:left w:w="40" w:type="dxa"/>
              <w:bottom w:w="40" w:type="dxa"/>
              <w:right w:w="40" w:type="dxa"/>
            </w:tcMar>
          </w:tcPr>
          <w:p>
            <w:pPr>
              <w:spacing w:after="0"/>
            </w:pPr>
            <w:r/>
            <w:r>
              <w:rPr>
                <w:b w:val="0"/>
                <w:sz w:val="16"/>
              </w:rPr>
              <w:t>24.60x</w:t>
            </w:r>
          </w:p>
        </w:tc>
        <w:tc>
          <w:tcPr>
            <w:tcW w:type="dxa" w:w="1728"/>
            <w:vAlign w:val="top"/>
            <w:tcMar>
              <w:top w:w="40" w:type="dxa"/>
              <w:left w:w="40" w:type="dxa"/>
              <w:bottom w:w="40" w:type="dxa"/>
              <w:right w:w="40" w:type="dxa"/>
            </w:tcMar>
          </w:tcPr>
          <w:p>
            <w:pPr>
              <w:spacing w:after="0"/>
            </w:pPr>
            <w:r/>
            <w:r>
              <w:rPr>
                <w:b w:val="0"/>
                <w:sz w:val="16"/>
              </w:rPr>
              <w:t>10.37x</w:t>
            </w:r>
          </w:p>
        </w:tc>
        <w:tc>
          <w:tcPr>
            <w:tcW w:type="dxa" w:w="1440"/>
            <w:vAlign w:val="top"/>
            <w:tcMar>
              <w:top w:w="40" w:type="dxa"/>
              <w:left w:w="40" w:type="dxa"/>
              <w:bottom w:w="40" w:type="dxa"/>
              <w:right w:w="40" w:type="dxa"/>
            </w:tcMar>
          </w:tcPr>
          <w:p>
            <w:pPr>
              <w:spacing w:after="0"/>
            </w:pPr>
            <w:r/>
            <w:r>
              <w:rPr>
                <w:b w:val="0"/>
                <w:sz w:val="16"/>
              </w:rPr>
              <w:t>+0.14x</w:t>
            </w:r>
          </w:p>
        </w:tc>
      </w:tr>
      <w:tr>
        <w:tc>
          <w:tcPr>
            <w:tcW w:type="dxa" w:w="2016"/>
            <w:vAlign w:val="top"/>
            <w:tcMar>
              <w:top w:w="40" w:type="dxa"/>
              <w:left w:w="40" w:type="dxa"/>
              <w:bottom w:w="40" w:type="dxa"/>
              <w:right w:w="40" w:type="dxa"/>
            </w:tcMar>
          </w:tcPr>
          <w:p>
            <w:pPr>
              <w:spacing w:after="0"/>
            </w:pPr>
            <w:r/>
            <w:r>
              <w:rPr>
                <w:b w:val="0"/>
                <w:sz w:val="16"/>
              </w:rPr>
              <w:t>logs</w:t>
            </w:r>
          </w:p>
        </w:tc>
        <w:tc>
          <w:tcPr>
            <w:tcW w:type="dxa" w:w="1296"/>
            <w:vAlign w:val="top"/>
            <w:tcMar>
              <w:top w:w="40" w:type="dxa"/>
              <w:left w:w="40" w:type="dxa"/>
              <w:bottom w:w="40" w:type="dxa"/>
              <w:right w:w="40" w:type="dxa"/>
            </w:tcMar>
          </w:tcPr>
          <w:p>
            <w:pPr>
              <w:spacing w:after="0"/>
            </w:pPr>
            <w:r/>
            <w:r>
              <w:rPr>
                <w:b w:val="0"/>
                <w:sz w:val="16"/>
              </w:rPr>
              <w:t>3.3%</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14.89x</w:t>
            </w:r>
          </w:p>
        </w:tc>
        <w:tc>
          <w:tcPr>
            <w:tcW w:type="dxa" w:w="1728"/>
            <w:vAlign w:val="top"/>
            <w:tcMar>
              <w:top w:w="40" w:type="dxa"/>
              <w:left w:w="40" w:type="dxa"/>
              <w:bottom w:w="40" w:type="dxa"/>
              <w:right w:w="40" w:type="dxa"/>
            </w:tcMar>
          </w:tcPr>
          <w:p>
            <w:pPr>
              <w:spacing w:after="0"/>
            </w:pPr>
            <w:r/>
            <w:r>
              <w:rPr>
                <w:b w:val="0"/>
                <w:sz w:val="16"/>
              </w:rPr>
              <w:t>18.01x</w:t>
            </w:r>
          </w:p>
        </w:tc>
        <w:tc>
          <w:tcPr>
            <w:tcW w:type="dxa" w:w="1440"/>
            <w:vAlign w:val="top"/>
            <w:tcMar>
              <w:top w:w="40" w:type="dxa"/>
              <w:left w:w="40" w:type="dxa"/>
              <w:bottom w:w="40" w:type="dxa"/>
              <w:right w:w="40" w:type="dxa"/>
            </w:tcMar>
          </w:tcPr>
          <w:p>
            <w:pPr>
              <w:spacing w:after="0"/>
            </w:pPr>
            <w:r/>
            <w:r>
              <w:rPr>
                <w:b w:val="0"/>
                <w:sz w:val="16"/>
              </w:rPr>
              <w:t>-13.89x</w:t>
            </w:r>
          </w:p>
        </w:tc>
      </w:tr>
      <w:tr>
        <w:tc>
          <w:tcPr>
            <w:tcW w:type="dxa" w:w="2016"/>
            <w:vAlign w:val="top"/>
            <w:tcMar>
              <w:top w:w="40" w:type="dxa"/>
              <w:left w:w="40" w:type="dxa"/>
              <w:bottom w:w="40" w:type="dxa"/>
              <w:right w:w="40" w:type="dxa"/>
            </w:tcMar>
          </w:tcPr>
          <w:p>
            <w:pPr>
              <w:spacing w:after="0"/>
            </w:pPr>
            <w:r/>
            <w:r>
              <w:rPr>
                <w:b w:val="0"/>
                <w:sz w:val="16"/>
              </w:rPr>
              <w:t>compressed neg</w:t>
            </w:r>
          </w:p>
        </w:tc>
        <w:tc>
          <w:tcPr>
            <w:tcW w:type="dxa" w:w="1296"/>
            <w:vAlign w:val="top"/>
            <w:tcMar>
              <w:top w:w="40" w:type="dxa"/>
              <w:left w:w="40" w:type="dxa"/>
              <w:bottom w:w="40" w:type="dxa"/>
              <w:right w:w="40" w:type="dxa"/>
            </w:tcMar>
          </w:tcPr>
          <w:p>
            <w:pPr>
              <w:spacing w:after="0"/>
            </w:pPr>
            <w:r/>
            <w:r>
              <w:rPr>
                <w:b w:val="0"/>
                <w:sz w:val="16"/>
              </w:rPr>
              <w:t>0.4%</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1.00x</w:t>
            </w:r>
          </w:p>
        </w:tc>
        <w:tc>
          <w:tcPr>
            <w:tcW w:type="dxa" w:w="1728"/>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release tarballs but change the transfer abstraction: files are treated as object records and chunked independently, modeling registry/CDN object delivery rather than source-tree synchronization. Redis and nginx show positive ReduLink results because many public release objects remain byte-identical across versions; Click is weaker because fewer files are unchanged. ReduLink tracks the idealized fixed-object-reuse baseline within a few percent, and the authenticated variant costs only a few additional percent. This is a stronger external positive signal than a purely synthetic corpus, though it is still a transfer-model experiment rather than a captured production trace.</w:t>
      </w:r>
    </w:p>
    <w:p>
      <w:pPr>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w:t>
      </w:r>
    </w:p>
    <w:p>
      <w:pPr>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11 compares raw and ReduLink stream mapping at zero and periodic datagram loss, and Table 12 reports positive and negative workload cases. ReduLink reconstructs byte-exactly in every case, including the lossy proxy path, and the compressed-negative control correctly yields no gain. Figure 4 plots the workload cases. Because ReduLink writes fewer stream-payload bytes, its UDP-estimated multiplier stays above one on positive workloads even after the IPv4/UDP per-datagram overhead is added.</w:t>
      </w:r>
    </w:p>
    <w:p>
      <w:pPr>
        <w:spacing w:after="40" w:before="120"/>
      </w:pPr>
      <w:r>
        <w:rPr>
          <w:b/>
          <w:sz w:val="18"/>
        </w:rPr>
        <w:t>Table 11.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12.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13 reports three repeated trials of the native demo workload. The multiplier is deterministic for fixed bytes, while elapsed times vary modestly across runs; reporting both avoids cherry-picking a single favorable QUIC run; with only three trials these are run-to-run stability indicators rather than a statistically powered variance estimate. Table 14 then scales the payload from 96 to 1024 blocks: the stream multiplier rises from 3.19x to 3.87x as more reusable chunks accumulate, the miss count grows proportionally with the dictionary warm-up, and reconstruction remains byte-exact at every scale.</w:t>
      </w:r>
    </w:p>
    <w:p>
      <w:pPr>
        <w:spacing w:after="40" w:before="120"/>
      </w:pPr>
      <w:r>
        <w:rPr>
          <w:b/>
          <w:sz w:val="18"/>
        </w:rPr>
        <w:t>Table 13. Repeated native QUIC trials (n = 3):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227.043667</w:t>
            </w:r>
          </w:p>
        </w:tc>
        <w:tc>
          <w:tcPr>
            <w:tcW w:type="dxa" w:w="1440"/>
            <w:vAlign w:val="top"/>
            <w:tcMar>
              <w:top w:w="40" w:type="dxa"/>
              <w:left w:w="40" w:type="dxa"/>
              <w:bottom w:w="40" w:type="dxa"/>
              <w:right w:w="40" w:type="dxa"/>
            </w:tcMar>
          </w:tcPr>
          <w:p>
            <w:pPr>
              <w:spacing w:after="0"/>
            </w:pPr>
            <w:r/>
            <w:r>
              <w:rPr>
                <w:b w:val="0"/>
                <w:sz w:val="14"/>
              </w:rPr>
              <w:t>19.900327</w:t>
            </w:r>
          </w:p>
        </w:tc>
        <w:tc>
          <w:tcPr>
            <w:tcW w:type="dxa" w:w="1440"/>
            <w:vAlign w:val="top"/>
            <w:tcMar>
              <w:top w:w="40" w:type="dxa"/>
              <w:left w:w="40" w:type="dxa"/>
              <w:bottom w:w="40" w:type="dxa"/>
              <w:right w:w="40" w:type="dxa"/>
            </w:tcMar>
          </w:tcPr>
          <w:p>
            <w:pPr>
              <w:spacing w:after="0"/>
            </w:pPr>
            <w:r/>
            <w:r>
              <w:rPr>
                <w:b w:val="0"/>
                <w:sz w:val="14"/>
              </w:rPr>
              <w:t>205.943000</w:t>
            </w:r>
          </w:p>
        </w:tc>
        <w:tc>
          <w:tcPr>
            <w:tcW w:type="dxa" w:w="1440"/>
            <w:vAlign w:val="top"/>
            <w:tcMar>
              <w:top w:w="40" w:type="dxa"/>
              <w:left w:w="40" w:type="dxa"/>
              <w:bottom w:w="40" w:type="dxa"/>
              <w:right w:w="40" w:type="dxa"/>
            </w:tcMar>
          </w:tcPr>
          <w:p>
            <w:pPr>
              <w:spacing w:after="0"/>
            </w:pPr>
            <w:r/>
            <w:r>
              <w:rPr>
                <w:b w:val="0"/>
                <w:sz w:val="14"/>
              </w:rPr>
              <w:t>245.474000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0.000000</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3.189928</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2.578853</w:t>
            </w:r>
          </w:p>
        </w:tc>
        <w:tc>
          <w:tcPr>
            <w:tcW w:type="dxa" w:w="1440"/>
            <w:vAlign w:val="top"/>
            <w:tcMar>
              <w:top w:w="40" w:type="dxa"/>
              <w:left w:w="40" w:type="dxa"/>
              <w:bottom w:w="40" w:type="dxa"/>
              <w:right w:w="40" w:type="dxa"/>
            </w:tcMar>
          </w:tcPr>
          <w:p>
            <w:pPr>
              <w:spacing w:after="0"/>
            </w:pPr>
            <w:r/>
            <w:r>
              <w:rPr>
                <w:b w:val="0"/>
                <w:sz w:val="14"/>
              </w:rPr>
              <w:t>0.003857</w:t>
            </w:r>
          </w:p>
        </w:tc>
        <w:tc>
          <w:tcPr>
            <w:tcW w:type="dxa" w:w="1440"/>
            <w:vAlign w:val="top"/>
            <w:tcMar>
              <w:top w:w="40" w:type="dxa"/>
              <w:left w:w="40" w:type="dxa"/>
              <w:bottom w:w="40" w:type="dxa"/>
              <w:right w:w="40" w:type="dxa"/>
            </w:tcMar>
          </w:tcPr>
          <w:p>
            <w:pPr>
              <w:spacing w:after="0"/>
            </w:pPr>
            <w:r/>
            <w:r>
              <w:rPr>
                <w:b w:val="0"/>
                <w:sz w:val="14"/>
              </w:rPr>
              <w:t>2.574954</w:t>
            </w:r>
          </w:p>
        </w:tc>
        <w:tc>
          <w:tcPr>
            <w:tcW w:type="dxa" w:w="1440"/>
            <w:vAlign w:val="top"/>
            <w:tcMar>
              <w:top w:w="40" w:type="dxa"/>
              <w:left w:w="40" w:type="dxa"/>
              <w:bottom w:w="40" w:type="dxa"/>
              <w:right w:w="40" w:type="dxa"/>
            </w:tcMar>
          </w:tcPr>
          <w:p>
            <w:pPr>
              <w:spacing w:after="0"/>
            </w:pPr>
            <w:r/>
            <w:r>
              <w:rPr>
                <w:b w:val="0"/>
                <w:sz w:val="14"/>
              </w:rPr>
              <w:t>2.582666</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137.076000</w:t>
            </w:r>
          </w:p>
        </w:tc>
        <w:tc>
          <w:tcPr>
            <w:tcW w:type="dxa" w:w="1440"/>
            <w:vAlign w:val="top"/>
            <w:tcMar>
              <w:top w:w="40" w:type="dxa"/>
              <w:left w:w="40" w:type="dxa"/>
              <w:bottom w:w="40" w:type="dxa"/>
              <w:right w:w="40" w:type="dxa"/>
            </w:tcMar>
          </w:tcPr>
          <w:p>
            <w:pPr>
              <w:spacing w:after="0"/>
            </w:pPr>
            <w:r/>
            <w:r>
              <w:rPr>
                <w:b w:val="0"/>
                <w:sz w:val="14"/>
              </w:rPr>
              <w:t>4.472720</w:t>
            </w:r>
          </w:p>
        </w:tc>
        <w:tc>
          <w:tcPr>
            <w:tcW w:type="dxa" w:w="1440"/>
            <w:vAlign w:val="top"/>
            <w:tcMar>
              <w:top w:w="40" w:type="dxa"/>
              <w:left w:w="40" w:type="dxa"/>
              <w:bottom w:w="40" w:type="dxa"/>
              <w:right w:w="40" w:type="dxa"/>
            </w:tcMar>
          </w:tcPr>
          <w:p>
            <w:pPr>
              <w:spacing w:after="0"/>
            </w:pPr>
            <w:r/>
            <w:r>
              <w:rPr>
                <w:b w:val="0"/>
                <w:sz w:val="14"/>
              </w:rPr>
              <w:t>131.991000</w:t>
            </w:r>
          </w:p>
        </w:tc>
        <w:tc>
          <w:tcPr>
            <w:tcW w:type="dxa" w:w="1440"/>
            <w:vAlign w:val="top"/>
            <w:tcMar>
              <w:top w:w="40" w:type="dxa"/>
              <w:left w:w="40" w:type="dxa"/>
              <w:bottom w:w="40" w:type="dxa"/>
              <w:right w:w="40" w:type="dxa"/>
            </w:tcMar>
          </w:tcPr>
          <w:p>
            <w:pPr>
              <w:spacing w:after="0"/>
            </w:pPr>
            <w:r/>
            <w:r>
              <w:rPr>
                <w:b w:val="0"/>
                <w:sz w:val="14"/>
              </w:rPr>
              <w:t>140.401000</w:t>
            </w:r>
          </w:p>
        </w:tc>
      </w:tr>
    </w:tbl>
    <w:p/>
    <w:p>
      <w:pPr>
        <w:spacing w:after="40" w:before="120"/>
      </w:pPr>
      <w:r>
        <w:rPr>
          <w:b/>
          <w:sz w:val="18"/>
        </w:rPr>
        <w:t>Table 14. Payload scaling of the native aioquic stream mapping.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440"/>
            <w:vAlign w:val="top"/>
            <w:tcMar>
              <w:top w:w="40" w:type="dxa"/>
              <w:left w:w="40" w:type="dxa"/>
              <w:bottom w:w="40" w:type="dxa"/>
              <w:right w:w="40" w:type="dxa"/>
            </w:tcMar>
          </w:tcPr>
          <w:p>
            <w:pPr>
              <w:spacing w:after="0"/>
            </w:pPr>
            <w:r/>
            <w:r>
              <w:rPr>
                <w:b/>
                <w:sz w:val="16"/>
              </w:rPr>
              <w:t>Blocks</w:t>
            </w:r>
          </w:p>
        </w:tc>
        <w:tc>
          <w:tcPr>
            <w:tcW w:type="dxa" w:w="1728"/>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Misses</w:t>
            </w:r>
          </w:p>
        </w:tc>
        <w:tc>
          <w:tcPr>
            <w:tcW w:type="dxa" w:w="1440"/>
            <w:vAlign w:val="top"/>
            <w:tcMar>
              <w:top w:w="40" w:type="dxa"/>
              <w:left w:w="40" w:type="dxa"/>
              <w:bottom w:w="40" w:type="dxa"/>
              <w:right w:w="40" w:type="dxa"/>
            </w:tcMar>
          </w:tcPr>
          <w:p>
            <w:pPr>
              <w:spacing w:after="0"/>
            </w:pPr>
            <w:r/>
            <w:r>
              <w:rPr>
                <w:b/>
                <w:sz w:val="16"/>
              </w:rPr>
              <w:t>Client ms</w:t>
            </w:r>
          </w:p>
        </w:tc>
        <w:tc>
          <w:tcPr>
            <w:tcW w:type="dxa" w:w="1152"/>
            <w:vAlign w:val="top"/>
            <w:tcMar>
              <w:top w:w="40" w:type="dxa"/>
              <w:left w:w="40" w:type="dxa"/>
              <w:bottom w:w="40" w:type="dxa"/>
              <w:right w:w="40" w:type="dxa"/>
            </w:tcMar>
          </w:tcPr>
          <w:p>
            <w:pPr>
              <w:spacing w:after="0"/>
            </w:pPr>
            <w:r/>
            <w:r>
              <w:rPr>
                <w:b/>
                <w:sz w:val="16"/>
              </w:rPr>
              <w:t>Recon.</w:t>
            </w:r>
          </w:p>
        </w:tc>
      </w:tr>
      <w:tr>
        <w:tc>
          <w:tcPr>
            <w:tcW w:type="dxa" w:w="1440"/>
            <w:vAlign w:val="top"/>
            <w:tcMar>
              <w:top w:w="40" w:type="dxa"/>
              <w:left w:w="40" w:type="dxa"/>
              <w:bottom w:w="40" w:type="dxa"/>
              <w:right w:w="40" w:type="dxa"/>
            </w:tcMar>
          </w:tcPr>
          <w:p>
            <w:pPr>
              <w:spacing w:after="0"/>
            </w:pPr>
            <w:r/>
            <w:r>
              <w:rPr>
                <w:b w:val="0"/>
                <w:sz w:val="16"/>
              </w:rPr>
              <w:t>96</w:t>
            </w:r>
          </w:p>
        </w:tc>
        <w:tc>
          <w:tcPr>
            <w:tcW w:type="dxa" w:w="1728"/>
            <w:vAlign w:val="top"/>
            <w:tcMar>
              <w:top w:w="40" w:type="dxa"/>
              <w:left w:w="40" w:type="dxa"/>
              <w:bottom w:w="40" w:type="dxa"/>
              <w:right w:w="40" w:type="dxa"/>
            </w:tcMar>
          </w:tcPr>
          <w:p>
            <w:pPr>
              <w:spacing w:after="0"/>
            </w:pPr>
            <w:r/>
            <w:r>
              <w:rPr>
                <w:b w:val="0"/>
                <w:sz w:val="16"/>
              </w:rPr>
              <w:t>98,304</w:t>
            </w:r>
          </w:p>
        </w:tc>
        <w:tc>
          <w:tcPr>
            <w:tcW w:type="dxa" w:w="1440"/>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13</w:t>
            </w:r>
          </w:p>
        </w:tc>
        <w:tc>
          <w:tcPr>
            <w:tcW w:type="dxa" w:w="1440"/>
            <w:vAlign w:val="top"/>
            <w:tcMar>
              <w:top w:w="40" w:type="dxa"/>
              <w:left w:w="40" w:type="dxa"/>
              <w:bottom w:w="40" w:type="dxa"/>
              <w:right w:w="40" w:type="dxa"/>
            </w:tcMar>
          </w:tcPr>
          <w:p>
            <w:pPr>
              <w:spacing w:after="0"/>
            </w:pPr>
            <w:r/>
            <w:r>
              <w:rPr>
                <w:b w:val="0"/>
                <w:sz w:val="16"/>
              </w:rPr>
              <w:t>124.0</w:t>
            </w:r>
          </w:p>
        </w:tc>
        <w:tc>
          <w:tcPr>
            <w:tcW w:type="dxa" w:w="1152"/>
            <w:vAlign w:val="top"/>
            <w:tcMar>
              <w:top w:w="40" w:type="dxa"/>
              <w:left w:w="40" w:type="dxa"/>
              <w:bottom w:w="40" w:type="dxa"/>
              <w:right w:w="40" w:type="dxa"/>
            </w:tcMar>
          </w:tcPr>
          <w:p>
            <w:pPr>
              <w:spacing w:after="0"/>
            </w:pPr>
            <w:r/>
            <w:r>
              <w:rPr>
                <w:b w:val="0"/>
                <w:sz w:val="16"/>
              </w:rPr>
              <w:t>OK</w:t>
            </w:r>
          </w:p>
        </w:tc>
      </w:tr>
      <w:tr>
        <w:tc>
          <w:tcPr>
            <w:tcW w:type="dxa" w:w="1440"/>
            <w:vAlign w:val="top"/>
            <w:tcMar>
              <w:top w:w="40" w:type="dxa"/>
              <w:left w:w="40" w:type="dxa"/>
              <w:bottom w:w="40" w:type="dxa"/>
              <w:right w:w="40" w:type="dxa"/>
            </w:tcMar>
          </w:tcPr>
          <w:p>
            <w:pPr>
              <w:spacing w:after="0"/>
            </w:pPr>
            <w:r/>
            <w:r>
              <w:rPr>
                <w:b w:val="0"/>
                <w:sz w:val="16"/>
              </w:rPr>
              <w:t>512</w:t>
            </w:r>
          </w:p>
        </w:tc>
        <w:tc>
          <w:tcPr>
            <w:tcW w:type="dxa" w:w="1728"/>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3.77x</w:t>
            </w:r>
          </w:p>
        </w:tc>
        <w:tc>
          <w:tcPr>
            <w:tcW w:type="dxa" w:w="1296"/>
            <w:vAlign w:val="top"/>
            <w:tcMar>
              <w:top w:w="40" w:type="dxa"/>
              <w:left w:w="40" w:type="dxa"/>
              <w:bottom w:w="40" w:type="dxa"/>
              <w:right w:w="40" w:type="dxa"/>
            </w:tcMar>
          </w:tcPr>
          <w:p>
            <w:pPr>
              <w:spacing w:after="0"/>
            </w:pPr>
            <w:r/>
            <w:r>
              <w:rPr>
                <w:b w:val="0"/>
                <w:sz w:val="16"/>
              </w:rPr>
              <w:t>73</w:t>
            </w:r>
          </w:p>
        </w:tc>
        <w:tc>
          <w:tcPr>
            <w:tcW w:type="dxa" w:w="1440"/>
            <w:vAlign w:val="top"/>
            <w:tcMar>
              <w:top w:w="40" w:type="dxa"/>
              <w:left w:w="40" w:type="dxa"/>
              <w:bottom w:w="40" w:type="dxa"/>
              <w:right w:w="40" w:type="dxa"/>
            </w:tcMar>
          </w:tcPr>
          <w:p>
            <w:pPr>
              <w:spacing w:after="0"/>
            </w:pPr>
            <w:r/>
            <w:r>
              <w:rPr>
                <w:b w:val="0"/>
                <w:sz w:val="16"/>
              </w:rPr>
              <w:t>192.9</w:t>
            </w:r>
          </w:p>
        </w:tc>
        <w:tc>
          <w:tcPr>
            <w:tcW w:type="dxa" w:w="1152"/>
            <w:vAlign w:val="top"/>
            <w:tcMar>
              <w:top w:w="40" w:type="dxa"/>
              <w:left w:w="40" w:type="dxa"/>
              <w:bottom w:w="40" w:type="dxa"/>
              <w:right w:w="40" w:type="dxa"/>
            </w:tcMar>
          </w:tcPr>
          <w:p>
            <w:pPr>
              <w:spacing w:after="0"/>
            </w:pPr>
            <w:r/>
            <w:r>
              <w:rPr>
                <w:b w:val="0"/>
                <w:sz w:val="16"/>
              </w:rPr>
              <w:t>OK</w:t>
            </w:r>
          </w:p>
        </w:tc>
      </w:tr>
      <w:tr>
        <w:tc>
          <w:tcPr>
            <w:tcW w:type="dxa" w:w="1440"/>
            <w:vAlign w:val="top"/>
            <w:tcMar>
              <w:top w:w="40" w:type="dxa"/>
              <w:left w:w="40" w:type="dxa"/>
              <w:bottom w:w="40" w:type="dxa"/>
              <w:right w:w="40" w:type="dxa"/>
            </w:tcMar>
          </w:tcPr>
          <w:p>
            <w:pPr>
              <w:spacing w:after="0"/>
            </w:pPr>
            <w:r/>
            <w:r>
              <w:rPr>
                <w:b w:val="0"/>
                <w:sz w:val="16"/>
              </w:rPr>
              <w:t>1024</w:t>
            </w:r>
          </w:p>
        </w:tc>
        <w:tc>
          <w:tcPr>
            <w:tcW w:type="dxa" w:w="1728"/>
            <w:vAlign w:val="top"/>
            <w:tcMar>
              <w:top w:w="40" w:type="dxa"/>
              <w:left w:w="40" w:type="dxa"/>
              <w:bottom w:w="40" w:type="dxa"/>
              <w:right w:w="40" w:type="dxa"/>
            </w:tcMar>
          </w:tcPr>
          <w:p>
            <w:pPr>
              <w:spacing w:after="0"/>
            </w:pPr>
            <w:r/>
            <w:r>
              <w:rPr>
                <w:b w:val="0"/>
                <w:sz w:val="16"/>
              </w:rPr>
              <w:t>1,048,576</w:t>
            </w:r>
          </w:p>
        </w:tc>
        <w:tc>
          <w:tcPr>
            <w:tcW w:type="dxa" w:w="1440"/>
            <w:vAlign w:val="top"/>
            <w:tcMar>
              <w:top w:w="40" w:type="dxa"/>
              <w:left w:w="40" w:type="dxa"/>
              <w:bottom w:w="40" w:type="dxa"/>
              <w:right w:w="40" w:type="dxa"/>
            </w:tcMar>
          </w:tcPr>
          <w:p>
            <w:pPr>
              <w:spacing w:after="0"/>
            </w:pPr>
            <w:r/>
            <w:r>
              <w:rPr>
                <w:b w:val="0"/>
                <w:sz w:val="16"/>
              </w:rPr>
              <w:t>3.87x</w:t>
            </w:r>
          </w:p>
        </w:tc>
        <w:tc>
          <w:tcPr>
            <w:tcW w:type="dxa" w:w="1296"/>
            <w:vAlign w:val="top"/>
            <w:tcMar>
              <w:top w:w="40" w:type="dxa"/>
              <w:left w:w="40" w:type="dxa"/>
              <w:bottom w:w="40" w:type="dxa"/>
              <w:right w:w="40" w:type="dxa"/>
            </w:tcMar>
          </w:tcPr>
          <w:p>
            <w:pPr>
              <w:spacing w:after="0"/>
            </w:pPr>
            <w:r/>
            <w:r>
              <w:rPr>
                <w:b w:val="0"/>
                <w:sz w:val="16"/>
              </w:rPr>
              <w:t>146</w:t>
            </w:r>
          </w:p>
        </w:tc>
        <w:tc>
          <w:tcPr>
            <w:tcW w:type="dxa" w:w="1440"/>
            <w:vAlign w:val="top"/>
            <w:tcMar>
              <w:top w:w="40" w:type="dxa"/>
              <w:left w:w="40" w:type="dxa"/>
              <w:bottom w:w="40" w:type="dxa"/>
              <w:right w:w="40" w:type="dxa"/>
            </w:tcMar>
          </w:tcPr>
          <w:p>
            <w:pPr>
              <w:spacing w:after="0"/>
            </w:pPr>
            <w:r/>
            <w:r>
              <w:rPr>
                <w:b w:val="0"/>
                <w:sz w:val="16"/>
              </w:rPr>
              <w:t>260.4</w:t>
            </w:r>
          </w:p>
        </w:tc>
        <w:tc>
          <w:tcPr>
            <w:tcW w:type="dxa" w:w="1152"/>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9. Component Costs</w:t>
      </w:r>
    </w:p>
    <w:p>
      <w:pPr>
        <w:spacing w:after="80" w:before="0"/>
      </w:pPr>
      <w:r>
        <w:rPr>
          <w:sz w:val="20"/>
        </w:rPr>
        <w:t>Table 15 reports component-level throughput on the reference host. Fixed chunking, HMAC validation, and compact binary encoding are fast; the Python content-defined chunker is slow and is explicitly not production line-rate evidence. A production implementation would require optimized native chunking and tighter integration with the transport stack. As noted in Section 5, these throughputs are hardware-dependent component costs, not portable guarantees.</w:t>
      </w:r>
    </w:p>
    <w:p>
      <w:pPr>
        <w:spacing w:after="40" w:before="120"/>
      </w:pPr>
      <w:r>
        <w:rPr>
          <w:b/>
          <w:sz w:val="18"/>
        </w:rPr>
        <w:t>Table 15.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Fairness and Accounting</w:t>
      </w:r>
    </w:p>
    <w:p>
      <w:pPr>
        <w:spacing w:after="80" w:before="0"/>
      </w:pPr>
      <w:r>
        <w:rPr>
          <w:sz w:val="20"/>
        </w:rPr>
        <w:t>The central fairness rule is that ReduLink must not receive congestion credit for reconstructed bytes: congestion control and bottleneck service account encoded wire bytes only. Table 16 reports the wire-byte accounting experiment, in which ReduLink's encoded wire share is 0.083 against the raw stream's 0.917 over 16 rounds, while still reconstructing the same application bytes; the effective application multiplier on that 48 KiB wire-accounting fixture is 10.72x. This confirms that the savings appear as fewer encoded bytes, which is the only place a fair transport should credit them.</w:t>
      </w:r>
    </w:p>
    <w:p>
      <w:pPr>
        <w:spacing w:after="40" w:before="120"/>
      </w:pPr>
      <w:r>
        <w:rPr>
          <w:b/>
          <w:sz w:val="18"/>
        </w:rPr>
        <w:t>Table 16.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17 reports a concurrent competing-flow smoke test in which a raw QUIC flow and a ReduLink flow share a localhost schedule. Jain's fairness index on encoded rates is 0.919 and on reconstructed rates is 0.914, with all flows reconstructing correctly; this is a two-round localhost smoke test, not a congestion-control study. Table 18 is an analytic illustration rather than a measurement: it applies a closed-form fluid model, completion time approximately equal to encoded_bytes times 8 divided by rate, plus two times RTT, to the measured encoded byte counts. Because ReduLink encodes fewer bytes, the model yields a lower completion time and therefore a higher implied application rate at the same encoded fair share; for example at 25 Mbps and 10 ms the model gives 29.7 ms versus 51.3 ms for raw. This advantage is arithmetic, a direct consequence of sending fewer encoded bytes, and is not evidence of fair coexistence under a real congestion controller; the modeled benefit narrows on the RTT-bound 50 ms rows, where latency rather than encoded volume dominates.</w:t>
      </w:r>
    </w:p>
    <w:p>
      <w:pPr>
        <w:spacing w:after="40" w:before="120"/>
      </w:pPr>
      <w:r>
        <w:rPr>
          <w:b/>
          <w:sz w:val="18"/>
        </w:rPr>
        <w:t>Table 17. Concurrent competing-flow smoke test (Jain fairness index).</w:t>
      </w:r>
    </w:p>
    <w:tbl>
      <w:tblPr>
        <w:tblStyle w:val="TableGrid"/>
        <w:tblW w:type="auto" w:w="0"/>
        <w:jc w:val="center"/>
        <w:tblLook w:firstColumn="1" w:firstRow="1" w:lastColumn="0" w:lastRow="0" w:noHBand="0" w:noVBand="1" w:val="04A0"/>
      </w:tblPr>
      <w:tblGrid>
        <w:gridCol w:w="5256"/>
        <w:gridCol w:w="5256"/>
      </w:tblGrid>
      <w:t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2 concurrent rounds, ~25.0 Mbps hint, loss every 9</w:t>
            </w:r>
          </w:p>
        </w:tc>
      </w:tr>
      <w:tr>
        <w:tc>
          <w:tcPr>
            <w:tcW w:type="dxa" w:w="3456"/>
            <w:vAlign w:val="top"/>
            <w:tcMar>
              <w:top w:w="40" w:type="dxa"/>
              <w:left w:w="40" w:type="dxa"/>
              <w:bottom w:w="40" w:type="dxa"/>
              <w:right w:w="40" w:type="dxa"/>
            </w:tcMar>
          </w:tcPr>
          <w:p>
            <w:pPr>
              <w:spacing w:after="0"/>
            </w:pPr>
            <w:r/>
            <w:r>
              <w:rPr>
                <w:b w:val="0"/>
                <w:sz w:val="16"/>
              </w:rPr>
              <w:t>Encoded-rate Jain index</w:t>
            </w:r>
          </w:p>
        </w:tc>
        <w:tc>
          <w:tcPr>
            <w:tcW w:type="dxa" w:w="4896"/>
            <w:vAlign w:val="top"/>
            <w:tcMar>
              <w:top w:w="40" w:type="dxa"/>
              <w:left w:w="40" w:type="dxa"/>
              <w:bottom w:w="40" w:type="dxa"/>
              <w:right w:w="40" w:type="dxa"/>
            </w:tcMar>
          </w:tcPr>
          <w:p>
            <w:pPr>
              <w:spacing w:after="0"/>
            </w:pPr>
            <w:r/>
            <w:r>
              <w:rPr>
                <w:b w:val="0"/>
                <w:sz w:val="16"/>
              </w:rPr>
              <w:t>0.919</w:t>
            </w:r>
          </w:p>
        </w:tc>
      </w:tr>
      <w:tr>
        <w:tc>
          <w:tcPr>
            <w:tcW w:type="dxa" w:w="3456"/>
            <w:vAlign w:val="top"/>
            <w:tcMar>
              <w:top w:w="40" w:type="dxa"/>
              <w:left w:w="40" w:type="dxa"/>
              <w:bottom w:w="40" w:type="dxa"/>
              <w:right w:w="40" w:type="dxa"/>
            </w:tcMar>
          </w:tcPr>
          <w:p>
            <w:pPr>
              <w:spacing w:after="0"/>
            </w:pPr>
            <w:r/>
            <w:r>
              <w:rPr>
                <w:b w:val="0"/>
                <w:sz w:val="16"/>
              </w:rPr>
              <w:t>Reconstructed-rate Jain index</w:t>
            </w:r>
          </w:p>
        </w:tc>
        <w:tc>
          <w:tcPr>
            <w:tcW w:type="dxa" w:w="4896"/>
            <w:vAlign w:val="top"/>
            <w:tcMar>
              <w:top w:w="40" w:type="dxa"/>
              <w:left w:w="40" w:type="dxa"/>
              <w:bottom w:w="40" w:type="dxa"/>
              <w:right w:w="40" w:type="dxa"/>
            </w:tcMar>
          </w:tcPr>
          <w:p>
            <w:pPr>
              <w:spacing w:after="0"/>
            </w:pPr>
            <w:r/>
            <w:r>
              <w:rPr>
                <w:b w:val="0"/>
                <w:sz w:val="16"/>
              </w:rPr>
              <w:t>0.914</w:t>
            </w:r>
          </w:p>
        </w:tc>
      </w:tr>
      <w:t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localhost concurrent smoke test, not a full congestion-control study</w:t>
            </w:r>
          </w:p>
        </w:tc>
      </w:tr>
    </w:tbl>
    <w:p/>
    <w:p>
      <w:pPr>
        <w:spacing w:after="40" w:before="120"/>
      </w:pPr>
      <w:r>
        <w:rPr>
          <w:b/>
          <w:sz w:val="18"/>
        </w:rPr>
        <w:t>Table 18. Analytic fluid-model completion times and implied application rates from measured encoded stream bytes (raw versus ReduLink); computed, not measured.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728"/>
            <w:vAlign w:val="top"/>
            <w:tcMar>
              <w:top w:w="40" w:type="dxa"/>
              <w:left w:w="40" w:type="dxa"/>
              <w:bottom w:w="40" w:type="dxa"/>
              <w:right w:w="40" w:type="dxa"/>
            </w:tcMar>
          </w:tcPr>
          <w:p>
            <w:pPr>
              <w:spacing w:after="0"/>
            </w:pPr>
            <w:r/>
            <w:r>
              <w:rPr>
                <w:b/>
                <w:sz w:val="14"/>
              </w:rPr>
              <w:t>Raw compl. ms (model)</w:t>
            </w:r>
          </w:p>
        </w:tc>
        <w:tc>
          <w:tcPr>
            <w:tcW w:type="dxa" w:w="1728"/>
            <w:vAlign w:val="top"/>
            <w:tcMar>
              <w:top w:w="40" w:type="dxa"/>
              <w:left w:w="40" w:type="dxa"/>
              <w:bottom w:w="40" w:type="dxa"/>
              <w:right w:w="40" w:type="dxa"/>
            </w:tcMar>
          </w:tcPr>
          <w:p>
            <w:pPr>
              <w:spacing w:after="0"/>
            </w:pPr>
            <w:r/>
            <w:r>
              <w:rPr>
                <w:b/>
                <w:sz w:val="14"/>
              </w:rPr>
              <w:t>RL compl. ms (model)</w:t>
            </w:r>
          </w:p>
        </w:tc>
        <w:tc>
          <w:tcPr>
            <w:tcW w:type="dxa" w:w="1872"/>
            <w:vAlign w:val="top"/>
            <w:tcMar>
              <w:top w:w="40" w:type="dxa"/>
              <w:left w:w="40" w:type="dxa"/>
              <w:bottom w:w="40" w:type="dxa"/>
              <w:right w:w="40" w:type="dxa"/>
            </w:tcMar>
          </w:tcPr>
          <w:p>
            <w:pPr>
              <w:spacing w:after="0"/>
            </w:pPr>
            <w:r/>
            <w:r>
              <w:rPr>
                <w:b/>
                <w:sz w:val="14"/>
              </w:rPr>
              <w:t>Raw app rate Mbps (model)</w:t>
            </w:r>
          </w:p>
        </w:tc>
        <w:tc>
          <w:tcPr>
            <w:tcW w:type="dxa" w:w="1872"/>
            <w:vAlign w:val="top"/>
            <w:tcMar>
              <w:top w:w="40" w:type="dxa"/>
              <w:left w:w="40" w:type="dxa"/>
              <w:bottom w:w="40" w:type="dxa"/>
              <w:right w:w="40" w:type="dxa"/>
            </w:tcMar>
          </w:tcPr>
          <w:p>
            <w:pPr>
              <w:spacing w:after="0"/>
            </w:pPr>
            <w:r/>
            <w:r>
              <w:rPr>
                <w:b/>
                <w:sz w:val="14"/>
              </w:rPr>
              <w:t>RL app rate Mbps (model)</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113.3</w:t>
            </w:r>
          </w:p>
        </w:tc>
        <w:tc>
          <w:tcPr>
            <w:tcW w:type="dxa" w:w="1728"/>
            <w:vAlign w:val="top"/>
            <w:tcMar>
              <w:top w:w="40" w:type="dxa"/>
              <w:left w:w="40" w:type="dxa"/>
              <w:bottom w:w="40" w:type="dxa"/>
              <w:right w:w="40" w:type="dxa"/>
            </w:tcMar>
          </w:tcPr>
          <w:p>
            <w:pPr>
              <w:spacing w:after="0"/>
            </w:pPr>
            <w:r/>
            <w:r>
              <w:rPr>
                <w:b w:val="0"/>
                <w:sz w:val="14"/>
              </w:rPr>
              <w:t>59.3</w:t>
            </w:r>
          </w:p>
        </w:tc>
        <w:tc>
          <w:tcPr>
            <w:tcW w:type="dxa" w:w="1872"/>
            <w:vAlign w:val="top"/>
            <w:tcMar>
              <w:top w:w="40" w:type="dxa"/>
              <w:left w:w="40" w:type="dxa"/>
              <w:bottom w:w="40" w:type="dxa"/>
              <w:right w:w="40" w:type="dxa"/>
            </w:tcMar>
          </w:tcPr>
          <w:p>
            <w:pPr>
              <w:spacing w:after="0"/>
            </w:pPr>
            <w:r/>
            <w:r>
              <w:rPr>
                <w:b w:val="0"/>
                <w:sz w:val="14"/>
              </w:rPr>
              <w:t>6.9</w:t>
            </w:r>
          </w:p>
        </w:tc>
        <w:tc>
          <w:tcPr>
            <w:tcW w:type="dxa" w:w="1872"/>
            <w:vAlign w:val="top"/>
            <w:tcMar>
              <w:top w:w="40" w:type="dxa"/>
              <w:left w:w="40" w:type="dxa"/>
              <w:bottom w:w="40" w:type="dxa"/>
              <w:right w:w="40" w:type="dxa"/>
            </w:tcMar>
          </w:tcPr>
          <w:p>
            <w:pPr>
              <w:spacing w:after="0"/>
            </w:pPr>
            <w:r/>
            <w:r>
              <w:rPr>
                <w:b w:val="0"/>
                <w:sz w:val="14"/>
              </w:rPr>
              <w:t>13.3</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153.3</w:t>
            </w:r>
          </w:p>
        </w:tc>
        <w:tc>
          <w:tcPr>
            <w:tcW w:type="dxa" w:w="1728"/>
            <w:vAlign w:val="top"/>
            <w:tcMar>
              <w:top w:w="40" w:type="dxa"/>
              <w:left w:w="40" w:type="dxa"/>
              <w:bottom w:w="40" w:type="dxa"/>
              <w:right w:w="40" w:type="dxa"/>
            </w:tcMar>
          </w:tcPr>
          <w:p>
            <w:pPr>
              <w:spacing w:after="0"/>
            </w:pPr>
            <w:r/>
            <w:r>
              <w:rPr>
                <w:b w:val="0"/>
                <w:sz w:val="14"/>
              </w:rPr>
              <w:t>99.3</w:t>
            </w:r>
          </w:p>
        </w:tc>
        <w:tc>
          <w:tcPr>
            <w:tcW w:type="dxa" w:w="1872"/>
            <w:vAlign w:val="top"/>
            <w:tcMar>
              <w:top w:w="40" w:type="dxa"/>
              <w:left w:w="40" w:type="dxa"/>
              <w:bottom w:w="40" w:type="dxa"/>
              <w:right w:w="40" w:type="dxa"/>
            </w:tcMar>
          </w:tcPr>
          <w:p>
            <w:pPr>
              <w:spacing w:after="0"/>
            </w:pPr>
            <w:r/>
            <w:r>
              <w:rPr>
                <w:b w:val="0"/>
                <w:sz w:val="14"/>
              </w:rPr>
              <w:t>5.1</w:t>
            </w:r>
          </w:p>
        </w:tc>
        <w:tc>
          <w:tcPr>
            <w:tcW w:type="dxa" w:w="1872"/>
            <w:vAlign w:val="top"/>
            <w:tcMar>
              <w:top w:w="40" w:type="dxa"/>
              <w:left w:w="40" w:type="dxa"/>
              <w:bottom w:w="40" w:type="dxa"/>
              <w:right w:w="40" w:type="dxa"/>
            </w:tcMar>
          </w:tcPr>
          <w:p>
            <w:pPr>
              <w:spacing w:after="0"/>
            </w:pPr>
            <w:r/>
            <w:r>
              <w:rPr>
                <w:b w:val="0"/>
                <w:sz w:val="14"/>
              </w:rPr>
              <w:t>7.9</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51.3</w:t>
            </w:r>
          </w:p>
        </w:tc>
        <w:tc>
          <w:tcPr>
            <w:tcW w:type="dxa" w:w="1728"/>
            <w:vAlign w:val="top"/>
            <w:tcMar>
              <w:top w:w="40" w:type="dxa"/>
              <w:left w:w="40" w:type="dxa"/>
              <w:bottom w:w="40" w:type="dxa"/>
              <w:right w:w="40" w:type="dxa"/>
            </w:tcMar>
          </w:tcPr>
          <w:p>
            <w:pPr>
              <w:spacing w:after="0"/>
            </w:pPr>
            <w:r/>
            <w:r>
              <w:rPr>
                <w:b w:val="0"/>
                <w:sz w:val="14"/>
              </w:rPr>
              <w:t>29.7</w:t>
            </w:r>
          </w:p>
        </w:tc>
        <w:tc>
          <w:tcPr>
            <w:tcW w:type="dxa" w:w="1872"/>
            <w:vAlign w:val="top"/>
            <w:tcMar>
              <w:top w:w="40" w:type="dxa"/>
              <w:left w:w="40" w:type="dxa"/>
              <w:bottom w:w="40" w:type="dxa"/>
              <w:right w:w="40" w:type="dxa"/>
            </w:tcMar>
          </w:tcPr>
          <w:p>
            <w:pPr>
              <w:spacing w:after="0"/>
            </w:pPr>
            <w:r/>
            <w:r>
              <w:rPr>
                <w:b w:val="0"/>
                <w:sz w:val="14"/>
              </w:rPr>
              <w:t>15.3</w:t>
            </w:r>
          </w:p>
        </w:tc>
        <w:tc>
          <w:tcPr>
            <w:tcW w:type="dxa" w:w="1872"/>
            <w:vAlign w:val="top"/>
            <w:tcMar>
              <w:top w:w="40" w:type="dxa"/>
              <w:left w:w="40" w:type="dxa"/>
              <w:bottom w:w="40" w:type="dxa"/>
              <w:right w:w="40" w:type="dxa"/>
            </w:tcMar>
          </w:tcPr>
          <w:p>
            <w:pPr>
              <w:spacing w:after="0"/>
            </w:pPr>
            <w:r/>
            <w:r>
              <w:rPr>
                <w:b w:val="0"/>
                <w:sz w:val="14"/>
              </w:rPr>
              <w:t>26.5</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91.3</w:t>
            </w:r>
          </w:p>
        </w:tc>
        <w:tc>
          <w:tcPr>
            <w:tcW w:type="dxa" w:w="1728"/>
            <w:vAlign w:val="top"/>
            <w:tcMar>
              <w:top w:w="40" w:type="dxa"/>
              <w:left w:w="40" w:type="dxa"/>
              <w:bottom w:w="40" w:type="dxa"/>
              <w:right w:w="40" w:type="dxa"/>
            </w:tcMar>
          </w:tcPr>
          <w:p>
            <w:pPr>
              <w:spacing w:after="0"/>
            </w:pPr>
            <w:r/>
            <w:r>
              <w:rPr>
                <w:b w:val="0"/>
                <w:sz w:val="14"/>
              </w:rPr>
              <w:t>69.7</w:t>
            </w:r>
          </w:p>
        </w:tc>
        <w:tc>
          <w:tcPr>
            <w:tcW w:type="dxa" w:w="1872"/>
            <w:vAlign w:val="top"/>
            <w:tcMar>
              <w:top w:w="40" w:type="dxa"/>
              <w:left w:w="40" w:type="dxa"/>
              <w:bottom w:w="40" w:type="dxa"/>
              <w:right w:w="40" w:type="dxa"/>
            </w:tcMar>
          </w:tcPr>
          <w:p>
            <w:pPr>
              <w:spacing w:after="0"/>
            </w:pPr>
            <w:r/>
            <w:r>
              <w:rPr>
                <w:b w:val="0"/>
                <w:sz w:val="14"/>
              </w:rPr>
              <w:t>8.6</w:t>
            </w:r>
          </w:p>
        </w:tc>
        <w:tc>
          <w:tcPr>
            <w:tcW w:type="dxa" w:w="1872"/>
            <w:vAlign w:val="top"/>
            <w:tcMar>
              <w:top w:w="40" w:type="dxa"/>
              <w:left w:w="40" w:type="dxa"/>
              <w:bottom w:w="40" w:type="dxa"/>
              <w:right w:w="40" w:type="dxa"/>
            </w:tcMar>
          </w:tcPr>
          <w:p>
            <w:pPr>
              <w:spacing w:after="0"/>
            </w:pPr>
            <w:r/>
            <w:r>
              <w:rPr>
                <w:b w:val="0"/>
                <w:sz w:val="14"/>
              </w:rPr>
              <w:t>11.3</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20.3</w:t>
            </w:r>
          </w:p>
        </w:tc>
        <w:tc>
          <w:tcPr>
            <w:tcW w:type="dxa" w:w="1728"/>
            <w:vAlign w:val="top"/>
            <w:tcMar>
              <w:top w:w="40" w:type="dxa"/>
              <w:left w:w="40" w:type="dxa"/>
              <w:bottom w:w="40" w:type="dxa"/>
              <w:right w:w="40" w:type="dxa"/>
            </w:tcMar>
          </w:tcPr>
          <w:p>
            <w:pPr>
              <w:spacing w:after="0"/>
            </w:pPr>
            <w:r/>
            <w:r>
              <w:rPr>
                <w:b w:val="0"/>
                <w:sz w:val="14"/>
              </w:rPr>
              <w:t>14.9</w:t>
            </w:r>
          </w:p>
        </w:tc>
        <w:tc>
          <w:tcPr>
            <w:tcW w:type="dxa" w:w="1872"/>
            <w:vAlign w:val="top"/>
            <w:tcMar>
              <w:top w:w="40" w:type="dxa"/>
              <w:left w:w="40" w:type="dxa"/>
              <w:bottom w:w="40" w:type="dxa"/>
              <w:right w:w="40" w:type="dxa"/>
            </w:tcMar>
          </w:tcPr>
          <w:p>
            <w:pPr>
              <w:spacing w:after="0"/>
            </w:pPr>
            <w:r/>
            <w:r>
              <w:rPr>
                <w:b w:val="0"/>
                <w:sz w:val="14"/>
              </w:rPr>
              <w:t>38.7</w:t>
            </w:r>
          </w:p>
        </w:tc>
        <w:tc>
          <w:tcPr>
            <w:tcW w:type="dxa" w:w="1872"/>
            <w:vAlign w:val="top"/>
            <w:tcMar>
              <w:top w:w="40" w:type="dxa"/>
              <w:left w:w="40" w:type="dxa"/>
              <w:bottom w:w="40" w:type="dxa"/>
              <w:right w:w="40" w:type="dxa"/>
            </w:tcMar>
          </w:tcPr>
          <w:p>
            <w:pPr>
              <w:spacing w:after="0"/>
            </w:pPr>
            <w:r/>
            <w:r>
              <w:rPr>
                <w:b w:val="0"/>
                <w:sz w:val="14"/>
              </w:rPr>
              <w:t>52.7</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60.3</w:t>
            </w:r>
          </w:p>
        </w:tc>
        <w:tc>
          <w:tcPr>
            <w:tcW w:type="dxa" w:w="1728"/>
            <w:vAlign w:val="top"/>
            <w:tcMar>
              <w:top w:w="40" w:type="dxa"/>
              <w:left w:w="40" w:type="dxa"/>
              <w:bottom w:w="40" w:type="dxa"/>
              <w:right w:w="40" w:type="dxa"/>
            </w:tcMar>
          </w:tcPr>
          <w:p>
            <w:pPr>
              <w:spacing w:after="0"/>
            </w:pPr>
            <w:r/>
            <w:r>
              <w:rPr>
                <w:b w:val="0"/>
                <w:sz w:val="14"/>
              </w:rPr>
              <w:t>54.9</w:t>
            </w:r>
          </w:p>
        </w:tc>
        <w:tc>
          <w:tcPr>
            <w:tcW w:type="dxa" w:w="1872"/>
            <w:vAlign w:val="top"/>
            <w:tcMar>
              <w:top w:w="40" w:type="dxa"/>
              <w:left w:w="40" w:type="dxa"/>
              <w:bottom w:w="40" w:type="dxa"/>
              <w:right w:w="40" w:type="dxa"/>
            </w:tcMar>
          </w:tcPr>
          <w:p>
            <w:pPr>
              <w:spacing w:after="0"/>
            </w:pPr>
            <w:r/>
            <w:r>
              <w:rPr>
                <w:b w:val="0"/>
                <w:sz w:val="14"/>
              </w:rPr>
              <w:t>13.0</w:t>
            </w:r>
          </w:p>
        </w:tc>
        <w:tc>
          <w:tcPr>
            <w:tcW w:type="dxa" w:w="1872"/>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does not include a full tc/netem or Mininet congestion-control study; the competing-flow and bottleneck results are deliberately conservative emulations that isolate the encoded-byte accounting principle rather than claim production fairness.</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19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spacing w:after="40" w:before="120"/>
      </w:pPr>
      <w:r>
        <w:rPr>
          <w:b/>
          <w:sz w:val="18"/>
        </w:rPr>
        <w:t>Table 19.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or file object and can run a delta protocol; and HTTP delta or shared-dictionary transport is best when the application is HTTP and a codec-level dictionary suffices.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pPr>
        <w:spacing w:after="80" w:before="0"/>
      </w:pPr>
      <w:r>
        <w:rPr>
          <w:sz w:val="20"/>
        </w:rPr>
        <w:t>Table 20 consolidates the positioning. ReduLink is the only approach in the comparison that combines operation over an end-to-end encrypted QUIC stream with per-reference authentication and an explicit fail-closed repair path; the other approaches each win in their own regime, which is exactly why ReduLink is presented as a complementary representation layer rather than a replacement.</w:t>
      </w:r>
    </w:p>
    <w:p>
      <w:pPr>
        <w:spacing w:after="40" w:before="120"/>
      </w:pPr>
      <w:r>
        <w:rPr>
          <w:b/>
          <w:sz w:val="18"/>
        </w:rPr>
        <w:t>Table 20. Positioning of ReduLink relative to related redundancy-suppression approaches.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448"/>
            <w:vAlign w:val="top"/>
            <w:tcMar>
              <w:top w:w="40" w:type="dxa"/>
              <w:left w:w="40" w:type="dxa"/>
              <w:bottom w:w="40" w:type="dxa"/>
              <w:right w:w="40" w:type="dxa"/>
            </w:tcMar>
          </w:tcPr>
          <w:p>
            <w:pPr>
              <w:spacing w:after="0"/>
            </w:pPr>
            <w:r/>
            <w:r>
              <w:rPr>
                <w:b/>
                <w:sz w:val="14"/>
              </w:rPr>
              <w:t>Approach</w:t>
            </w:r>
          </w:p>
        </w:tc>
        <w:tc>
          <w:tcPr>
            <w:tcW w:type="dxa" w:w="1872"/>
            <w:vAlign w:val="top"/>
            <w:tcMar>
              <w:top w:w="40" w:type="dxa"/>
              <w:left w:w="40" w:type="dxa"/>
              <w:bottom w:w="40" w:type="dxa"/>
              <w:right w:w="40" w:type="dxa"/>
            </w:tcMar>
          </w:tcPr>
          <w:p>
            <w:pPr>
              <w:spacing w:after="0"/>
            </w:pPr>
            <w:r/>
            <w:r>
              <w:rPr>
                <w:b/>
                <w:sz w:val="14"/>
              </w:rPr>
              <w:t>E2E-encrypted transport</w:t>
            </w:r>
          </w:p>
        </w:tc>
        <w:tc>
          <w:tcPr>
            <w:tcW w:type="dxa" w:w="1440"/>
            <w:vAlign w:val="top"/>
            <w:tcMar>
              <w:top w:w="40" w:type="dxa"/>
              <w:left w:w="40" w:type="dxa"/>
              <w:bottom w:w="40" w:type="dxa"/>
              <w:right w:w="40" w:type="dxa"/>
            </w:tcMar>
          </w:tcPr>
          <w:p>
            <w:pPr>
              <w:spacing w:after="0"/>
            </w:pPr>
            <w:r/>
            <w:r>
              <w:rPr>
                <w:b/>
                <w:sz w:val="14"/>
              </w:rPr>
              <w:t>Per-reference auth</w:t>
            </w:r>
          </w:p>
        </w:tc>
        <w:tc>
          <w:tcPr>
            <w:tcW w:type="dxa" w:w="1440"/>
            <w:vAlign w:val="top"/>
            <w:tcMar>
              <w:top w:w="40" w:type="dxa"/>
              <w:left w:w="40" w:type="dxa"/>
              <w:bottom w:w="40" w:type="dxa"/>
              <w:right w:w="40" w:type="dxa"/>
            </w:tcMar>
          </w:tcPr>
          <w:p>
            <w:pPr>
              <w:spacing w:after="0"/>
            </w:pPr>
            <w:r/>
            <w:r>
              <w:rPr>
                <w:b/>
                <w:sz w:val="14"/>
              </w:rPr>
              <w:t>Fail-closed repair</w:t>
            </w:r>
          </w:p>
        </w:tc>
        <w:tc>
          <w:tcPr>
            <w:tcW w:type="dxa" w:w="1584"/>
            <w:vAlign w:val="top"/>
            <w:tcMar>
              <w:top w:w="40" w:type="dxa"/>
              <w:left w:w="40" w:type="dxa"/>
              <w:bottom w:w="40" w:type="dxa"/>
              <w:right w:w="40" w:type="dxa"/>
            </w:tcMar>
          </w:tcPr>
          <w:p>
            <w:pPr>
              <w:spacing w:after="0"/>
            </w:pPr>
            <w:r/>
            <w:r>
              <w:rPr>
                <w:b/>
                <w:sz w:val="14"/>
              </w:rPr>
              <w:t>Receiver dictionary</w:t>
            </w:r>
          </w:p>
        </w:tc>
        <w:tc>
          <w:tcPr>
            <w:tcW w:type="dxa" w:w="2304"/>
            <w:vAlign w:val="top"/>
            <w:tcMar>
              <w:top w:w="40" w:type="dxa"/>
              <w:left w:w="40" w:type="dxa"/>
              <w:bottom w:w="40" w:type="dxa"/>
              <w:right w:w="40" w:type="dxa"/>
            </w:tcMar>
          </w:tcPr>
          <w:p>
            <w:pPr>
              <w:spacing w:after="0"/>
            </w:pPr>
            <w:r/>
            <w:r>
              <w:rPr>
                <w:b/>
                <w:sz w:val="14"/>
              </w:rPr>
              <w:t>Best-fit workload</w:t>
            </w:r>
          </w:p>
        </w:tc>
      </w:tr>
      <w:tr>
        <w:tc>
          <w:tcPr>
            <w:tcW w:type="dxa" w:w="2448"/>
            <w:vAlign w:val="top"/>
            <w:tcMar>
              <w:top w:w="40" w:type="dxa"/>
              <w:left w:w="40" w:type="dxa"/>
              <w:bottom w:w="40" w:type="dxa"/>
              <w:right w:w="40" w:type="dxa"/>
            </w:tcMar>
          </w:tcPr>
          <w:p>
            <w:pPr>
              <w:spacing w:after="0"/>
            </w:pPr>
            <w:r/>
            <w:r>
              <w:rPr>
                <w:b w:val="0"/>
                <w:sz w:val="14"/>
              </w:rPr>
              <w:t>In-network RE [1-4]</w:t>
            </w:r>
          </w:p>
        </w:tc>
        <w:tc>
          <w:tcPr>
            <w:tcW w:type="dxa" w:w="1872"/>
            <w:vAlign w:val="top"/>
            <w:tcMar>
              <w:top w:w="40" w:type="dxa"/>
              <w:left w:w="40" w:type="dxa"/>
              <w:bottom w:w="40" w:type="dxa"/>
              <w:right w:w="40" w:type="dxa"/>
            </w:tcMar>
          </w:tcPr>
          <w:p>
            <w:pPr>
              <w:spacing w:after="0"/>
            </w:pPr>
            <w:r/>
            <w:r>
              <w:rPr>
                <w:b w:val="0"/>
                <w:sz w:val="14"/>
              </w:rPr>
              <w:t>No (needs plaintext vantage)</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Network cache</w:t>
            </w:r>
          </w:p>
        </w:tc>
        <w:tc>
          <w:tcPr>
            <w:tcW w:type="dxa" w:w="2304"/>
            <w:vAlign w:val="top"/>
            <w:tcMar>
              <w:top w:w="40" w:type="dxa"/>
              <w:left w:w="40" w:type="dxa"/>
              <w:bottom w:w="40" w:type="dxa"/>
              <w:right w:w="40" w:type="dxa"/>
            </w:tcMar>
          </w:tcPr>
          <w:p>
            <w:pPr>
              <w:spacing w:after="0"/>
            </w:pPr>
            <w:r/>
            <w:r>
              <w:rPr>
                <w:b w:val="0"/>
                <w:sz w:val="14"/>
              </w:rPr>
              <w:t>High-redundancy unencrypted links</w:t>
            </w:r>
          </w:p>
        </w:tc>
      </w:tr>
      <w:tr>
        <w:tc>
          <w:tcPr>
            <w:tcW w:type="dxa" w:w="2448"/>
            <w:vAlign w:val="top"/>
            <w:tcMar>
              <w:top w:w="40" w:type="dxa"/>
              <w:left w:w="40" w:type="dxa"/>
              <w:bottom w:w="40" w:type="dxa"/>
              <w:right w:w="40" w:type="dxa"/>
            </w:tcMar>
          </w:tcPr>
          <w:p>
            <w:pPr>
              <w:spacing w:after="0"/>
            </w:pPr>
            <w:r/>
            <w:r>
              <w:rPr>
                <w:b w:val="0"/>
                <w:sz w:val="14"/>
              </w:rPr>
              <w:t>rsync / LBFS [5]</w:t>
            </w:r>
          </w:p>
        </w:tc>
        <w:tc>
          <w:tcPr>
            <w:tcW w:type="dxa" w:w="1872"/>
            <w:vAlign w:val="top"/>
            <w:tcMar>
              <w:top w:w="40" w:type="dxa"/>
              <w:left w:w="40" w:type="dxa"/>
              <w:bottom w:w="40" w:type="dxa"/>
              <w:right w:w="40" w:type="dxa"/>
            </w:tcMar>
          </w:tcPr>
          <w:p>
            <w:pPr>
              <w:spacing w:after="0"/>
            </w:pPr>
            <w:r/>
            <w:r>
              <w:rPr>
                <w:b w:val="0"/>
                <w:sz w:val="14"/>
              </w:rPr>
              <w:t>Endpoints only</w:t>
            </w:r>
          </w:p>
        </w:tc>
        <w:tc>
          <w:tcPr>
            <w:tcW w:type="dxa" w:w="1440"/>
            <w:vAlign w:val="top"/>
            <w:tcMar>
              <w:top w:w="40" w:type="dxa"/>
              <w:left w:w="40" w:type="dxa"/>
              <w:bottom w:w="40" w:type="dxa"/>
              <w:right w:w="40" w:type="dxa"/>
            </w:tcMar>
          </w:tcPr>
          <w:p>
            <w:pPr>
              <w:spacing w:after="0"/>
            </w:pPr>
            <w:r/>
            <w:r>
              <w:rPr>
                <w:b w:val="0"/>
                <w:sz w:val="14"/>
              </w:rPr>
              <w:t>Transport integrity only</w:t>
            </w:r>
          </w:p>
        </w:tc>
        <w:tc>
          <w:tcPr>
            <w:tcW w:type="dxa" w:w="1440"/>
            <w:vAlign w:val="top"/>
            <w:tcMar>
              <w:top w:w="40" w:type="dxa"/>
              <w:left w:w="40" w:type="dxa"/>
              <w:bottom w:w="40" w:type="dxa"/>
              <w:right w:w="40" w:type="dxa"/>
            </w:tcMar>
          </w:tcPr>
          <w:p>
            <w:pPr>
              <w:spacing w:after="0"/>
            </w:pPr>
            <w:r/>
            <w:r>
              <w:rPr>
                <w:b w:val="0"/>
                <w:sz w:val="14"/>
              </w:rPr>
              <w:t>n/a (delta negotiation)</w:t>
            </w:r>
          </w:p>
        </w:tc>
        <w:tc>
          <w:tcPr>
            <w:tcW w:type="dxa" w:w="1584"/>
            <w:vAlign w:val="top"/>
            <w:tcMar>
              <w:top w:w="40" w:type="dxa"/>
              <w:left w:w="40" w:type="dxa"/>
              <w:bottom w:w="40" w:type="dxa"/>
              <w:right w:w="40" w:type="dxa"/>
            </w:tcMar>
          </w:tcPr>
          <w:p>
            <w:pPr>
              <w:spacing w:after="0"/>
            </w:pPr>
            <w:r/>
            <w:r>
              <w:rPr>
                <w:b w:val="0"/>
                <w:sz w:val="14"/>
              </w:rPr>
              <w:t>File/object index</w:t>
            </w:r>
          </w:p>
        </w:tc>
        <w:tc>
          <w:tcPr>
            <w:tcW w:type="dxa" w:w="2304"/>
            <w:vAlign w:val="top"/>
            <w:tcMar>
              <w:top w:w="40" w:type="dxa"/>
              <w:left w:w="40" w:type="dxa"/>
              <w:bottom w:w="40" w:type="dxa"/>
              <w:right w:w="40" w:type="dxa"/>
            </w:tcMar>
          </w:tcPr>
          <w:p>
            <w:pPr>
              <w:spacing w:after="0"/>
            </w:pPr>
            <w:r/>
            <w:r>
              <w:rPr>
                <w:b w:val="0"/>
                <w:sz w:val="14"/>
              </w:rPr>
              <w:t>File-tree synchronization</w:t>
            </w:r>
          </w:p>
        </w:tc>
      </w:tr>
      <w:tr>
        <w:tc>
          <w:tcPr>
            <w:tcW w:type="dxa" w:w="2448"/>
            <w:vAlign w:val="top"/>
            <w:tcMar>
              <w:top w:w="40" w:type="dxa"/>
              <w:left w:w="40" w:type="dxa"/>
              <w:bottom w:w="40" w:type="dxa"/>
              <w:right w:w="40" w:type="dxa"/>
            </w:tcMar>
          </w:tcPr>
          <w:p>
            <w:pPr>
              <w:spacing w:after="0"/>
            </w:pPr>
            <w:r/>
            <w:r>
              <w:rPr>
                <w:b w:val="0"/>
                <w:sz w:val="14"/>
              </w:rPr>
              <w:t>HTTP shared dictionary / CDT [19-22]</w:t>
            </w:r>
          </w:p>
        </w:tc>
        <w:tc>
          <w:tcPr>
            <w:tcW w:type="dxa" w:w="1872"/>
            <w:vAlign w:val="top"/>
            <w:tcMar>
              <w:top w:w="40" w:type="dxa"/>
              <w:left w:w="40" w:type="dxa"/>
              <w:bottom w:w="40" w:type="dxa"/>
              <w:right w:w="40" w:type="dxa"/>
            </w:tcMar>
          </w:tcPr>
          <w:p>
            <w:pPr>
              <w:spacing w:after="0"/>
            </w:pPr>
            <w:r/>
            <w:r>
              <w:rPr>
                <w:b w:val="0"/>
                <w:sz w:val="14"/>
              </w:rPr>
              <w:t>Yes (HTTP/3 on QUIC)</w:t>
            </w:r>
          </w:p>
        </w:tc>
        <w:tc>
          <w:tcPr>
            <w:tcW w:type="dxa" w:w="1440"/>
            <w:vAlign w:val="top"/>
            <w:tcMar>
              <w:top w:w="40" w:type="dxa"/>
              <w:left w:w="40" w:type="dxa"/>
              <w:bottom w:w="40" w:type="dxa"/>
              <w:right w:w="40" w:type="dxa"/>
            </w:tcMar>
          </w:tcPr>
          <w:p>
            <w:pPr>
              <w:spacing w:after="0"/>
            </w:pPr>
            <w:r/>
            <w:r>
              <w:rPr>
                <w:b w:val="0"/>
                <w:sz w:val="14"/>
              </w:rPr>
              <w:t>No (TLS channel only)</w:t>
            </w:r>
          </w:p>
        </w:tc>
        <w:tc>
          <w:tcPr>
            <w:tcW w:type="dxa" w:w="1440"/>
            <w:vAlign w:val="top"/>
            <w:tcMar>
              <w:top w:w="40" w:type="dxa"/>
              <w:left w:w="40" w:type="dxa"/>
              <w:bottom w:w="40" w:type="dxa"/>
              <w:right w:w="40" w:type="dxa"/>
            </w:tcMar>
          </w:tcPr>
          <w:p>
            <w:pPr>
              <w:spacing w:after="0"/>
            </w:pPr>
            <w:r/>
            <w:r>
              <w:rPr>
                <w:b w:val="0"/>
                <w:sz w:val="14"/>
              </w:rPr>
              <w:t>No (codec fallback, not fail-closed)</w:t>
            </w:r>
          </w:p>
        </w:tc>
        <w:tc>
          <w:tcPr>
            <w:tcW w:type="dxa" w:w="1584"/>
            <w:vAlign w:val="top"/>
            <w:tcMar>
              <w:top w:w="40" w:type="dxa"/>
              <w:left w:w="40" w:type="dxa"/>
              <w:bottom w:w="40" w:type="dxa"/>
              <w:right w:w="40" w:type="dxa"/>
            </w:tcMar>
          </w:tcPr>
          <w:p>
            <w:pPr>
              <w:spacing w:after="0"/>
            </w:pPr>
            <w:r/>
            <w:r>
              <w:rPr>
                <w:b w:val="0"/>
                <w:sz w:val="14"/>
              </w:rPr>
              <w:t>Prior HTTP response</w:t>
            </w:r>
          </w:p>
        </w:tc>
        <w:tc>
          <w:tcPr>
            <w:tcW w:type="dxa" w:w="2304"/>
            <w:vAlign w:val="top"/>
            <w:tcMar>
              <w:top w:w="40" w:type="dxa"/>
              <w:left w:w="40" w:type="dxa"/>
              <w:bottom w:w="40" w:type="dxa"/>
              <w:right w:w="40" w:type="dxa"/>
            </w:tcMar>
          </w:tcPr>
          <w:p>
            <w:pPr>
              <w:spacing w:after="0"/>
            </w:pPr>
            <w:r/>
            <w:r>
              <w:rPr>
                <w:b w:val="0"/>
                <w:sz w:val="14"/>
              </w:rPr>
              <w:t>HTTP responses with prior versions</w:t>
            </w:r>
          </w:p>
        </w:tc>
      </w:tr>
      <w:tr>
        <w:tc>
          <w:tcPr>
            <w:tcW w:type="dxa" w:w="2448"/>
            <w:vAlign w:val="top"/>
            <w:tcMar>
              <w:top w:w="40" w:type="dxa"/>
              <w:left w:w="40" w:type="dxa"/>
              <w:bottom w:w="40" w:type="dxa"/>
              <w:right w:w="40" w:type="dxa"/>
            </w:tcMar>
          </w:tcPr>
          <w:p>
            <w:pPr>
              <w:spacing w:after="0"/>
            </w:pPr>
            <w:r/>
            <w:r>
              <w:rPr>
                <w:b w:val="0"/>
                <w:sz w:val="14"/>
              </w:rPr>
              <w:t>Local compression (gzip/zstd)</w:t>
            </w:r>
          </w:p>
        </w:tc>
        <w:tc>
          <w:tcPr>
            <w:tcW w:type="dxa" w:w="1872"/>
            <w:vAlign w:val="top"/>
            <w:tcMar>
              <w:top w:w="40" w:type="dxa"/>
              <w:left w:w="40" w:type="dxa"/>
              <w:bottom w:w="40" w:type="dxa"/>
              <w:right w:w="40" w:type="dxa"/>
            </w:tcMar>
          </w:tcPr>
          <w:p>
            <w:pPr>
              <w:spacing w:after="0"/>
            </w:pPr>
            <w:r/>
            <w:r>
              <w:rPr>
                <w:b w:val="0"/>
                <w:sz w:val="14"/>
              </w:rPr>
              <w:t>Yes</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None (intra-object)</w:t>
            </w:r>
          </w:p>
        </w:tc>
        <w:tc>
          <w:tcPr>
            <w:tcW w:type="dxa" w:w="2304"/>
            <w:vAlign w:val="top"/>
            <w:tcMar>
              <w:top w:w="40" w:type="dxa"/>
              <w:left w:w="40" w:type="dxa"/>
              <w:bottom w:w="40" w:type="dxa"/>
              <w:right w:w="40" w:type="dxa"/>
            </w:tcMar>
          </w:tcPr>
          <w:p>
            <w:pPr>
              <w:spacing w:after="0"/>
            </w:pPr>
            <w:r/>
            <w:r>
              <w:rPr>
                <w:b w:val="0"/>
                <w:sz w:val="14"/>
              </w:rPr>
              <w:t>Locally repetitive single objects</w:t>
            </w:r>
          </w:p>
        </w:tc>
      </w:tr>
      <w:tr>
        <w:tc>
          <w:tcPr>
            <w:tcW w:type="dxa" w:w="2448"/>
            <w:vAlign w:val="top"/>
            <w:tcMar>
              <w:top w:w="40" w:type="dxa"/>
              <w:left w:w="40" w:type="dxa"/>
              <w:bottom w:w="40" w:type="dxa"/>
              <w:right w:w="40" w:type="dxa"/>
            </w:tcMar>
          </w:tcPr>
          <w:p>
            <w:pPr>
              <w:spacing w:after="0"/>
            </w:pPr>
            <w:r/>
            <w:r>
              <w:rPr>
                <w:b w:val="0"/>
                <w:sz w:val="14"/>
              </w:rPr>
              <w:t>ReduLink (this work)</w:t>
            </w:r>
          </w:p>
        </w:tc>
        <w:tc>
          <w:tcPr>
            <w:tcW w:type="dxa" w:w="1872"/>
            <w:vAlign w:val="top"/>
            <w:tcMar>
              <w:top w:w="40" w:type="dxa"/>
              <w:left w:w="40" w:type="dxa"/>
              <w:bottom w:w="40" w:type="dxa"/>
              <w:right w:w="40" w:type="dxa"/>
            </w:tcMar>
          </w:tcPr>
          <w:p>
            <w:pPr>
              <w:spacing w:after="0"/>
            </w:pPr>
            <w:r/>
            <w:r>
              <w:rPr>
                <w:b w:val="0"/>
                <w:sz w:val="14"/>
              </w:rPr>
              <w:t>Yes (QUIC streams)</w:t>
            </w:r>
          </w:p>
        </w:tc>
        <w:tc>
          <w:tcPr>
            <w:tcW w:type="dxa" w:w="1440"/>
            <w:vAlign w:val="top"/>
            <w:tcMar>
              <w:top w:w="40" w:type="dxa"/>
              <w:left w:w="40" w:type="dxa"/>
              <w:bottom w:w="40" w:type="dxa"/>
              <w:right w:w="40" w:type="dxa"/>
            </w:tcMar>
          </w:tcPr>
          <w:p>
            <w:pPr>
              <w:spacing w:after="0"/>
            </w:pPr>
            <w:r/>
            <w:r>
              <w:rPr>
                <w:b w:val="0"/>
                <w:sz w:val="14"/>
              </w:rPr>
              <w:t>Yes (per reference)</w:t>
            </w:r>
          </w:p>
        </w:tc>
        <w:tc>
          <w:tcPr>
            <w:tcW w:type="dxa" w:w="1440"/>
            <w:vAlign w:val="top"/>
            <w:tcMar>
              <w:top w:w="40" w:type="dxa"/>
              <w:left w:w="40" w:type="dxa"/>
              <w:bottom w:w="40" w:type="dxa"/>
              <w:right w:w="40" w:type="dxa"/>
            </w:tcMar>
          </w:tcPr>
          <w:p>
            <w:pPr>
              <w:spacing w:after="0"/>
            </w:pPr>
            <w:r/>
            <w:r>
              <w:rPr>
                <w:b w:val="0"/>
                <w:sz w:val="14"/>
              </w:rPr>
              <w:t>Yes (MISS then FULL)</w:t>
            </w:r>
          </w:p>
        </w:tc>
        <w:tc>
          <w:tcPr>
            <w:tcW w:type="dxa" w:w="1584"/>
            <w:vAlign w:val="top"/>
            <w:tcMar>
              <w:top w:w="40" w:type="dxa"/>
              <w:left w:w="40" w:type="dxa"/>
              <w:bottom w:w="40" w:type="dxa"/>
              <w:right w:w="40" w:type="dxa"/>
            </w:tcMar>
          </w:tcPr>
          <w:p>
            <w:pPr>
              <w:spacing w:after="0"/>
            </w:pPr>
            <w:r/>
            <w:r>
              <w:rPr>
                <w:b w:val="0"/>
                <w:sz w:val="14"/>
              </w:rPr>
              <w:t>Scoped warm dictionary</w:t>
            </w:r>
          </w:p>
        </w:tc>
        <w:tc>
          <w:tcPr>
            <w:tcW w:type="dxa" w:w="2304"/>
            <w:vAlign w:val="top"/>
            <w:tcMar>
              <w:top w:w="40" w:type="dxa"/>
              <w:left w:w="40" w:type="dxa"/>
              <w:bottom w:w="40" w:type="dxa"/>
              <w:right w:w="40" w:type="dxa"/>
            </w:tcMar>
          </w:tcPr>
          <w:p>
            <w:pPr>
              <w:spacing w:after="0"/>
            </w:pPr>
            <w:r/>
            <w:r>
              <w:rPr>
                <w:b w:val="0"/>
                <w:sz w:val="14"/>
              </w:rPr>
              <w:t>Warm-state object / layer transfers</w:t>
            </w:r>
          </w:p>
        </w:tc>
      </w:tr>
    </w:tbl>
    <w:p/>
    <w:p>
      <w:pPr>
        <w:pStyle w:val="Heading1"/>
      </w:pPr>
      <w:r>
        <w:rPr>
          <w:rFonts w:ascii="Arial" w:hAnsi="Arial"/>
        </w:rPr>
        <w:t>13. Limitations and Future Work</w:t>
      </w:r>
    </w:p>
    <w:p>
      <w:pPr>
        <w:spacing w:after="80" w:before="0"/>
      </w:pPr>
      <w:r>
        <w:rPr>
          <w:sz w:val="20"/>
        </w:rPr>
        <w:t>The implementation maps ReduLink into QUIC streams rather than adding custom QUIC extension frames or transport parameters, and it uses an exporter-style key schedule model rather than live QUIC TLS exporter bytes. The public object-sequence and layer-like workloads are derived from real release bytes but are transfer-model experiments rather than captured production traces. The fairness evidence (competing-flow Jain indices and fluid bottleneck emulation in Section 10) is conservative and does not replace a full network-emulator congestion-control study, and all transport experiments run over localhost with a deterministic loss proxy rather than over a real path with diverse RTT, bandwidth, and loss. Every native-QUIC experiment uses at most 1 MiB over a single connection (most about 96 KiB); the byte multipliers are size-independent by construction, but completion time, miss dynamics, dictionary eviction, and flow-control and fairness interactions are not, and are out of scope at this scale. The security evidence is functional artifact testing rather than a formal or adversarial analysis. Absolute timings are hardware-dependent.</w:t>
      </w:r>
    </w:p>
    <w:p>
      <w:pPr>
        <w:spacing w:after="80" w:before="0"/>
      </w:pPr>
      <w:r>
        <w:rPr>
          <w:sz w:val="20"/>
        </w:rPr>
        <w:t>Future work should add custom QUIC frame integration and transport-parameter negotiation, live exporter-derived keys, production replay-window and cross-tenant isolation enforcement, tc/netem or Mininet fairness experiments with competing real flows, packet capture, larger and independently captured registry or backup traces, and a direct head-to-head comparison against Compression Dictionary Transport on the same corpora.</w:t>
      </w:r>
    </w:p>
    <w:p>
      <w:pPr>
        <w:pStyle w:val="Heading1"/>
      </w:pPr>
      <w:r>
        <w:rPr>
          <w:rFonts w:ascii="Arial" w:hAnsi="Arial"/>
        </w:rPr>
        <w:t>14.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and full validation is python3 scripts/run_full_validation.py. aioquic tests skip gracefully when aioquic is unavailable; installing requirements-dev.txt enables complete QUIC stream validation. Every table and figure in this paper is regenerated from the committed result files by scripts/build_manuscript_v3_1.py and scripts/make_journal_figures_v2_8.py.</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GitHub repository, 2026. https://github.com/pinkysworld/redulink-deduplex-quic</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2008.</w:t>
      </w:r>
    </w:p>
    <w:p>
      <w:pPr>
        <w:spacing w:after="20" w:before="0"/>
      </w:pPr>
      <w:r>
        <w:rPr>
          <w:sz w:val="16"/>
        </w:rPr>
        <w:t>[22] P. Meenan and Y. Weiss, 'Compression dictionary transport,' RFC 9842, IETF, 2025.</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v3.1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