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 We add an independent, hash-pinned trace of real package upgrades, a formal security analysis of the reference-authentication construction, and a measured full-duplex shared-bottleneck path emulation. The emulation corrects an earlier half-duplex measurement of ours: on byte-stable content ReduLink's fewer encoded bytes do shorten completion time on a constrained shared link (0.65x of the raw flow at 5 Mbps, converging as the link uncongests), but on a real repair-heavy layered workload the MISS/repair round trips can instead make it slower (up to 1.27x on a low-bandwidth high-RTT path), so the completion-time effect depends on both the link and the miss rate.</w:t>
      </w:r>
    </w:p>
    <w:p>
      <w:pPr>
        <w:spacing w:after="80" w:before="0"/>
      </w:pPr>
      <w:r>
        <w:rPr>
          <w:sz w:val="20"/>
        </w:rPr>
        <w:t>Quantitatively, on object-aligned public release transfers ReduLink reaches 1.94x to 9.70x effective stream-payload reduction under the offline model's framing (1.8x to 7.9x when re-priced at the artifact's measured 108-byte binary wire framing), and 21.37x (15.3x re-priced) on a layer-like positive case; the authenticated variant costs a further 3 to 11 percent. We also report the baselines that beat ReduLink on bytes: rsync wins by up to 73x on ordinary source-tree updates, and a zstd dictionary-delta baseline (the Compression Dictionary Transport analog) wins by 65x to 1,785x whenever the receiver retains the exact prior byte stream and a codec delta is acceptable. ReduLink's contribution is therefore not byte-optimality but authenticated, object-granular, fail-closed reference substitution over a chunk dictionary.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23 consolidate this comparison. The distinction is not merely cosmetic: consider a shared or partially trusted origin dictionary, where a CDN edge or several tenants serve from one warm dictionary. An unauthenticated codec reference cannot distinguish a legitimate cross-version reference from a forged or cross-context one, whereas ReduLink's per-reference binding to epoch, scope, stream, offset, and nonce makes such a reference fail closed. That shared-dictionary integrity case, not raw compression ratio, is the gap ReduLink targets.</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offline model charges 24 bytes of framing per FULL and 32 bytes per REF. These modeled overheads are optimistic, not conservative: the artifact's own compact binary wire format costs a measured 108 bytes of metadata per frame (4-byte length prefix, 74-byte fixed header, scope string, cid and tag) - a 32-byte REF budget cannot even hold the 16-byte chunk identifier plus 16-byte tag that Section 4.5 requires. Section 7.6 re-prices every headline result at the measured cost; a production varint encoding would land between the two.</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In the artifact, chunk identifiers are keyed MACs with domain separation over the active epoch, dictionary scope, and a hash of the chunk bytes (Section 4.5); the protocol specification additionally allows binding stream context and a canonical length encoding where cross-stream reuse is not wanted. In either profile the same bytes under a different epoch or scope yield a different identifier, and length and stream context are always bound in the frame tag even when they are not part of the identifier. Keying differs by artifact path, and we state this precisely: the native aioquic experiment derives its authentication key through the HKDF exporter-style schedule (keyed by an experiment master secret plus ALPN, epoch, scope, connection, and stream context; tests confirm the derived secret changes when any input changes), whereas the standalone secure model and the authenticated-UDP prototype default to a fixed test secret, so their context binding lives in the MAC message, not the key. A production profile keys the schedule from QUIC TLS exporter bytes on every path, which also gives cross-connection freshness: a frame recorded on one connection fails authentication on any other because the key differs.</w:t>
      </w:r>
    </w:p>
    <w:p>
      <w:pPr>
        <w:pStyle w:val="Heading2"/>
      </w:pPr>
      <w:r>
        <w:rPr>
          <w:rFonts w:ascii="Arial" w:hAnsi="Arial"/>
        </w:rPr>
        <w:t>4.4 Threat model</w:t>
      </w:r>
    </w:p>
    <w:p>
      <w:pPr>
        <w:spacing w:after="80" w:before="0"/>
      </w:pPr>
      <w:r>
        <w:rPr>
          <w:sz w:val="20"/>
        </w:rPr>
        <w:t>Table 3 maps each security property to the mechanism it requires and to the current artifact status, and Table 4 names the privacy modes and their leakage risks. The artifact implements HMAC binding, chunk-id validation, nonce rejection, length and expansion checks, and fail-closed repair; it does not implement production exporter-derived keys, custom extension-frame parsing, production replay windows, or cross-tenant isolation enforcement, which are stated as future work.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plus the reduction-style analysis of Section 4.5; no side-channel mitigations (padding, constant-shape errors, timing equalization) are implemented in the artifact. Dictionary eviction is itself an oracle in shared-dictionary modes: an adversary who can insert FULL traffic can cascade-evict a victim's warm entries (Section 8.2 demonstrates the mechanics under the LRU budget) and then probe REF-versus-MISS behavior to infer content existence, which is why per-connection scoping remains the default and shared dictionaries require explicit policy.</w:t>
      </w:r>
    </w:p>
    <w:p>
      <w:pPr>
        <w:spacing w:after="40" w:before="120"/>
      </w:pPr>
      <w:r>
        <w:rPr>
          <w:b/>
          <w:sz w:val="18"/>
        </w:rPr>
        <w:t>Table 3. Security properties, required mechanisms, and artifact status.</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top"/>
            <w:tcMar>
              <w:top w:w="40" w:type="dxa"/>
              <w:left w:w="40" w:type="dxa"/>
              <w:bottom w:w="40" w:type="dxa"/>
              <w:right w:w="40" w:type="dxa"/>
            </w:tcMar>
          </w:tcPr>
          <w:p>
            <w:pPr>
              <w:spacing w:after="0"/>
            </w:pPr>
            <w:r/>
            <w:r>
              <w:rPr>
                <w:b/>
                <w:sz w:val="16"/>
              </w:rPr>
              <w:t>Property</w:t>
            </w:r>
          </w:p>
        </w:tc>
        <w:tc>
          <w:tcPr>
            <w:tcW w:type="dxa" w:w="4320"/>
            <w:vAlign w:val="top"/>
            <w:tcMar>
              <w:top w:w="40" w:type="dxa"/>
              <w:left w:w="40" w:type="dxa"/>
              <w:bottom w:w="40" w:type="dxa"/>
              <w:right w:w="40" w:type="dxa"/>
            </w:tcMar>
          </w:tcPr>
          <w:p>
            <w:pPr>
              <w:spacing w:after="0"/>
            </w:pPr>
            <w:r/>
            <w:r>
              <w:rPr>
                <w:b/>
                <w:sz w:val="16"/>
              </w:rPr>
              <w:t>Required mechanism</w:t>
            </w:r>
          </w:p>
        </w:tc>
        <w:tc>
          <w:tcPr>
            <w:tcW w:type="dxa" w:w="3456"/>
            <w:vAlign w:val="top"/>
            <w:tcMar>
              <w:top w:w="40" w:type="dxa"/>
              <w:left w:w="40" w:type="dxa"/>
              <w:bottom w:w="40" w:type="dxa"/>
              <w:right w:w="40" w:type="dxa"/>
            </w:tcMar>
          </w:tcPr>
          <w:p>
            <w:pPr>
              <w:spacing w:after="0"/>
            </w:pPr>
            <w:r/>
            <w:r>
              <w:rPr>
                <w:b/>
                <w:sz w:val="16"/>
              </w:rPr>
              <w:t>Artifact status</w:t>
            </w:r>
          </w:p>
        </w:tc>
      </w:tr>
      <w:tr>
        <w:tc>
          <w:tcPr>
            <w:tcW w:type="dxa" w:w="1728"/>
            <w:vAlign w:val="top"/>
            <w:tcMar>
              <w:top w:w="40" w:type="dxa"/>
              <w:left w:w="40" w:type="dxa"/>
              <w:bottom w:w="40" w:type="dxa"/>
              <w:right w:w="40" w:type="dxa"/>
            </w:tcMar>
          </w:tcPr>
          <w:p>
            <w:pPr>
              <w:spacing w:after="0"/>
            </w:pPr>
            <w:r/>
            <w:r>
              <w:rPr>
                <w:b w:val="0"/>
                <w:sz w:val="16"/>
              </w:rPr>
              <w:t>Integrity</w:t>
            </w:r>
          </w:p>
        </w:tc>
        <w:tc>
          <w:tcPr>
            <w:tcW w:type="dxa" w:w="4320"/>
            <w:vAlign w:val="top"/>
            <w:tcMar>
              <w:top w:w="40" w:type="dxa"/>
              <w:left w:w="40" w:type="dxa"/>
              <w:bottom w:w="40" w:type="dxa"/>
              <w:right w:w="40" w:type="dxa"/>
            </w:tcMar>
          </w:tcPr>
          <w:p>
            <w:pPr>
              <w:spacing w:after="0"/>
            </w:pPr>
            <w:r/>
            <w:r>
              <w:rPr>
                <w:b w:val="0"/>
                <w:sz w:val="16"/>
              </w:rPr>
              <w:t>FULL/REF authentication, chunk-id, offset and length binding</w:t>
            </w:r>
          </w:p>
        </w:tc>
        <w:tc>
          <w:tcPr>
            <w:tcW w:type="dxa" w:w="3456"/>
            <w:vAlign w:val="top"/>
            <w:tcMar>
              <w:top w:w="40" w:type="dxa"/>
              <w:left w:w="40" w:type="dxa"/>
              <w:bottom w:w="40" w:type="dxa"/>
              <w:right w:w="40" w:type="dxa"/>
            </w:tcMar>
          </w:tcPr>
          <w:p>
            <w:pPr>
              <w:spacing w:after="0"/>
            </w:pPr>
            <w:r/>
            <w:r>
              <w:rPr>
                <w:b w:val="0"/>
                <w:sz w:val="16"/>
              </w:rPr>
              <w:t>Modeled by reconstruction and mismatch tests; production crypto pending.</w:t>
            </w:r>
          </w:p>
        </w:tc>
      </w:tr>
      <w:tr>
        <w:tc>
          <w:tcPr>
            <w:tcW w:type="dxa" w:w="1728"/>
            <w:vAlign w:val="top"/>
            <w:tcMar>
              <w:top w:w="40" w:type="dxa"/>
              <w:left w:w="40" w:type="dxa"/>
              <w:bottom w:w="40" w:type="dxa"/>
              <w:right w:w="40" w:type="dxa"/>
            </w:tcMar>
          </w:tcPr>
          <w:p>
            <w:pPr>
              <w:spacing w:after="0"/>
            </w:pPr>
            <w:r/>
            <w:r>
              <w:rPr>
                <w:b w:val="0"/>
                <w:sz w:val="16"/>
              </w:rPr>
              <w:t>Context binding</w:t>
            </w:r>
          </w:p>
        </w:tc>
        <w:tc>
          <w:tcPr>
            <w:tcW w:type="dxa" w:w="4320"/>
            <w:vAlign w:val="top"/>
            <w:tcMar>
              <w:top w:w="40" w:type="dxa"/>
              <w:left w:w="40" w:type="dxa"/>
              <w:bottom w:w="40" w:type="dxa"/>
              <w:right w:w="40" w:type="dxa"/>
            </w:tcMar>
          </w:tcPr>
          <w:p>
            <w:pPr>
              <w:spacing w:after="0"/>
            </w:pPr>
            <w:r/>
            <w:r>
              <w:rPr>
                <w:b w:val="0"/>
                <w:sz w:val="16"/>
              </w:rPr>
              <w:t>Exporter-derived keys, epoch/stream/offset/scope, nonce, replay window</w:t>
            </w:r>
          </w:p>
        </w:tc>
        <w:tc>
          <w:tcPr>
            <w:tcW w:type="dxa" w:w="3456"/>
            <w:vAlign w:val="top"/>
            <w:tcMar>
              <w:top w:w="40" w:type="dxa"/>
              <w:left w:w="40" w:type="dxa"/>
              <w:bottom w:w="40" w:type="dxa"/>
              <w:right w:w="40" w:type="dxa"/>
            </w:tcMar>
          </w:tcPr>
          <w:p>
            <w:pPr>
              <w:spacing w:after="0"/>
            </w:pPr>
            <w:r/>
            <w:r>
              <w:rPr>
                <w:b w:val="0"/>
                <w:sz w:val="16"/>
              </w:rPr>
              <w:t>HMAC binding and nonce rejection implemented; exporter keys pending.</w:t>
            </w:r>
          </w:p>
        </w:tc>
      </w:tr>
      <w:tr>
        <w:tc>
          <w:tcPr>
            <w:tcW w:type="dxa" w:w="1728"/>
            <w:vAlign w:val="top"/>
            <w:tcMar>
              <w:top w:w="40" w:type="dxa"/>
              <w:left w:w="40" w:type="dxa"/>
              <w:bottom w:w="40" w:type="dxa"/>
              <w:right w:w="40" w:type="dxa"/>
            </w:tcMar>
          </w:tcPr>
          <w:p>
            <w:pPr>
              <w:spacing w:after="0"/>
            </w:pPr>
            <w:r/>
            <w:r>
              <w:rPr>
                <w:b w:val="0"/>
                <w:sz w:val="16"/>
              </w:rPr>
              <w:t>Dictionary safety</w:t>
            </w:r>
          </w:p>
        </w:tc>
        <w:tc>
          <w:tcPr>
            <w:tcW w:type="dxa" w:w="4320"/>
            <w:vAlign w:val="top"/>
            <w:tcMar>
              <w:top w:w="40" w:type="dxa"/>
              <w:left w:w="40" w:type="dxa"/>
              <w:bottom w:w="40" w:type="dxa"/>
              <w:right w:w="40" w:type="dxa"/>
            </w:tcMar>
          </w:tcPr>
          <w:p>
            <w:pPr>
              <w:spacing w:after="0"/>
            </w:pPr>
            <w:r/>
            <w:r>
              <w:rPr>
                <w:b w:val="0"/>
                <w:sz w:val="16"/>
              </w:rPr>
              <w:t>Authenticated FULL, manifest commitment, admission/eviction policy</w:t>
            </w:r>
          </w:p>
        </w:tc>
        <w:tc>
          <w:tcPr>
            <w:tcW w:type="dxa" w:w="3456"/>
            <w:vAlign w:val="top"/>
            <w:tcMar>
              <w:top w:w="40" w:type="dxa"/>
              <w:left w:w="40" w:type="dxa"/>
              <w:bottom w:w="40" w:type="dxa"/>
              <w:right w:w="40" w:type="dxa"/>
            </w:tcMar>
          </w:tcPr>
          <w:p>
            <w:pPr>
              <w:spacing w:after="0"/>
            </w:pPr>
            <w:r/>
            <w:r>
              <w:rPr>
                <w:b w:val="0"/>
                <w:sz w:val="16"/>
              </w:rPr>
              <w:t>FULL chunk-id checks modeled; manifest policy not implemented.</w:t>
            </w:r>
          </w:p>
        </w:tc>
      </w:tr>
      <w:tr>
        <w:tc>
          <w:tcPr>
            <w:tcW w:type="dxa" w:w="1728"/>
            <w:vAlign w:val="top"/>
            <w:tcMar>
              <w:top w:w="40" w:type="dxa"/>
              <w:left w:w="40" w:type="dxa"/>
              <w:bottom w:w="40" w:type="dxa"/>
              <w:right w:w="40" w:type="dxa"/>
            </w:tcMar>
          </w:tcPr>
          <w:p>
            <w:pPr>
              <w:spacing w:after="0"/>
            </w:pPr>
            <w:r/>
            <w:r>
              <w:rPr>
                <w:b w:val="0"/>
                <w:sz w:val="16"/>
              </w:rPr>
              <w:t>Expansion bound</w:t>
            </w:r>
          </w:p>
        </w:tc>
        <w:tc>
          <w:tcPr>
            <w:tcW w:type="dxa" w:w="4320"/>
            <w:vAlign w:val="top"/>
            <w:tcMar>
              <w:top w:w="40" w:type="dxa"/>
              <w:left w:w="40" w:type="dxa"/>
              <w:bottom w:w="40" w:type="dxa"/>
              <w:right w:w="40" w:type="dxa"/>
            </w:tcMar>
          </w:tcPr>
          <w:p>
            <w:pPr>
              <w:spacing w:after="0"/>
            </w:pPr>
            <w:r/>
            <w:r>
              <w:rPr>
                <w:b w:val="0"/>
                <w:sz w:val="16"/>
              </w:rPr>
              <w:t>Per-frame, per-stream, per-epoch reconstructed-byte caps</w:t>
            </w:r>
          </w:p>
        </w:tc>
        <w:tc>
          <w:tcPr>
            <w:tcW w:type="dxa" w:w="3456"/>
            <w:vAlign w:val="top"/>
            <w:tcMar>
              <w:top w:w="40" w:type="dxa"/>
              <w:left w:w="40" w:type="dxa"/>
              <w:bottom w:w="40" w:type="dxa"/>
              <w:right w:w="40" w:type="dxa"/>
            </w:tcMar>
          </w:tcPr>
          <w:p>
            <w:pPr>
              <w:spacing w:after="0"/>
            </w:pPr>
            <w:r/>
            <w:r>
              <w:rPr>
                <w:b w:val="0"/>
                <w:sz w:val="16"/>
              </w:rPr>
              <w:t>Length and accounting checks modeled; full flow control pending.</w:t>
            </w:r>
          </w:p>
        </w:tc>
      </w:tr>
      <w:tr>
        <w:tc>
          <w:tcPr>
            <w:tcW w:type="dxa" w:w="1728"/>
            <w:vAlign w:val="top"/>
            <w:tcMar>
              <w:top w:w="40" w:type="dxa"/>
              <w:left w:w="40" w:type="dxa"/>
              <w:bottom w:w="40" w:type="dxa"/>
              <w:right w:w="40" w:type="dxa"/>
            </w:tcMar>
          </w:tcPr>
          <w:p>
            <w:pPr>
              <w:spacing w:after="0"/>
            </w:pPr>
            <w:r/>
            <w:r>
              <w:rPr>
                <w:b w:val="0"/>
                <w:sz w:val="16"/>
              </w:rPr>
              <w:t>Privacy scope</w:t>
            </w:r>
          </w:p>
        </w:tc>
        <w:tc>
          <w:tcPr>
            <w:tcW w:type="dxa" w:w="4320"/>
            <w:vAlign w:val="top"/>
            <w:tcMar>
              <w:top w:w="40" w:type="dxa"/>
              <w:left w:w="40" w:type="dxa"/>
              <w:bottom w:w="40" w:type="dxa"/>
              <w:right w:w="40" w:type="dxa"/>
            </w:tcMar>
          </w:tcPr>
          <w:p>
            <w:pPr>
              <w:spacing w:after="0"/>
            </w:pPr>
            <w:r/>
            <w:r>
              <w:rPr>
                <w:b w:val="0"/>
                <w:sz w:val="16"/>
              </w:rPr>
              <w:t>Per-connection default, no global cross-user dictionary</w:t>
            </w:r>
          </w:p>
        </w:tc>
        <w:tc>
          <w:tcPr>
            <w:tcW w:type="dxa" w:w="3456"/>
            <w:vAlign w:val="top"/>
            <w:tcMar>
              <w:top w:w="40" w:type="dxa"/>
              <w:left w:w="40" w:type="dxa"/>
              <w:bottom w:w="40" w:type="dxa"/>
              <w:right w:w="40" w:type="dxa"/>
            </w:tcMar>
          </w:tcPr>
          <w:p>
            <w:pPr>
              <w:spacing w:after="0"/>
            </w:pPr>
            <w:r/>
            <w:r>
              <w:rPr>
                <w:b w:val="0"/>
                <w:sz w:val="16"/>
              </w:rPr>
              <w:t>Policy specified; cross-tenant enforcement not implemented.</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2"/>
      </w:pPr>
      <w:r>
        <w:rPr>
          <w:rFonts w:ascii="Arial" w:hAnsi="Arial"/>
        </w:rPr>
        <w:t>4.5 Formal security model and analysis</w:t>
      </w:r>
    </w:p>
    <w:p>
      <w:pPr>
        <w:spacing w:after="80" w:before="0"/>
      </w:pPr>
      <w:r>
        <w:rPr>
          <w:sz w:val="20"/>
        </w:rPr>
        <w:t>We analyze ReduLink's reference authentication against a network adversary in the cooperating-endpoint setting. The endpoints are mutually authenticated by QUIC/TLS and share a per-connection ReduLink key K derived from the QUIC TLS exporter via HKDF [24] with domain separation over ALPN, epoch, scope, and connection and stream context; the adversary does not know K. Following the Dolev-Yao model, the adversary observes the encrypted path and may drop, reorder, inject, duplicate, and replay ReduLink records, and in shared-dictionary modes may submit chosen FULL content into a shared dictionary. The adversary's goal is to make a receiver deliver application bytes the legitimate sender did not authenticate for the current context, or to violate the replay or expansion bounds.</w:t>
      </w:r>
    </w:p>
    <w:p>
      <w:pPr>
        <w:spacing w:after="80" w:before="0"/>
      </w:pPr>
      <w:r>
        <w:rPr>
          <w:sz w:val="20"/>
        </w:rPr>
        <w:t>We require four properties. Reference unforgeability: no efficient adversary can produce a FULL or REF frame that the receiver accepts and that delivers bytes the sender did not authenticate for the bound context, except with negligible probability. Context binding and replay resistance: a frame authenticated for a given epoch, scope, stream, and offset is rejected in any other context, and a nonce already seen within the epoch window is rejected. Expansion bound: an accepted REF delivers exactly the authenticated chunk length, so a small reference cannot reconstruct unbounded output. Dictionary safety: only authenticated FULL chunks, or signed-manifest chunks, are admitted to the dictionary. The theorem below covers the first two properties, with the replay and expansion bounds following from the same verification checks; manifest-mode dictionary safety is a specification requirement that is not analyzed here because the manifest mechanism is unimplemented (Table 3).</w:t>
      </w:r>
    </w:p>
    <w:p>
      <w:pPr>
        <w:spacing w:after="80" w:before="0"/>
      </w:pPr>
      <w:r>
        <w:rPr>
          <w:sz w:val="20"/>
        </w:rPr>
        <w:t>Concretely (Section 4.1), each chunk identifier is a truncated keyed MAC, cid = HMAC_K("cid", epoch, scope, SHA-256(chunk)), and each frame carries tag = HMAC_K(kind, epoch, scope, stream, offset, length, nonce, cid, SHA-256(payload)) [23]. Verification is authentication-first: the receiver recomputes the tag over the frame's own fields and rejects on mismatch with a single generic error, so an attacker without the key cannot distinguish which field was tampered with; only authentically-tagged frames proceed to the context checks (epoch, scope, stream, offset) and then to replay rejection against a bounded, reorder-tolerant nonce window. In the artifact the window holds the most recent nonces and treats anything at or below its floor as replayed, bounding receiver memory for long-lived sessions.</w:t>
      </w:r>
    </w:p>
    <w:p>
      <w:pPr>
        <w:spacing w:after="80" w:before="0"/>
      </w:pPr>
      <w:r>
        <w:rPr>
          <w:sz w:val="20"/>
        </w:rPr>
        <w:t>Theorem (informal). If HMAC-SHA-256 is existentially unforgeable under chosen-message attack and SHA-256 is collision-resistant, then ReduLink reference substitution satisfies reference unforgeability and context binding in the adversary model above. Proof sketch. Suppose an efficient adversary makes a receiver accept a frame delivering unauthorized bytes for some context c. Acceptance requires a valid tag over c; because the context fields are inside the MAC input and K is secret, a frame accepted for a context the sender never authenticated yields a valid MAC on a fresh message, contradicting existential unforgeability. The remaining case is a REF that verifies but resolves to bytes other than those referenced, which requires two distinct chunks sharing a cid, i.e. a collision either in SHA-256 or in the 128-bit truncated identifier output; the former contradicts collision resistance and the latter is birthday-bounded as quantified below. Replay across context fails because the context is bound in the tag and checked at verification; replay within a session fails because the nonce window rejects both repeated nonces and nonces below its floor. One caveat is inherited from the artifact keying: nonces restart at one for each encoding, so replaying an entire recorded session to a fresh receiver holding the same fixed test key would verify - cross-session freshness comes from per-connection derived keys (Section 4.3), which the aioquic path implements and the standalone model does not. A REF whose length disagrees with the stored chunk is additionally caught by the explicit length binding even when identifiers collide. The expansion bound holds because the receiver delivers exactly length bytes from the identified dictionary entry.</w:t>
      </w:r>
    </w:p>
    <w:p>
      <w:pPr>
        <w:spacing w:after="80" w:before="0"/>
      </w:pPr>
      <w:r>
        <w:rPr>
          <w:sz w:val="20"/>
        </w:rPr>
        <w:t>The MAC input is a canonical JSON encoding of the labeled fields (sorted keys, fixed separators); an interoperating implementation must reproduce this byte-exact canonicalization or define its own. Two honest caveats apply. First, the artifact truncates both the identifier and the tag to 128 bits, so identifier-collision resistance is birthday-bounded at about 2^64 and a production profile should size the identifier to the dictionary scale: at 2^30 dictionary entries the accidental-collision probability with 128-bit identifiers is about 2^-69, and even at 2^40 entries about 2^-49, so 128 bits suffices for realistic dictionaries, while deployments aggregating very large multi-tenant dictionaries across many epochs may prefer 192- or 256-bit identifiers for proof margin. The 128-bit tag gives adequate forgery resistance since the adversary lacks the key. Second, the artifact keys HMAC from an explicit test secret rather than the live QUIC exporter, so the analysis describes the production keying profile; the secure-model and authenticated-UDP tests (Section 11) reject tampered tags and replayed nonces, which is consistent with, but does not constitute, a machine-checked proof.</w:t>
      </w:r>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r>
        <w:tc>
          <w:tcPr>
            <w:tcW w:type="dxa" w:w="1872"/>
            <w:vAlign w:val="top"/>
            <w:tcMar>
              <w:top w:w="40" w:type="dxa"/>
              <w:left w:w="40" w:type="dxa"/>
              <w:bottom w:w="40" w:type="dxa"/>
              <w:right w:w="40" w:type="dxa"/>
            </w:tcMar>
          </w:tcPr>
          <w:p>
            <w:pPr>
              <w:spacing w:after="0"/>
            </w:pPr>
            <w:r/>
            <w:r>
              <w:rPr>
                <w:b w:val="0"/>
                <w:sz w:val="16"/>
              </w:rPr>
              <w:t>Path emulation</w:t>
            </w:r>
          </w:p>
        </w:tc>
        <w:tc>
          <w:tcPr>
            <w:tcW w:type="dxa" w:w="3744"/>
            <w:vAlign w:val="top"/>
            <w:tcMar>
              <w:top w:w="40" w:type="dxa"/>
              <w:left w:w="40" w:type="dxa"/>
              <w:bottom w:w="40" w:type="dxa"/>
              <w:right w:w="40" w:type="dxa"/>
            </w:tcMar>
          </w:tcPr>
          <w:p>
            <w:pPr>
              <w:spacing w:after="0"/>
            </w:pPr>
            <w:r/>
            <w:r>
              <w:rPr>
                <w:b w:val="0"/>
                <w:sz w:val="16"/>
              </w:rPr>
              <w:t>Measured shared-bottleneck completion and queueing (userspace)</w:t>
            </w:r>
          </w:p>
        </w:tc>
        <w:tc>
          <w:tcPr>
            <w:tcW w:type="dxa" w:w="3744"/>
            <w:vAlign w:val="top"/>
            <w:tcMar>
              <w:top w:w="40" w:type="dxa"/>
              <w:left w:w="40" w:type="dxa"/>
              <w:bottom w:w="40" w:type="dxa"/>
              <w:right w:w="40" w:type="dxa"/>
            </w:tcMar>
          </w:tcPr>
          <w:p>
            <w:pPr>
              <w:spacing w:after="0"/>
            </w:pPr>
            <w:r/>
            <w:r>
              <w:rPr>
                <w:b w:val="0"/>
                <w:sz w:val="16"/>
              </w:rPr>
              <w:t>Kernel netem or Internet-path fairness</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author-independent-overlap version-pair study of real package upgrades is added in Section 7.5, and Section 7.6 re-prices all headline results at the measured wire framing and adds a dictionary-delta baseline.</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for aligned whole-chunk reuse the effective multiplier is bounded by roughly one over one minus the unchanged fraction (the fixed-block-reuse column can exceed this bound because its byte-scan alignment also matches moved content),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a further 3 to 11 percent (11.3 percent on the layer-like case, 6.8 percent on redis).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 The content-defined chunker consistently underperforms fixed chunking on these aligned fixtures (at 4 KiB: 10.71x versus 28.49x on the disk snapshot, 4.60x versus 11.05x on the OCI layer), because the fixtures change bytes in place without insertions; CDC's insertion robustness is not exercised here, and its Python implementation is also the slowest component in Table 17.</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2"/>
      </w:pPr>
      <w:r>
        <w:rPr>
          <w:rFonts w:ascii="Arial" w:hAnsi="Arial"/>
        </w:rPr>
        <w:t>7.5 Package version-pair study (PyPI)</w:t>
      </w:r>
    </w:p>
    <w:p>
      <w:pPr>
        <w:spacing w:after="80" w:before="0"/>
      </w:pPr>
      <w:r>
        <w:rPr>
          <w:sz w:val="20"/>
        </w:rPr>
        <w:t>The fixtures of Section 7 and the object-aligned experiment use bytes the author selected; to obtain a positive case from fully independent data, Table 11 reports a version-pair study over real released packages. For six widely used Python packages we downloaded the wheel distributions of two consecutive released versions directly from PyPI, recording the SHA-256 of every wheel for reproducibility, treated each file inside a wheel as an object a client already holds after installing the older version, and measured object reuse with the same accounting as Section 7.2; reconstruction was additionally confirmed byte-exact by a real model round trip. The result is honestly mixed and matches the claim boundary: patch releases with high file stability (rich, 76 of 82 files unchanged; click) reach about 11x to 12x, whereas feature or minor-version upgrades (jinja2, urllib3, packaging) change enough files that gzip wins and ReduLink falls to roughly 1.1x to 1.9x. This is the paper's strongest external positive evidence because the byte overlap is whatever the real releases happened to share; the package list and version pairs were still author-selected, so this is a version-pair study rather than a captured client trace, and no claim about upgrade-traffic frequency or population weighting is made. Two modeling caveats apply. PyPI today serves each release as a single compressed wheel archive, so this experiment models a file-granular registry object channel, the deployment class of Section 7.2, rather than pip's current wire format; realizing these gains in practice would require registry-side per-object serving. For the same reason the gzip baseline is computed over the uncompressed object stream, whereas production wheels are already deflate-compressed in transit, so the comparison is internally consistent across methods but should not be mapped directly onto today's PyPI traffic.</w:t>
      </w:r>
    </w:p>
    <w:p>
      <w:pPr>
        <w:spacing w:after="40" w:before="120"/>
      </w:pPr>
      <w:r>
        <w:rPr>
          <w:b/>
          <w:sz w:val="18"/>
        </w:rPr>
        <w:t>Table 11. PyPI version-pair study: real package upgrades (object-aligned, hash-pinned).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440"/>
            <w:vAlign w:val="top"/>
            <w:tcMar>
              <w:top w:w="40" w:type="dxa"/>
              <w:left w:w="40" w:type="dxa"/>
              <w:bottom w:w="40" w:type="dxa"/>
              <w:right w:w="40" w:type="dxa"/>
            </w:tcMar>
          </w:tcPr>
          <w:p>
            <w:pPr>
              <w:spacing w:after="0"/>
            </w:pPr>
            <w:r/>
            <w:r>
              <w:rPr>
                <w:b/>
                <w:sz w:val="14"/>
              </w:rPr>
              <w:t>Package</w:t>
            </w:r>
          </w:p>
        </w:tc>
        <w:tc>
          <w:tcPr>
            <w:tcW w:type="dxa" w:w="1584"/>
            <w:vAlign w:val="top"/>
            <w:tcMar>
              <w:top w:w="40" w:type="dxa"/>
              <w:left w:w="40" w:type="dxa"/>
              <w:bottom w:w="40" w:type="dxa"/>
              <w:right w:w="40" w:type="dxa"/>
            </w:tcMar>
          </w:tcPr>
          <w:p>
            <w:pPr>
              <w:spacing w:after="0"/>
            </w:pPr>
            <w:r/>
            <w:r>
              <w:rPr>
                <w:b/>
                <w:sz w:val="14"/>
              </w:rPr>
              <w:t>Versions</w:t>
            </w:r>
          </w:p>
        </w:tc>
        <w:tc>
          <w:tcPr>
            <w:tcW w:type="dxa" w:w="1152"/>
            <w:vAlign w:val="top"/>
            <w:tcMar>
              <w:top w:w="40" w:type="dxa"/>
              <w:left w:w="40" w:type="dxa"/>
              <w:bottom w:w="40" w:type="dxa"/>
              <w:right w:w="40" w:type="dxa"/>
            </w:tcMar>
          </w:tcPr>
          <w:p>
            <w:pPr>
              <w:spacing w:after="0"/>
            </w:pPr>
            <w:r/>
            <w:r>
              <w:rPr>
                <w:b/>
                <w:sz w:val="14"/>
              </w:rPr>
              <w:t>Files unch.</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296"/>
            <w:vAlign w:val="top"/>
            <w:tcMar>
              <w:top w:w="40" w:type="dxa"/>
              <w:left w:w="40" w:type="dxa"/>
              <w:bottom w:w="40" w:type="dxa"/>
              <w:right w:w="40" w:type="dxa"/>
            </w:tcMar>
          </w:tcPr>
          <w:p>
            <w:pPr>
              <w:spacing w:after="0"/>
            </w:pPr>
            <w:r/>
            <w:r>
              <w:rPr>
                <w:b/>
                <w:sz w:val="14"/>
              </w:rPr>
              <w:t>Fixed reuse</w:t>
            </w:r>
          </w:p>
        </w:tc>
        <w:tc>
          <w:tcPr>
            <w:tcW w:type="dxa" w:w="1008"/>
            <w:vAlign w:val="top"/>
            <w:tcMar>
              <w:top w:w="40" w:type="dxa"/>
              <w:left w:w="40" w:type="dxa"/>
              <w:bottom w:w="40" w:type="dxa"/>
              <w:right w:w="40" w:type="dxa"/>
            </w:tcMar>
          </w:tcPr>
          <w:p>
            <w:pPr>
              <w:spacing w:after="0"/>
            </w:pPr>
            <w:r/>
            <w:r>
              <w:rPr>
                <w:b/>
                <w:sz w:val="14"/>
              </w:rPr>
              <w:t>gzip</w:t>
            </w:r>
          </w:p>
        </w:tc>
        <w:tc>
          <w:tcPr>
            <w:tcW w:type="dxa" w:w="864"/>
            <w:vAlign w:val="top"/>
            <w:tcMar>
              <w:top w:w="40" w:type="dxa"/>
              <w:left w:w="40" w:type="dxa"/>
              <w:bottom w:w="40" w:type="dxa"/>
              <w:right w:w="40" w:type="dxa"/>
            </w:tcMar>
          </w:tcPr>
          <w:p>
            <w:pPr>
              <w:spacing w:after="0"/>
            </w:pPr>
            <w:r/>
            <w:r>
              <w:rPr>
                <w:b/>
                <w:sz w:val="14"/>
              </w:rPr>
              <w:t>Recon.</w:t>
            </w:r>
          </w:p>
        </w:tc>
      </w:tr>
      <w:tr>
        <w:tc>
          <w:tcPr>
            <w:tcW w:type="dxa" w:w="1440"/>
            <w:vAlign w:val="top"/>
            <w:tcMar>
              <w:top w:w="40" w:type="dxa"/>
              <w:left w:w="40" w:type="dxa"/>
              <w:bottom w:w="40" w:type="dxa"/>
              <w:right w:w="40" w:type="dxa"/>
            </w:tcMar>
          </w:tcPr>
          <w:p>
            <w:pPr>
              <w:spacing w:after="0"/>
            </w:pPr>
            <w:r/>
            <w:r>
              <w:rPr>
                <w:b w:val="0"/>
                <w:sz w:val="14"/>
              </w:rPr>
              <w:t>rich</w:t>
            </w:r>
          </w:p>
        </w:tc>
        <w:tc>
          <w:tcPr>
            <w:tcW w:type="dxa" w:w="1584"/>
            <w:vAlign w:val="top"/>
            <w:tcMar>
              <w:top w:w="40" w:type="dxa"/>
              <w:left w:w="40" w:type="dxa"/>
              <w:bottom w:w="40" w:type="dxa"/>
              <w:right w:w="40" w:type="dxa"/>
            </w:tcMar>
          </w:tcPr>
          <w:p>
            <w:pPr>
              <w:spacing w:after="0"/>
            </w:pPr>
            <w:r/>
            <w:r>
              <w:rPr>
                <w:b w:val="0"/>
                <w:sz w:val="14"/>
              </w:rPr>
              <w:t>13.7.0-&gt;13.7.1</w:t>
            </w:r>
          </w:p>
        </w:tc>
        <w:tc>
          <w:tcPr>
            <w:tcW w:type="dxa" w:w="1152"/>
            <w:vAlign w:val="top"/>
            <w:tcMar>
              <w:top w:w="40" w:type="dxa"/>
              <w:left w:w="40" w:type="dxa"/>
              <w:bottom w:w="40" w:type="dxa"/>
              <w:right w:w="40" w:type="dxa"/>
            </w:tcMar>
          </w:tcPr>
          <w:p>
            <w:pPr>
              <w:spacing w:after="0"/>
            </w:pPr>
            <w:r/>
            <w:r>
              <w:rPr>
                <w:b w:val="0"/>
                <w:sz w:val="14"/>
              </w:rPr>
              <w:t>76/82</w:t>
            </w:r>
          </w:p>
        </w:tc>
        <w:tc>
          <w:tcPr>
            <w:tcW w:type="dxa" w:w="1152"/>
            <w:vAlign w:val="top"/>
            <w:tcMar>
              <w:top w:w="40" w:type="dxa"/>
              <w:left w:w="40" w:type="dxa"/>
              <w:bottom w:w="40" w:type="dxa"/>
              <w:right w:w="40" w:type="dxa"/>
            </w:tcMar>
          </w:tcPr>
          <w:p>
            <w:pPr>
              <w:spacing w:after="0"/>
            </w:pPr>
            <w:r/>
            <w:r>
              <w:rPr>
                <w:b w:val="0"/>
                <w:sz w:val="14"/>
              </w:rPr>
              <w:t>12.41x</w:t>
            </w:r>
          </w:p>
        </w:tc>
        <w:tc>
          <w:tcPr>
            <w:tcW w:type="dxa" w:w="1152"/>
            <w:vAlign w:val="top"/>
            <w:tcMar>
              <w:top w:w="40" w:type="dxa"/>
              <w:left w:w="40" w:type="dxa"/>
              <w:bottom w:w="40" w:type="dxa"/>
              <w:right w:w="40" w:type="dxa"/>
            </w:tcMar>
          </w:tcPr>
          <w:p>
            <w:pPr>
              <w:spacing w:after="0"/>
            </w:pPr>
            <w:r/>
            <w:r>
              <w:rPr>
                <w:b w:val="0"/>
                <w:sz w:val="14"/>
              </w:rPr>
              <w:t>11.40x</w:t>
            </w:r>
          </w:p>
        </w:tc>
        <w:tc>
          <w:tcPr>
            <w:tcW w:type="dxa" w:w="1296"/>
            <w:vAlign w:val="top"/>
            <w:tcMar>
              <w:top w:w="40" w:type="dxa"/>
              <w:left w:w="40" w:type="dxa"/>
              <w:bottom w:w="40" w:type="dxa"/>
              <w:right w:w="40" w:type="dxa"/>
            </w:tcMar>
          </w:tcPr>
          <w:p>
            <w:pPr>
              <w:spacing w:after="0"/>
            </w:pPr>
            <w:r/>
            <w:r>
              <w:rPr>
                <w:b w:val="0"/>
                <w:sz w:val="14"/>
              </w:rPr>
              <w:t>12.39x</w:t>
            </w:r>
          </w:p>
        </w:tc>
        <w:tc>
          <w:tcPr>
            <w:tcW w:type="dxa" w:w="1008"/>
            <w:vAlign w:val="top"/>
            <w:tcMar>
              <w:top w:w="40" w:type="dxa"/>
              <w:left w:w="40" w:type="dxa"/>
              <w:bottom w:w="40" w:type="dxa"/>
              <w:right w:w="40" w:type="dxa"/>
            </w:tcMar>
          </w:tcPr>
          <w:p>
            <w:pPr>
              <w:spacing w:after="0"/>
            </w:pPr>
            <w:r/>
            <w:r>
              <w:rPr>
                <w:b w:val="0"/>
                <w:sz w:val="14"/>
              </w:rPr>
              <w:t>4.43x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jinja2</w:t>
            </w:r>
          </w:p>
        </w:tc>
        <w:tc>
          <w:tcPr>
            <w:tcW w:type="dxa" w:w="1584"/>
            <w:vAlign w:val="top"/>
            <w:tcMar>
              <w:top w:w="40" w:type="dxa"/>
              <w:left w:w="40" w:type="dxa"/>
              <w:bottom w:w="40" w:type="dxa"/>
              <w:right w:w="40" w:type="dxa"/>
            </w:tcMar>
          </w:tcPr>
          <w:p>
            <w:pPr>
              <w:spacing w:after="0"/>
            </w:pPr>
            <w:r/>
            <w:r>
              <w:rPr>
                <w:b w:val="0"/>
                <w:sz w:val="14"/>
              </w:rPr>
              <w:t>3.1.3-&gt;3.1.4</w:t>
            </w:r>
          </w:p>
        </w:tc>
        <w:tc>
          <w:tcPr>
            <w:tcW w:type="dxa" w:w="1152"/>
            <w:vAlign w:val="top"/>
            <w:tcMar>
              <w:top w:w="40" w:type="dxa"/>
              <w:left w:w="40" w:type="dxa"/>
              <w:bottom w:w="40" w:type="dxa"/>
              <w:right w:w="40" w:type="dxa"/>
            </w:tcMar>
          </w:tcPr>
          <w:p>
            <w:pPr>
              <w:spacing w:after="0"/>
            </w:pPr>
            <w:r/>
            <w:r>
              <w:rPr>
                <w:b w:val="0"/>
                <w:sz w:val="14"/>
              </w:rPr>
              <w:t>7/30</w:t>
            </w:r>
          </w:p>
        </w:tc>
        <w:tc>
          <w:tcPr>
            <w:tcW w:type="dxa" w:w="1152"/>
            <w:vAlign w:val="top"/>
            <w:tcMar>
              <w:top w:w="40" w:type="dxa"/>
              <w:left w:w="40" w:type="dxa"/>
              <w:bottom w:w="40" w:type="dxa"/>
              <w:right w:w="40" w:type="dxa"/>
            </w:tcMar>
          </w:tcPr>
          <w:p>
            <w:pPr>
              <w:spacing w:after="0"/>
            </w:pPr>
            <w:r/>
            <w:r>
              <w:rPr>
                <w:b w:val="0"/>
                <w:sz w:val="14"/>
              </w:rPr>
              <w:t>1.10x</w:t>
            </w:r>
          </w:p>
        </w:tc>
        <w:tc>
          <w:tcPr>
            <w:tcW w:type="dxa" w:w="1152"/>
            <w:vAlign w:val="top"/>
            <w:tcMar>
              <w:top w:w="40" w:type="dxa"/>
              <w:left w:w="40" w:type="dxa"/>
              <w:bottom w:w="40" w:type="dxa"/>
              <w:right w:w="40" w:type="dxa"/>
            </w:tcMar>
          </w:tcPr>
          <w:p>
            <w:pPr>
              <w:spacing w:after="0"/>
            </w:pPr>
            <w:r/>
            <w:r>
              <w:rPr>
                <w:b w:val="0"/>
                <w:sz w:val="14"/>
              </w:rPr>
              <w:t>1.09x</w:t>
            </w:r>
          </w:p>
        </w:tc>
        <w:tc>
          <w:tcPr>
            <w:tcW w:type="dxa" w:w="1296"/>
            <w:vAlign w:val="top"/>
            <w:tcMar>
              <w:top w:w="40" w:type="dxa"/>
              <w:left w:w="40" w:type="dxa"/>
              <w:bottom w:w="40" w:type="dxa"/>
              <w:right w:w="40" w:type="dxa"/>
            </w:tcMar>
          </w:tcPr>
          <w:p>
            <w:pPr>
              <w:spacing w:after="0"/>
            </w:pPr>
            <w:r/>
            <w:r>
              <w:rPr>
                <w:b w:val="0"/>
                <w:sz w:val="14"/>
              </w:rPr>
              <w:t>1.09x</w:t>
            </w:r>
          </w:p>
        </w:tc>
        <w:tc>
          <w:tcPr>
            <w:tcW w:type="dxa" w:w="1008"/>
            <w:vAlign w:val="top"/>
            <w:tcMar>
              <w:top w:w="40" w:type="dxa"/>
              <w:left w:w="40" w:type="dxa"/>
              <w:bottom w:w="40" w:type="dxa"/>
              <w:right w:w="40" w:type="dxa"/>
            </w:tcMar>
          </w:tcPr>
          <w:p>
            <w:pPr>
              <w:spacing w:after="0"/>
            </w:pPr>
            <w:r/>
            <w:r>
              <w:rPr>
                <w:b w:val="0"/>
                <w:sz w:val="14"/>
              </w:rPr>
              <w:t>4.03x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click</w:t>
            </w:r>
          </w:p>
        </w:tc>
        <w:tc>
          <w:tcPr>
            <w:tcW w:type="dxa" w:w="1584"/>
            <w:vAlign w:val="top"/>
            <w:tcMar>
              <w:top w:w="40" w:type="dxa"/>
              <w:left w:w="40" w:type="dxa"/>
              <w:bottom w:w="40" w:type="dxa"/>
              <w:right w:w="40" w:type="dxa"/>
            </w:tcMar>
          </w:tcPr>
          <w:p>
            <w:pPr>
              <w:spacing w:after="0"/>
            </w:pPr>
            <w:r/>
            <w:r>
              <w:rPr>
                <w:b w:val="0"/>
                <w:sz w:val="14"/>
              </w:rPr>
              <w:t>8.1.6-&gt;8.1.7</w:t>
            </w:r>
          </w:p>
        </w:tc>
        <w:tc>
          <w:tcPr>
            <w:tcW w:type="dxa" w:w="1152"/>
            <w:vAlign w:val="top"/>
            <w:tcMar>
              <w:top w:w="40" w:type="dxa"/>
              <w:left w:w="40" w:type="dxa"/>
              <w:bottom w:w="40" w:type="dxa"/>
              <w:right w:w="40" w:type="dxa"/>
            </w:tcMar>
          </w:tcPr>
          <w:p>
            <w:pPr>
              <w:spacing w:after="0"/>
            </w:pPr>
            <w:r/>
            <w:r>
              <w:rPr>
                <w:b w:val="0"/>
                <w:sz w:val="14"/>
              </w:rPr>
              <w:t>13/21</w:t>
            </w:r>
          </w:p>
        </w:tc>
        <w:tc>
          <w:tcPr>
            <w:tcW w:type="dxa" w:w="1152"/>
            <w:vAlign w:val="top"/>
            <w:tcMar>
              <w:top w:w="40" w:type="dxa"/>
              <w:left w:w="40" w:type="dxa"/>
              <w:bottom w:w="40" w:type="dxa"/>
              <w:right w:w="40" w:type="dxa"/>
            </w:tcMar>
          </w:tcPr>
          <w:p>
            <w:pPr>
              <w:spacing w:after="0"/>
            </w:pPr>
            <w:r/>
            <w:r>
              <w:rPr>
                <w:b w:val="0"/>
                <w:sz w:val="14"/>
              </w:rPr>
              <w:t>11.17x</w:t>
            </w:r>
          </w:p>
        </w:tc>
        <w:tc>
          <w:tcPr>
            <w:tcW w:type="dxa" w:w="1152"/>
            <w:vAlign w:val="top"/>
            <w:tcMar>
              <w:top w:w="40" w:type="dxa"/>
              <w:left w:w="40" w:type="dxa"/>
              <w:bottom w:w="40" w:type="dxa"/>
              <w:right w:w="40" w:type="dxa"/>
            </w:tcMar>
          </w:tcPr>
          <w:p>
            <w:pPr>
              <w:spacing w:after="0"/>
            </w:pPr>
            <w:r/>
            <w:r>
              <w:rPr>
                <w:b w:val="0"/>
                <w:sz w:val="14"/>
              </w:rPr>
              <w:t>10.40x</w:t>
            </w:r>
          </w:p>
        </w:tc>
        <w:tc>
          <w:tcPr>
            <w:tcW w:type="dxa" w:w="1296"/>
            <w:vAlign w:val="top"/>
            <w:tcMar>
              <w:top w:w="40" w:type="dxa"/>
              <w:left w:w="40" w:type="dxa"/>
              <w:bottom w:w="40" w:type="dxa"/>
              <w:right w:w="40" w:type="dxa"/>
            </w:tcMar>
          </w:tcPr>
          <w:p>
            <w:pPr>
              <w:spacing w:after="0"/>
            </w:pPr>
            <w:r/>
            <w:r>
              <w:rPr>
                <w:b w:val="0"/>
                <w:sz w:val="14"/>
              </w:rPr>
              <w:t>11.14x</w:t>
            </w:r>
          </w:p>
        </w:tc>
        <w:tc>
          <w:tcPr>
            <w:tcW w:type="dxa" w:w="1008"/>
            <w:vAlign w:val="top"/>
            <w:tcMar>
              <w:top w:w="40" w:type="dxa"/>
              <w:left w:w="40" w:type="dxa"/>
              <w:bottom w:w="40" w:type="dxa"/>
              <w:right w:w="40" w:type="dxa"/>
            </w:tcMar>
          </w:tcPr>
          <w:p>
            <w:pPr>
              <w:spacing w:after="0"/>
            </w:pPr>
            <w:r/>
            <w:r>
              <w:rPr>
                <w:b w:val="0"/>
                <w:sz w:val="14"/>
              </w:rPr>
              <w:t>3.98x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werkzeug</w:t>
            </w:r>
          </w:p>
        </w:tc>
        <w:tc>
          <w:tcPr>
            <w:tcW w:type="dxa" w:w="1584"/>
            <w:vAlign w:val="top"/>
            <w:tcMar>
              <w:top w:w="40" w:type="dxa"/>
              <w:left w:w="40" w:type="dxa"/>
              <w:bottom w:w="40" w:type="dxa"/>
              <w:right w:w="40" w:type="dxa"/>
            </w:tcMar>
          </w:tcPr>
          <w:p>
            <w:pPr>
              <w:spacing w:after="0"/>
            </w:pPr>
            <w:r/>
            <w:r>
              <w:rPr>
                <w:b w:val="0"/>
                <w:sz w:val="14"/>
              </w:rPr>
              <w:t>3.0.1-&gt;3.0.2</w:t>
            </w:r>
          </w:p>
        </w:tc>
        <w:tc>
          <w:tcPr>
            <w:tcW w:type="dxa" w:w="1152"/>
            <w:vAlign w:val="top"/>
            <w:tcMar>
              <w:top w:w="40" w:type="dxa"/>
              <w:left w:w="40" w:type="dxa"/>
              <w:bottom w:w="40" w:type="dxa"/>
              <w:right w:w="40" w:type="dxa"/>
            </w:tcMar>
          </w:tcPr>
          <w:p>
            <w:pPr>
              <w:spacing w:after="0"/>
            </w:pPr>
            <w:r/>
            <w:r>
              <w:rPr>
                <w:b w:val="0"/>
                <w:sz w:val="14"/>
              </w:rPr>
              <w:t>48/69</w:t>
            </w:r>
          </w:p>
        </w:tc>
        <w:tc>
          <w:tcPr>
            <w:tcW w:type="dxa" w:w="1152"/>
            <w:vAlign w:val="top"/>
            <w:tcMar>
              <w:top w:w="40" w:type="dxa"/>
              <w:left w:w="40" w:type="dxa"/>
              <w:bottom w:w="40" w:type="dxa"/>
              <w:right w:w="40" w:type="dxa"/>
            </w:tcMar>
          </w:tcPr>
          <w:p>
            <w:pPr>
              <w:spacing w:after="0"/>
            </w:pPr>
            <w:r/>
            <w:r>
              <w:rPr>
                <w:b w:val="0"/>
                <w:sz w:val="14"/>
              </w:rPr>
              <w:t>3.06x</w:t>
            </w:r>
          </w:p>
        </w:tc>
        <w:tc>
          <w:tcPr>
            <w:tcW w:type="dxa" w:w="1152"/>
            <w:vAlign w:val="top"/>
            <w:tcMar>
              <w:top w:w="40" w:type="dxa"/>
              <w:left w:w="40" w:type="dxa"/>
              <w:bottom w:w="40" w:type="dxa"/>
              <w:right w:w="40" w:type="dxa"/>
            </w:tcMar>
          </w:tcPr>
          <w:p>
            <w:pPr>
              <w:spacing w:after="0"/>
            </w:pPr>
            <w:r/>
            <w:r>
              <w:rPr>
                <w:b w:val="0"/>
                <w:sz w:val="14"/>
              </w:rPr>
              <w:t>2.99x</w:t>
            </w:r>
          </w:p>
        </w:tc>
        <w:tc>
          <w:tcPr>
            <w:tcW w:type="dxa" w:w="1296"/>
            <w:vAlign w:val="top"/>
            <w:tcMar>
              <w:top w:w="40" w:type="dxa"/>
              <w:left w:w="40" w:type="dxa"/>
              <w:bottom w:w="40" w:type="dxa"/>
              <w:right w:w="40" w:type="dxa"/>
            </w:tcMar>
          </w:tcPr>
          <w:p>
            <w:pPr>
              <w:spacing w:after="0"/>
            </w:pPr>
            <w:r/>
            <w:r>
              <w:rPr>
                <w:b w:val="0"/>
                <w:sz w:val="14"/>
              </w:rPr>
              <w:t>3.05x</w:t>
            </w:r>
          </w:p>
        </w:tc>
        <w:tc>
          <w:tcPr>
            <w:tcW w:type="dxa" w:w="1008"/>
            <w:vAlign w:val="top"/>
            <w:tcMar>
              <w:top w:w="40" w:type="dxa"/>
              <w:left w:w="40" w:type="dxa"/>
              <w:bottom w:w="40" w:type="dxa"/>
              <w:right w:w="40" w:type="dxa"/>
            </w:tcMar>
          </w:tcPr>
          <w:p>
            <w:pPr>
              <w:spacing w:after="0"/>
            </w:pPr>
            <w:r/>
            <w:r>
              <w:rPr>
                <w:b w:val="0"/>
                <w:sz w:val="14"/>
              </w:rPr>
              <w:t>3.97x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urllib3</w:t>
            </w:r>
          </w:p>
        </w:tc>
        <w:tc>
          <w:tcPr>
            <w:tcW w:type="dxa" w:w="1584"/>
            <w:vAlign w:val="top"/>
            <w:tcMar>
              <w:top w:w="40" w:type="dxa"/>
              <w:left w:w="40" w:type="dxa"/>
              <w:bottom w:w="40" w:type="dxa"/>
              <w:right w:w="40" w:type="dxa"/>
            </w:tcMar>
          </w:tcPr>
          <w:p>
            <w:pPr>
              <w:spacing w:after="0"/>
            </w:pPr>
            <w:r/>
            <w:r>
              <w:rPr>
                <w:b w:val="0"/>
                <w:sz w:val="14"/>
              </w:rPr>
              <w:t>2.1.0-&gt;2.2.0</w:t>
            </w:r>
          </w:p>
        </w:tc>
        <w:tc>
          <w:tcPr>
            <w:tcW w:type="dxa" w:w="1152"/>
            <w:vAlign w:val="top"/>
            <w:tcMar>
              <w:top w:w="40" w:type="dxa"/>
              <w:left w:w="40" w:type="dxa"/>
              <w:bottom w:w="40" w:type="dxa"/>
              <w:right w:w="40" w:type="dxa"/>
            </w:tcMar>
          </w:tcPr>
          <w:p>
            <w:pPr>
              <w:spacing w:after="0"/>
            </w:pPr>
            <w:r/>
            <w:r>
              <w:rPr>
                <w:b w:val="0"/>
                <w:sz w:val="14"/>
              </w:rPr>
              <w:t>19/39</w:t>
            </w:r>
          </w:p>
        </w:tc>
        <w:tc>
          <w:tcPr>
            <w:tcW w:type="dxa" w:w="1152"/>
            <w:vAlign w:val="top"/>
            <w:tcMar>
              <w:top w:w="40" w:type="dxa"/>
              <w:left w:w="40" w:type="dxa"/>
              <w:bottom w:w="40" w:type="dxa"/>
              <w:right w:w="40" w:type="dxa"/>
            </w:tcMar>
          </w:tcPr>
          <w:p>
            <w:pPr>
              <w:spacing w:after="0"/>
            </w:pPr>
            <w:r/>
            <w:r>
              <w:rPr>
                <w:b w:val="0"/>
                <w:sz w:val="14"/>
              </w:rPr>
              <w:t>1.87x</w:t>
            </w:r>
          </w:p>
        </w:tc>
        <w:tc>
          <w:tcPr>
            <w:tcW w:type="dxa" w:w="1152"/>
            <w:vAlign w:val="top"/>
            <w:tcMar>
              <w:top w:w="40" w:type="dxa"/>
              <w:left w:w="40" w:type="dxa"/>
              <w:bottom w:w="40" w:type="dxa"/>
              <w:right w:w="40" w:type="dxa"/>
            </w:tcMar>
          </w:tcPr>
          <w:p>
            <w:pPr>
              <w:spacing w:after="0"/>
            </w:pPr>
            <w:r/>
            <w:r>
              <w:rPr>
                <w:b w:val="0"/>
                <w:sz w:val="14"/>
              </w:rPr>
              <w:t>1.84x</w:t>
            </w:r>
          </w:p>
        </w:tc>
        <w:tc>
          <w:tcPr>
            <w:tcW w:type="dxa" w:w="1296"/>
            <w:vAlign w:val="top"/>
            <w:tcMar>
              <w:top w:w="40" w:type="dxa"/>
              <w:left w:w="40" w:type="dxa"/>
              <w:bottom w:w="40" w:type="dxa"/>
              <w:right w:w="40" w:type="dxa"/>
            </w:tcMar>
          </w:tcPr>
          <w:p>
            <w:pPr>
              <w:spacing w:after="0"/>
            </w:pPr>
            <w:r/>
            <w:r>
              <w:rPr>
                <w:b w:val="0"/>
                <w:sz w:val="14"/>
              </w:rPr>
              <w:t>1.87x</w:t>
            </w:r>
          </w:p>
        </w:tc>
        <w:tc>
          <w:tcPr>
            <w:tcW w:type="dxa" w:w="1008"/>
            <w:vAlign w:val="top"/>
            <w:tcMar>
              <w:top w:w="40" w:type="dxa"/>
              <w:left w:w="40" w:type="dxa"/>
              <w:bottom w:w="40" w:type="dxa"/>
              <w:right w:w="40" w:type="dxa"/>
            </w:tcMar>
          </w:tcPr>
          <w:p>
            <w:pPr>
              <w:spacing w:after="0"/>
            </w:pPr>
            <w:r/>
            <w:r>
              <w:rPr>
                <w:b w:val="0"/>
                <w:sz w:val="14"/>
              </w:rPr>
              <w:t>3.81x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packaging</w:t>
            </w:r>
          </w:p>
        </w:tc>
        <w:tc>
          <w:tcPr>
            <w:tcW w:type="dxa" w:w="1584"/>
            <w:vAlign w:val="top"/>
            <w:tcMar>
              <w:top w:w="40" w:type="dxa"/>
              <w:left w:w="40" w:type="dxa"/>
              <w:bottom w:w="40" w:type="dxa"/>
              <w:right w:w="40" w:type="dxa"/>
            </w:tcMar>
          </w:tcPr>
          <w:p>
            <w:pPr>
              <w:spacing w:after="0"/>
            </w:pPr>
            <w:r/>
            <w:r>
              <w:rPr>
                <w:b w:val="0"/>
                <w:sz w:val="14"/>
              </w:rPr>
              <w:t>23.2-&gt;24.0</w:t>
            </w:r>
          </w:p>
        </w:tc>
        <w:tc>
          <w:tcPr>
            <w:tcW w:type="dxa" w:w="1152"/>
            <w:vAlign w:val="top"/>
            <w:tcMar>
              <w:top w:w="40" w:type="dxa"/>
              <w:left w:w="40" w:type="dxa"/>
              <w:bottom w:w="40" w:type="dxa"/>
              <w:right w:w="40" w:type="dxa"/>
            </w:tcMar>
          </w:tcPr>
          <w:p>
            <w:pPr>
              <w:spacing w:after="0"/>
            </w:pPr>
            <w:r/>
            <w:r>
              <w:rPr>
                <w:b w:val="0"/>
                <w:sz w:val="14"/>
              </w:rPr>
              <w:t>7/20</w:t>
            </w:r>
          </w:p>
        </w:tc>
        <w:tc>
          <w:tcPr>
            <w:tcW w:type="dxa" w:w="1152"/>
            <w:vAlign w:val="top"/>
            <w:tcMar>
              <w:top w:w="40" w:type="dxa"/>
              <w:left w:w="40" w:type="dxa"/>
              <w:bottom w:w="40" w:type="dxa"/>
              <w:right w:w="40" w:type="dxa"/>
            </w:tcMar>
          </w:tcPr>
          <w:p>
            <w:pPr>
              <w:spacing w:after="0"/>
            </w:pPr>
            <w:r/>
            <w:r>
              <w:rPr>
                <w:b w:val="0"/>
                <w:sz w:val="14"/>
              </w:rPr>
              <w:t>1.54x</w:t>
            </w:r>
          </w:p>
        </w:tc>
        <w:tc>
          <w:tcPr>
            <w:tcW w:type="dxa" w:w="1152"/>
            <w:vAlign w:val="top"/>
            <w:tcMar>
              <w:top w:w="40" w:type="dxa"/>
              <w:left w:w="40" w:type="dxa"/>
              <w:bottom w:w="40" w:type="dxa"/>
              <w:right w:w="40" w:type="dxa"/>
            </w:tcMar>
          </w:tcPr>
          <w:p>
            <w:pPr>
              <w:spacing w:after="0"/>
            </w:pPr>
            <w:r/>
            <w:r>
              <w:rPr>
                <w:b w:val="0"/>
                <w:sz w:val="14"/>
              </w:rPr>
              <w:t>1.52x</w:t>
            </w:r>
          </w:p>
        </w:tc>
        <w:tc>
          <w:tcPr>
            <w:tcW w:type="dxa" w:w="1296"/>
            <w:vAlign w:val="top"/>
            <w:tcMar>
              <w:top w:w="40" w:type="dxa"/>
              <w:left w:w="40" w:type="dxa"/>
              <w:bottom w:w="40" w:type="dxa"/>
              <w:right w:w="40" w:type="dxa"/>
            </w:tcMar>
          </w:tcPr>
          <w:p>
            <w:pPr>
              <w:spacing w:after="0"/>
            </w:pPr>
            <w:r/>
            <w:r>
              <w:rPr>
                <w:b w:val="0"/>
                <w:sz w:val="14"/>
              </w:rPr>
              <w:t>1.53x</w:t>
            </w:r>
          </w:p>
        </w:tc>
        <w:tc>
          <w:tcPr>
            <w:tcW w:type="dxa" w:w="1008"/>
            <w:vAlign w:val="top"/>
            <w:tcMar>
              <w:top w:w="40" w:type="dxa"/>
              <w:left w:w="40" w:type="dxa"/>
              <w:bottom w:w="40" w:type="dxa"/>
              <w:right w:w="40" w:type="dxa"/>
            </w:tcMar>
          </w:tcPr>
          <w:p>
            <w:pPr>
              <w:spacing w:after="0"/>
            </w:pPr>
            <w:r/>
            <w:r>
              <w:rPr>
                <w:b w:val="0"/>
                <w:sz w:val="14"/>
              </w:rPr>
              <w:t>3.79x</w:t>
            </w:r>
          </w:p>
        </w:tc>
        <w:tc>
          <w:tcPr>
            <w:tcW w:type="dxa" w:w="864"/>
            <w:vAlign w:val="top"/>
            <w:tcMar>
              <w:top w:w="40" w:type="dxa"/>
              <w:left w:w="40" w:type="dxa"/>
              <w:bottom w:w="40" w:type="dxa"/>
              <w:right w:w="40" w:type="dxa"/>
            </w:tcMar>
          </w:tcPr>
          <w:p>
            <w:pPr>
              <w:spacing w:after="0"/>
            </w:pPr>
            <w:r/>
            <w:r>
              <w:rPr>
                <w:b w:val="0"/>
                <w:sz w:val="14"/>
              </w:rPr>
              <w:t>OK</w:t>
            </w:r>
          </w:p>
        </w:tc>
      </w:tr>
    </w:tbl>
    <w:p/>
    <w:p>
      <w:pPr>
        <w:pStyle w:val="Heading2"/>
      </w:pPr>
      <w:r>
        <w:rPr>
          <w:rFonts w:ascii="Arial" w:hAnsi="Arial"/>
        </w:rPr>
        <w:t>7.6 Framing sensitivity and a dictionary-delta baseline</w:t>
      </w:r>
    </w:p>
    <w:p>
      <w:pPr>
        <w:spacing w:after="80" w:before="0"/>
      </w:pPr>
      <w:r>
        <w:rPr>
          <w:sz w:val="20"/>
        </w:rPr>
        <w:t>Two review-driven checks close out the workload evaluation; Table 12 reports both. First, framing repricing: the offline model's 24/32-byte overheads understate the artifact's own compact binary wire format, which costs a measured 108 bytes of metadata per frame. Re-pricing every FULL and REF at the measured cost lowers the headline multipliers by 5 to 28 percent - redis falls from 9.70x to 7.90x, the layer-like case from 21.37x to 15.28x - without changing any qualitative conclusion; both figures are reported so readers can price a production varint encoding anywhere between them. Second, the strongest byte baseline we know of: zstd with the prior object stream as a raw-content dictionary (zstd -3 --patch-from [26]), the deployed-style analog of Compression Dictionary Transport. Its result is unambiguous and we state it plainly: whenever the receiver retains the exact prior byte stream and a codec delta is acceptable, dictionary delta dominates ReduLink on bytes by one to three orders of magnitude (65x to 1,785x on these corpora). ReduLink's justification is therefore never byte-optimality against a whole-stream codec delta; it is per-reference authentication, object-granular incremental delivery against a chunk dictionary rather than a contiguous retained stream, fail-closed repair, and stream compatibility. Deployments whose receivers can hold the exact prior stream and tolerate codec-level trust should prefer dictionary delta; Section 12 revisits this boundary.</w:t>
      </w:r>
    </w:p>
    <w:p>
      <w:pPr>
        <w:spacing w:after="40" w:before="120"/>
      </w:pPr>
      <w:r>
        <w:rPr>
          <w:b/>
          <w:sz w:val="18"/>
        </w:rPr>
        <w:t>Table 12. Framing repricing (measured 108-byte wire framing vs 24/32-byte model) and the zstd dictionary-delta baseline on the same object streams.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Case</w:t>
            </w:r>
          </w:p>
        </w:tc>
        <w:tc>
          <w:tcPr>
            <w:tcW w:type="dxa" w:w="1440"/>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RL (model)</w:t>
            </w:r>
          </w:p>
        </w:tc>
        <w:tc>
          <w:tcPr>
            <w:tcW w:type="dxa" w:w="1584"/>
            <w:vAlign w:val="top"/>
            <w:tcMar>
              <w:top w:w="40" w:type="dxa"/>
              <w:left w:w="40" w:type="dxa"/>
              <w:bottom w:w="40" w:type="dxa"/>
              <w:right w:w="40" w:type="dxa"/>
            </w:tcMar>
          </w:tcPr>
          <w:p>
            <w:pPr>
              <w:spacing w:after="0"/>
            </w:pPr>
            <w:r/>
            <w:r>
              <w:rPr>
                <w:b/>
                <w:sz w:val="14"/>
              </w:rPr>
              <w:t>RL (wire-priced)</w:t>
            </w:r>
          </w:p>
        </w:tc>
        <w:tc>
          <w:tcPr>
            <w:tcW w:type="dxa" w:w="1728"/>
            <w:vAlign w:val="top"/>
            <w:tcMar>
              <w:top w:w="40" w:type="dxa"/>
              <w:left w:w="40" w:type="dxa"/>
              <w:bottom w:w="40" w:type="dxa"/>
              <w:right w:w="40" w:type="dxa"/>
            </w:tcMar>
          </w:tcPr>
          <w:p>
            <w:pPr>
              <w:spacing w:after="0"/>
            </w:pPr>
            <w:r/>
            <w:r>
              <w:rPr>
                <w:b/>
                <w:sz w:val="14"/>
              </w:rPr>
              <w:t>zstd --patch-from</w:t>
            </w:r>
          </w:p>
        </w:tc>
        <w:tc>
          <w:tcPr>
            <w:tcW w:type="dxa" w:w="1008"/>
            <w:vAlign w:val="top"/>
            <w:tcMar>
              <w:top w:w="40" w:type="dxa"/>
              <w:left w:w="40" w:type="dxa"/>
              <w:bottom w:w="40" w:type="dxa"/>
              <w:right w:w="40" w:type="dxa"/>
            </w:tcMar>
          </w:tcPr>
          <w:p>
            <w:pPr>
              <w:spacing w:after="0"/>
            </w:pPr>
            <w:r/>
            <w:r>
              <w:rPr>
                <w:b/>
                <w:sz w:val="14"/>
              </w:rPr>
              <w:t>gzip</w:t>
            </w:r>
          </w:p>
        </w:tc>
      </w:tr>
      <w:tr>
        <w:tc>
          <w:tcPr>
            <w:tcW w:type="dxa" w:w="2880"/>
            <w:vAlign w:val="top"/>
            <w:tcMar>
              <w:top w:w="40" w:type="dxa"/>
              <w:left w:w="40" w:type="dxa"/>
              <w:bottom w:w="40" w:type="dxa"/>
              <w:right w:w="40" w:type="dxa"/>
            </w:tcMar>
          </w:tcPr>
          <w:p>
            <w:pPr>
              <w:spacing w:after="0"/>
            </w:pPr>
            <w:r/>
            <w:r>
              <w:rPr>
                <w:b w:val="0"/>
                <w:sz w:val="14"/>
              </w:rPr>
              <w:t>click-8.1.7-to-8.1.8</w:t>
            </w:r>
          </w:p>
        </w:tc>
        <w:tc>
          <w:tcPr>
            <w:tcW w:type="dxa" w:w="1440"/>
            <w:vAlign w:val="top"/>
            <w:tcMar>
              <w:top w:w="40" w:type="dxa"/>
              <w:left w:w="40" w:type="dxa"/>
              <w:bottom w:w="40" w:type="dxa"/>
              <w:right w:w="40" w:type="dxa"/>
            </w:tcMar>
          </w:tcPr>
          <w:p>
            <w:pPr>
              <w:spacing w:after="0"/>
            </w:pPr>
            <w:r/>
            <w:r>
              <w:rPr>
                <w:b w:val="0"/>
                <w:sz w:val="14"/>
              </w:rPr>
              <w:t>947,826</w:t>
            </w:r>
          </w:p>
        </w:tc>
        <w:tc>
          <w:tcPr>
            <w:tcW w:type="dxa" w:w="1296"/>
            <w:vAlign w:val="top"/>
            <w:tcMar>
              <w:top w:w="40" w:type="dxa"/>
              <w:left w:w="40" w:type="dxa"/>
              <w:bottom w:w="40" w:type="dxa"/>
              <w:right w:w="40" w:type="dxa"/>
            </w:tcMar>
          </w:tcPr>
          <w:p>
            <w:pPr>
              <w:spacing w:after="0"/>
            </w:pPr>
            <w:r/>
            <w:r>
              <w:rPr>
                <w:b w:val="0"/>
                <w:sz w:val="14"/>
              </w:rPr>
              <w:t>1.94x</w:t>
            </w:r>
          </w:p>
        </w:tc>
        <w:tc>
          <w:tcPr>
            <w:tcW w:type="dxa" w:w="1584"/>
            <w:vAlign w:val="top"/>
            <w:tcMar>
              <w:top w:w="40" w:type="dxa"/>
              <w:left w:w="40" w:type="dxa"/>
              <w:bottom w:w="40" w:type="dxa"/>
              <w:right w:w="40" w:type="dxa"/>
            </w:tcMar>
          </w:tcPr>
          <w:p>
            <w:pPr>
              <w:spacing w:after="0"/>
            </w:pPr>
            <w:r/>
            <w:r>
              <w:rPr>
                <w:b w:val="0"/>
                <w:sz w:val="14"/>
              </w:rPr>
              <w:t>1.84x</w:t>
            </w:r>
          </w:p>
        </w:tc>
        <w:tc>
          <w:tcPr>
            <w:tcW w:type="dxa" w:w="1728"/>
            <w:vAlign w:val="top"/>
            <w:tcMar>
              <w:top w:w="40" w:type="dxa"/>
              <w:left w:w="40" w:type="dxa"/>
              <w:bottom w:w="40" w:type="dxa"/>
              <w:right w:w="40" w:type="dxa"/>
            </w:tcMar>
          </w:tcPr>
          <w:p>
            <w:pPr>
              <w:spacing w:after="0"/>
            </w:pPr>
            <w:r/>
            <w:r>
              <w:rPr>
                <w:b w:val="0"/>
                <w:sz w:val="14"/>
              </w:rPr>
              <w:t>65.25x</w:t>
            </w:r>
          </w:p>
        </w:tc>
        <w:tc>
          <w:tcPr>
            <w:tcW w:type="dxa" w:w="1008"/>
            <w:vAlign w:val="top"/>
            <w:tcMar>
              <w:top w:w="40" w:type="dxa"/>
              <w:left w:w="40" w:type="dxa"/>
              <w:bottom w:w="40" w:type="dxa"/>
              <w:right w:w="40" w:type="dxa"/>
            </w:tcMar>
          </w:tcPr>
          <w:p>
            <w:pPr>
              <w:spacing w:after="0"/>
            </w:pPr>
            <w:r/>
            <w:r>
              <w:rPr>
                <w:b w:val="0"/>
                <w:sz w:val="14"/>
              </w:rPr>
              <w:t>2.86x</w:t>
            </w:r>
          </w:p>
        </w:tc>
      </w:tr>
      <w:tr>
        <w:tc>
          <w:tcPr>
            <w:tcW w:type="dxa" w:w="2880"/>
            <w:vAlign w:val="top"/>
            <w:tcMar>
              <w:top w:w="40" w:type="dxa"/>
              <w:left w:w="40" w:type="dxa"/>
              <w:bottom w:w="40" w:type="dxa"/>
              <w:right w:w="40" w:type="dxa"/>
            </w:tcMar>
          </w:tcPr>
          <w:p>
            <w:pPr>
              <w:spacing w:after="0"/>
            </w:pPr>
            <w:r/>
            <w:r>
              <w:rPr>
                <w:b w:val="0"/>
                <w:sz w:val="14"/>
              </w:rPr>
              <w:t>redis-7.2.4-to-7.2.5</w:t>
            </w:r>
          </w:p>
        </w:tc>
        <w:tc>
          <w:tcPr>
            <w:tcW w:type="dxa" w:w="1440"/>
            <w:vAlign w:val="top"/>
            <w:tcMar>
              <w:top w:w="40" w:type="dxa"/>
              <w:left w:w="40" w:type="dxa"/>
              <w:bottom w:w="40" w:type="dxa"/>
              <w:right w:w="40" w:type="dxa"/>
            </w:tcMar>
          </w:tcPr>
          <w:p>
            <w:pPr>
              <w:spacing w:after="0"/>
            </w:pPr>
            <w:r/>
            <w:r>
              <w:rPr>
                <w:b w:val="0"/>
                <w:sz w:val="14"/>
              </w:rPr>
              <w:t>15,467,095</w:t>
            </w:r>
          </w:p>
        </w:tc>
        <w:tc>
          <w:tcPr>
            <w:tcW w:type="dxa" w:w="1296"/>
            <w:vAlign w:val="top"/>
            <w:tcMar>
              <w:top w:w="40" w:type="dxa"/>
              <w:left w:w="40" w:type="dxa"/>
              <w:bottom w:w="40" w:type="dxa"/>
              <w:right w:w="40" w:type="dxa"/>
            </w:tcMar>
          </w:tcPr>
          <w:p>
            <w:pPr>
              <w:spacing w:after="0"/>
            </w:pPr>
            <w:r/>
            <w:r>
              <w:rPr>
                <w:b w:val="0"/>
                <w:sz w:val="14"/>
              </w:rPr>
              <w:t>9.70x</w:t>
            </w:r>
          </w:p>
        </w:tc>
        <w:tc>
          <w:tcPr>
            <w:tcW w:type="dxa" w:w="1584"/>
            <w:vAlign w:val="top"/>
            <w:tcMar>
              <w:top w:w="40" w:type="dxa"/>
              <w:left w:w="40" w:type="dxa"/>
              <w:bottom w:w="40" w:type="dxa"/>
              <w:right w:w="40" w:type="dxa"/>
            </w:tcMar>
          </w:tcPr>
          <w:p>
            <w:pPr>
              <w:spacing w:after="0"/>
            </w:pPr>
            <w:r/>
            <w:r>
              <w:rPr>
                <w:b w:val="0"/>
                <w:sz w:val="14"/>
              </w:rPr>
              <w:t>7.90x</w:t>
            </w:r>
          </w:p>
        </w:tc>
        <w:tc>
          <w:tcPr>
            <w:tcW w:type="dxa" w:w="1728"/>
            <w:vAlign w:val="top"/>
            <w:tcMar>
              <w:top w:w="40" w:type="dxa"/>
              <w:left w:w="40" w:type="dxa"/>
              <w:bottom w:w="40" w:type="dxa"/>
              <w:right w:w="40" w:type="dxa"/>
            </w:tcMar>
          </w:tcPr>
          <w:p>
            <w:pPr>
              <w:spacing w:after="0"/>
            </w:pPr>
            <w:r/>
            <w:r>
              <w:rPr>
                <w:b w:val="0"/>
                <w:sz w:val="14"/>
              </w:rPr>
              <w:t>1785.43x</w:t>
            </w:r>
          </w:p>
        </w:tc>
        <w:tc>
          <w:tcPr>
            <w:tcW w:type="dxa" w:w="1008"/>
            <w:vAlign w:val="top"/>
            <w:tcMar>
              <w:top w:w="40" w:type="dxa"/>
              <w:left w:w="40" w:type="dxa"/>
              <w:bottom w:w="40" w:type="dxa"/>
              <w:right w:w="40" w:type="dxa"/>
            </w:tcMar>
          </w:tcPr>
          <w:p>
            <w:pPr>
              <w:spacing w:after="0"/>
            </w:pPr>
            <w:r/>
            <w:r>
              <w:rPr>
                <w:b w:val="0"/>
                <w:sz w:val="14"/>
              </w:rPr>
              <w:t>4.61x</w:t>
            </w:r>
          </w:p>
        </w:tc>
      </w:tr>
      <w:tr>
        <w:tc>
          <w:tcPr>
            <w:tcW w:type="dxa" w:w="2880"/>
            <w:vAlign w:val="top"/>
            <w:tcMar>
              <w:top w:w="40" w:type="dxa"/>
              <w:left w:w="40" w:type="dxa"/>
              <w:bottom w:w="40" w:type="dxa"/>
              <w:right w:w="40" w:type="dxa"/>
            </w:tcMar>
          </w:tcPr>
          <w:p>
            <w:pPr>
              <w:spacing w:after="0"/>
            </w:pPr>
            <w:r/>
            <w:r>
              <w:rPr>
                <w:b w:val="0"/>
                <w:sz w:val="14"/>
              </w:rPr>
              <w:t>nginx-1.25.3-to-1.25.4</w:t>
            </w:r>
          </w:p>
        </w:tc>
        <w:tc>
          <w:tcPr>
            <w:tcW w:type="dxa" w:w="1440"/>
            <w:vAlign w:val="top"/>
            <w:tcMar>
              <w:top w:w="40" w:type="dxa"/>
              <w:left w:w="40" w:type="dxa"/>
              <w:bottom w:w="40" w:type="dxa"/>
              <w:right w:w="40" w:type="dxa"/>
            </w:tcMar>
          </w:tcPr>
          <w:p>
            <w:pPr>
              <w:spacing w:after="0"/>
            </w:pPr>
            <w:r/>
            <w:r>
              <w:rPr>
                <w:b w:val="0"/>
                <w:sz w:val="14"/>
              </w:rPr>
              <w:t>7,357,392</w:t>
            </w:r>
          </w:p>
        </w:tc>
        <w:tc>
          <w:tcPr>
            <w:tcW w:type="dxa" w:w="1296"/>
            <w:vAlign w:val="top"/>
            <w:tcMar>
              <w:top w:w="40" w:type="dxa"/>
              <w:left w:w="40" w:type="dxa"/>
              <w:bottom w:w="40" w:type="dxa"/>
              <w:right w:w="40" w:type="dxa"/>
            </w:tcMar>
          </w:tcPr>
          <w:p>
            <w:pPr>
              <w:spacing w:after="0"/>
            </w:pPr>
            <w:r/>
            <w:r>
              <w:rPr>
                <w:b w:val="0"/>
                <w:sz w:val="14"/>
              </w:rPr>
              <w:t>4.38x</w:t>
            </w:r>
          </w:p>
        </w:tc>
        <w:tc>
          <w:tcPr>
            <w:tcW w:type="dxa" w:w="1584"/>
            <w:vAlign w:val="top"/>
            <w:tcMar>
              <w:top w:w="40" w:type="dxa"/>
              <w:left w:w="40" w:type="dxa"/>
              <w:bottom w:w="40" w:type="dxa"/>
              <w:right w:w="40" w:type="dxa"/>
            </w:tcMar>
          </w:tcPr>
          <w:p>
            <w:pPr>
              <w:spacing w:after="0"/>
            </w:pPr>
            <w:r/>
            <w:r>
              <w:rPr>
                <w:b w:val="0"/>
                <w:sz w:val="14"/>
              </w:rPr>
              <w:t>4.00x</w:t>
            </w:r>
          </w:p>
        </w:tc>
        <w:tc>
          <w:tcPr>
            <w:tcW w:type="dxa" w:w="1728"/>
            <w:vAlign w:val="top"/>
            <w:tcMar>
              <w:top w:w="40" w:type="dxa"/>
              <w:left w:w="40" w:type="dxa"/>
              <w:bottom w:w="40" w:type="dxa"/>
              <w:right w:w="40" w:type="dxa"/>
            </w:tcMar>
          </w:tcPr>
          <w:p>
            <w:pPr>
              <w:spacing w:after="0"/>
            </w:pPr>
            <w:r/>
            <w:r>
              <w:rPr>
                <w:b w:val="0"/>
                <w:sz w:val="14"/>
              </w:rPr>
              <w:t>951.72x</w:t>
            </w:r>
          </w:p>
        </w:tc>
        <w:tc>
          <w:tcPr>
            <w:tcW w:type="dxa" w:w="1008"/>
            <w:vAlign w:val="top"/>
            <w:tcMar>
              <w:top w:w="40" w:type="dxa"/>
              <w:left w:w="40" w:type="dxa"/>
              <w:bottom w:w="40" w:type="dxa"/>
              <w:right w:w="40" w:type="dxa"/>
            </w:tcMar>
          </w:tcPr>
          <w:p>
            <w:pPr>
              <w:spacing w:after="0"/>
            </w:pPr>
            <w:r/>
            <w:r>
              <w:rPr>
                <w:b w:val="0"/>
                <w:sz w:val="14"/>
              </w:rPr>
              <w:t>6.09x</w:t>
            </w:r>
          </w:p>
        </w:tc>
      </w:tr>
      <w:tr>
        <w:tc>
          <w:tcPr>
            <w:tcW w:type="dxa" w:w="2880"/>
            <w:vAlign w:val="top"/>
            <w:tcMar>
              <w:top w:w="40" w:type="dxa"/>
              <w:left w:w="40" w:type="dxa"/>
              <w:bottom w:w="40" w:type="dxa"/>
              <w:right w:w="40" w:type="dxa"/>
            </w:tcMar>
          </w:tcPr>
          <w:p>
            <w:pPr>
              <w:spacing w:after="0"/>
            </w:pPr>
            <w:r/>
            <w:r>
              <w:rPr>
                <w:b w:val="0"/>
                <w:sz w:val="14"/>
              </w:rPr>
              <w:t>redis-layered-public-positive</w:t>
            </w:r>
          </w:p>
        </w:tc>
        <w:tc>
          <w:tcPr>
            <w:tcW w:type="dxa" w:w="1440"/>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21.37x</w:t>
            </w:r>
          </w:p>
        </w:tc>
        <w:tc>
          <w:tcPr>
            <w:tcW w:type="dxa" w:w="1584"/>
            <w:vAlign w:val="top"/>
            <w:tcMar>
              <w:top w:w="40" w:type="dxa"/>
              <w:left w:w="40" w:type="dxa"/>
              <w:bottom w:w="40" w:type="dxa"/>
              <w:right w:w="40" w:type="dxa"/>
            </w:tcMar>
          </w:tcPr>
          <w:p>
            <w:pPr>
              <w:spacing w:after="0"/>
            </w:pPr>
            <w:r/>
            <w:r>
              <w:rPr>
                <w:b w:val="0"/>
                <w:sz w:val="14"/>
              </w:rPr>
              <w:t>15.28x</w:t>
            </w:r>
          </w:p>
        </w:tc>
        <w:tc>
          <w:tcPr>
            <w:tcW w:type="dxa" w:w="1728"/>
            <w:vAlign w:val="top"/>
            <w:tcMar>
              <w:top w:w="40" w:type="dxa"/>
              <w:left w:w="40" w:type="dxa"/>
              <w:bottom w:w="40" w:type="dxa"/>
              <w:right w:w="40" w:type="dxa"/>
            </w:tcMar>
          </w:tcPr>
          <w:p>
            <w:pPr>
              <w:spacing w:after="0"/>
            </w:pPr>
            <w:r/>
            <w:r>
              <w:rPr>
                <w:b w:val="0"/>
                <w:sz w:val="14"/>
              </w:rPr>
              <w:t>1659.14x</w:t>
            </w:r>
          </w:p>
        </w:tc>
        <w:tc>
          <w:tcPr>
            <w:tcW w:type="dxa" w:w="1008"/>
            <w:vAlign w:val="top"/>
            <w:tcMar>
              <w:top w:w="40" w:type="dxa"/>
              <w:left w:w="40" w:type="dxa"/>
              <w:bottom w:w="40" w:type="dxa"/>
              <w:right w:w="40" w:type="dxa"/>
            </w:tcMar>
          </w:tcPr>
          <w:p>
            <w:pPr>
              <w:spacing w:after="0"/>
            </w:pPr>
            <w:r/>
            <w:r>
              <w:rPr>
                <w:b w:val="0"/>
                <w:sz w:val="14"/>
              </w:rPr>
              <w:t>4.24x</w:t>
            </w:r>
          </w:p>
        </w:tc>
      </w:tr>
      <w:tr>
        <w:tc>
          <w:tcPr>
            <w:tcW w:type="dxa" w:w="2880"/>
            <w:vAlign w:val="top"/>
            <w:tcMar>
              <w:top w:w="40" w:type="dxa"/>
              <w:left w:w="40" w:type="dxa"/>
              <w:bottom w:w="40" w:type="dxa"/>
              <w:right w:w="40" w:type="dxa"/>
            </w:tcMar>
          </w:tcPr>
          <w:p>
            <w:pPr>
              <w:spacing w:after="0"/>
            </w:pPr>
            <w:r/>
            <w:r>
              <w:rPr>
                <w:b w:val="0"/>
                <w:sz w:val="14"/>
              </w:rPr>
              <w:t>pypi rich-13.7.0-to-13.7.1</w:t>
            </w:r>
          </w:p>
        </w:tc>
        <w:tc>
          <w:tcPr>
            <w:tcW w:type="dxa" w:w="1440"/>
            <w:vAlign w:val="top"/>
            <w:tcMar>
              <w:top w:w="40" w:type="dxa"/>
              <w:left w:w="40" w:type="dxa"/>
              <w:bottom w:w="40" w:type="dxa"/>
              <w:right w:w="40" w:type="dxa"/>
            </w:tcMar>
          </w:tcPr>
          <w:p>
            <w:pPr>
              <w:spacing w:after="0"/>
            </w:pPr>
            <w:r/>
            <w:r>
              <w:rPr>
                <w:b w:val="0"/>
                <w:sz w:val="14"/>
              </w:rPr>
              <w:t>947,654</w:t>
            </w:r>
          </w:p>
        </w:tc>
        <w:tc>
          <w:tcPr>
            <w:tcW w:type="dxa" w:w="1296"/>
            <w:vAlign w:val="top"/>
            <w:tcMar>
              <w:top w:w="40" w:type="dxa"/>
              <w:left w:w="40" w:type="dxa"/>
              <w:bottom w:w="40" w:type="dxa"/>
              <w:right w:w="40" w:type="dxa"/>
            </w:tcMar>
          </w:tcPr>
          <w:p>
            <w:pPr>
              <w:spacing w:after="0"/>
            </w:pPr>
            <w:r/>
            <w:r>
              <w:rPr>
                <w:b w:val="0"/>
                <w:sz w:val="14"/>
              </w:rPr>
              <w:t>12.41x</w:t>
            </w:r>
          </w:p>
        </w:tc>
        <w:tc>
          <w:tcPr>
            <w:tcW w:type="dxa" w:w="1584"/>
            <w:vAlign w:val="top"/>
            <w:tcMar>
              <w:top w:w="40" w:type="dxa"/>
              <w:left w:w="40" w:type="dxa"/>
              <w:bottom w:w="40" w:type="dxa"/>
              <w:right w:w="40" w:type="dxa"/>
            </w:tcMar>
          </w:tcPr>
          <w:p>
            <w:pPr>
              <w:spacing w:after="0"/>
            </w:pPr>
            <w:r/>
            <w:r>
              <w:rPr>
                <w:b w:val="0"/>
                <w:sz w:val="14"/>
              </w:rPr>
              <w:t>9.72x</w:t>
            </w:r>
          </w:p>
        </w:tc>
        <w:tc>
          <w:tcPr>
            <w:tcW w:type="dxa" w:w="1728"/>
            <w:vAlign w:val="top"/>
            <w:tcMar>
              <w:top w:w="40" w:type="dxa"/>
              <w:left w:w="40" w:type="dxa"/>
              <w:bottom w:w="40" w:type="dxa"/>
              <w:right w:w="40" w:type="dxa"/>
            </w:tcMar>
          </w:tcPr>
          <w:p>
            <w:pPr>
              <w:spacing w:after="0"/>
            </w:pPr>
            <w:r/>
            <w:r>
              <w:rPr>
                <w:b w:val="0"/>
                <w:sz w:val="14"/>
              </w:rPr>
              <w:t>603.15x</w:t>
            </w:r>
          </w:p>
        </w:tc>
        <w:tc>
          <w:tcPr>
            <w:tcW w:type="dxa" w:w="1008"/>
            <w:vAlign w:val="top"/>
            <w:tcMar>
              <w:top w:w="40" w:type="dxa"/>
              <w:left w:w="40" w:type="dxa"/>
              <w:bottom w:w="40" w:type="dxa"/>
              <w:right w:w="40" w:type="dxa"/>
            </w:tcMar>
          </w:tcPr>
          <w:p>
            <w:pPr>
              <w:spacing w:after="0"/>
            </w:pPr>
            <w:r/>
            <w:r>
              <w:rPr>
                <w:b w:val="0"/>
                <w:sz w:val="14"/>
              </w:rPr>
              <w:t>4.43x</w:t>
            </w:r>
          </w:p>
        </w:tc>
      </w:tr>
      <w:tr>
        <w:tc>
          <w:tcPr>
            <w:tcW w:type="dxa" w:w="2880"/>
            <w:vAlign w:val="top"/>
            <w:tcMar>
              <w:top w:w="40" w:type="dxa"/>
              <w:left w:w="40" w:type="dxa"/>
              <w:bottom w:w="40" w:type="dxa"/>
              <w:right w:w="40" w:type="dxa"/>
            </w:tcMar>
          </w:tcPr>
          <w:p>
            <w:pPr>
              <w:spacing w:after="0"/>
            </w:pPr>
            <w:r/>
            <w:r>
              <w:rPr>
                <w:b w:val="0"/>
                <w:sz w:val="14"/>
              </w:rPr>
              <w:t>pypi jinja2-3.1.3-to-3.1.4</w:t>
            </w:r>
          </w:p>
        </w:tc>
        <w:tc>
          <w:tcPr>
            <w:tcW w:type="dxa" w:w="1440"/>
            <w:vAlign w:val="top"/>
            <w:tcMar>
              <w:top w:w="40" w:type="dxa"/>
              <w:left w:w="40" w:type="dxa"/>
              <w:bottom w:w="40" w:type="dxa"/>
              <w:right w:w="40" w:type="dxa"/>
            </w:tcMar>
          </w:tcPr>
          <w:p>
            <w:pPr>
              <w:spacing w:after="0"/>
            </w:pPr>
            <w:r/>
            <w:r>
              <w:rPr>
                <w:b w:val="0"/>
                <w:sz w:val="14"/>
              </w:rPr>
              <w:t>491,214</w:t>
            </w:r>
          </w:p>
        </w:tc>
        <w:tc>
          <w:tcPr>
            <w:tcW w:type="dxa" w:w="1296"/>
            <w:vAlign w:val="top"/>
            <w:tcMar>
              <w:top w:w="40" w:type="dxa"/>
              <w:left w:w="40" w:type="dxa"/>
              <w:bottom w:w="40" w:type="dxa"/>
              <w:right w:w="40" w:type="dxa"/>
            </w:tcMar>
          </w:tcPr>
          <w:p>
            <w:pPr>
              <w:spacing w:after="0"/>
            </w:pPr>
            <w:r/>
            <w:r>
              <w:rPr>
                <w:b w:val="0"/>
                <w:sz w:val="14"/>
              </w:rPr>
              <w:t>1.10x</w:t>
            </w:r>
          </w:p>
        </w:tc>
        <w:tc>
          <w:tcPr>
            <w:tcW w:type="dxa" w:w="1584"/>
            <w:vAlign w:val="top"/>
            <w:tcMar>
              <w:top w:w="40" w:type="dxa"/>
              <w:left w:w="40" w:type="dxa"/>
              <w:bottom w:w="40" w:type="dxa"/>
              <w:right w:w="40" w:type="dxa"/>
            </w:tcMar>
          </w:tcPr>
          <w:p>
            <w:pPr>
              <w:spacing w:after="0"/>
            </w:pPr>
            <w:r/>
            <w:r>
              <w:rPr>
                <w:b w:val="0"/>
                <w:sz w:val="14"/>
              </w:rPr>
              <w:t>1.07x</w:t>
            </w:r>
          </w:p>
        </w:tc>
        <w:tc>
          <w:tcPr>
            <w:tcW w:type="dxa" w:w="1728"/>
            <w:vAlign w:val="top"/>
            <w:tcMar>
              <w:top w:w="40" w:type="dxa"/>
              <w:left w:w="40" w:type="dxa"/>
              <w:bottom w:w="40" w:type="dxa"/>
              <w:right w:w="40" w:type="dxa"/>
            </w:tcMar>
          </w:tcPr>
          <w:p>
            <w:pPr>
              <w:spacing w:after="0"/>
            </w:pPr>
            <w:r/>
            <w:r>
              <w:rPr>
                <w:b w:val="0"/>
                <w:sz w:val="14"/>
              </w:rPr>
              <w:t>156.44x</w:t>
            </w:r>
          </w:p>
        </w:tc>
        <w:tc>
          <w:tcPr>
            <w:tcW w:type="dxa" w:w="1008"/>
            <w:vAlign w:val="top"/>
            <w:tcMar>
              <w:top w:w="40" w:type="dxa"/>
              <w:left w:w="40" w:type="dxa"/>
              <w:bottom w:w="40" w:type="dxa"/>
              <w:right w:w="40" w:type="dxa"/>
            </w:tcMar>
          </w:tcPr>
          <w:p>
            <w:pPr>
              <w:spacing w:after="0"/>
            </w:pPr>
            <w:r/>
            <w:r>
              <w:rPr>
                <w:b w:val="0"/>
                <w:sz w:val="14"/>
              </w:rPr>
              <w:t>4.03x</w:t>
            </w:r>
          </w:p>
        </w:tc>
      </w:tr>
      <w:tr>
        <w:tc>
          <w:tcPr>
            <w:tcW w:type="dxa" w:w="2880"/>
            <w:vAlign w:val="top"/>
            <w:tcMar>
              <w:top w:w="40" w:type="dxa"/>
              <w:left w:w="40" w:type="dxa"/>
              <w:bottom w:w="40" w:type="dxa"/>
              <w:right w:w="40" w:type="dxa"/>
            </w:tcMar>
          </w:tcPr>
          <w:p>
            <w:pPr>
              <w:spacing w:after="0"/>
            </w:pPr>
            <w:r/>
            <w:r>
              <w:rPr>
                <w:b w:val="0"/>
                <w:sz w:val="14"/>
              </w:rPr>
              <w:t>pypi click-8.1.6-to-8.1.7</w:t>
            </w:r>
          </w:p>
        </w:tc>
        <w:tc>
          <w:tcPr>
            <w:tcW w:type="dxa" w:w="1440"/>
            <w:vAlign w:val="top"/>
            <w:tcMar>
              <w:top w:w="40" w:type="dxa"/>
              <w:left w:w="40" w:type="dxa"/>
              <w:bottom w:w="40" w:type="dxa"/>
              <w:right w:w="40" w:type="dxa"/>
            </w:tcMar>
          </w:tcPr>
          <w:p>
            <w:pPr>
              <w:spacing w:after="0"/>
            </w:pPr>
            <w:r/>
            <w:r>
              <w:rPr>
                <w:b w:val="0"/>
                <w:sz w:val="14"/>
              </w:rPr>
              <w:t>353,767</w:t>
            </w:r>
          </w:p>
        </w:tc>
        <w:tc>
          <w:tcPr>
            <w:tcW w:type="dxa" w:w="1296"/>
            <w:vAlign w:val="top"/>
            <w:tcMar>
              <w:top w:w="40" w:type="dxa"/>
              <w:left w:w="40" w:type="dxa"/>
              <w:bottom w:w="40" w:type="dxa"/>
              <w:right w:w="40" w:type="dxa"/>
            </w:tcMar>
          </w:tcPr>
          <w:p>
            <w:pPr>
              <w:spacing w:after="0"/>
            </w:pPr>
            <w:r/>
            <w:r>
              <w:rPr>
                <w:b w:val="0"/>
                <w:sz w:val="14"/>
              </w:rPr>
              <w:t>11.17x</w:t>
            </w:r>
          </w:p>
        </w:tc>
        <w:tc>
          <w:tcPr>
            <w:tcW w:type="dxa" w:w="1584"/>
            <w:vAlign w:val="top"/>
            <w:tcMar>
              <w:top w:w="40" w:type="dxa"/>
              <w:left w:w="40" w:type="dxa"/>
              <w:bottom w:w="40" w:type="dxa"/>
              <w:right w:w="40" w:type="dxa"/>
            </w:tcMar>
          </w:tcPr>
          <w:p>
            <w:pPr>
              <w:spacing w:after="0"/>
            </w:pPr>
            <w:r/>
            <w:r>
              <w:rPr>
                <w:b w:val="0"/>
                <w:sz w:val="14"/>
              </w:rPr>
              <w:t>9.08x</w:t>
            </w:r>
          </w:p>
        </w:tc>
        <w:tc>
          <w:tcPr>
            <w:tcW w:type="dxa" w:w="1728"/>
            <w:vAlign w:val="top"/>
            <w:tcMar>
              <w:top w:w="40" w:type="dxa"/>
              <w:left w:w="40" w:type="dxa"/>
              <w:bottom w:w="40" w:type="dxa"/>
              <w:right w:w="40" w:type="dxa"/>
            </w:tcMar>
          </w:tcPr>
          <w:p>
            <w:pPr>
              <w:spacing w:after="0"/>
            </w:pPr>
            <w:r/>
            <w:r>
              <w:rPr>
                <w:b w:val="0"/>
                <w:sz w:val="14"/>
              </w:rPr>
              <w:t>639.80x</w:t>
            </w:r>
          </w:p>
        </w:tc>
        <w:tc>
          <w:tcPr>
            <w:tcW w:type="dxa" w:w="1008"/>
            <w:vAlign w:val="top"/>
            <w:tcMar>
              <w:top w:w="40" w:type="dxa"/>
              <w:left w:w="40" w:type="dxa"/>
              <w:bottom w:w="40" w:type="dxa"/>
              <w:right w:w="40" w:type="dxa"/>
            </w:tcMar>
          </w:tcPr>
          <w:p>
            <w:pPr>
              <w:spacing w:after="0"/>
            </w:pPr>
            <w:r/>
            <w:r>
              <w:rPr>
                <w:b w:val="0"/>
                <w:sz w:val="14"/>
              </w:rPr>
              <w:t>3.98x</w:t>
            </w:r>
          </w:p>
        </w:tc>
      </w:tr>
      <w:tr>
        <w:tc>
          <w:tcPr>
            <w:tcW w:type="dxa" w:w="2880"/>
            <w:vAlign w:val="top"/>
            <w:tcMar>
              <w:top w:w="40" w:type="dxa"/>
              <w:left w:w="40" w:type="dxa"/>
              <w:bottom w:w="40" w:type="dxa"/>
              <w:right w:w="40" w:type="dxa"/>
            </w:tcMar>
          </w:tcPr>
          <w:p>
            <w:pPr>
              <w:spacing w:after="0"/>
            </w:pPr>
            <w:r/>
            <w:r>
              <w:rPr>
                <w:b w:val="0"/>
                <w:sz w:val="14"/>
              </w:rPr>
              <w:t>pypi werkzeug-3.0.1-to-3.0.2</w:t>
            </w:r>
          </w:p>
        </w:tc>
        <w:tc>
          <w:tcPr>
            <w:tcW w:type="dxa" w:w="1440"/>
            <w:vAlign w:val="top"/>
            <w:tcMar>
              <w:top w:w="40" w:type="dxa"/>
              <w:left w:w="40" w:type="dxa"/>
              <w:bottom w:w="40" w:type="dxa"/>
              <w:right w:w="40" w:type="dxa"/>
            </w:tcMar>
          </w:tcPr>
          <w:p>
            <w:pPr>
              <w:spacing w:after="0"/>
            </w:pPr>
            <w:r/>
            <w:r>
              <w:rPr>
                <w:b w:val="0"/>
                <w:sz w:val="14"/>
              </w:rPr>
              <w:t>762,091</w:t>
            </w:r>
          </w:p>
        </w:tc>
        <w:tc>
          <w:tcPr>
            <w:tcW w:type="dxa" w:w="1296"/>
            <w:vAlign w:val="top"/>
            <w:tcMar>
              <w:top w:w="40" w:type="dxa"/>
              <w:left w:w="40" w:type="dxa"/>
              <w:bottom w:w="40" w:type="dxa"/>
              <w:right w:w="40" w:type="dxa"/>
            </w:tcMar>
          </w:tcPr>
          <w:p>
            <w:pPr>
              <w:spacing w:after="0"/>
            </w:pPr>
            <w:r/>
            <w:r>
              <w:rPr>
                <w:b w:val="0"/>
                <w:sz w:val="14"/>
              </w:rPr>
              <w:t>3.06x</w:t>
            </w:r>
          </w:p>
        </w:tc>
        <w:tc>
          <w:tcPr>
            <w:tcW w:type="dxa" w:w="1584"/>
            <w:vAlign w:val="top"/>
            <w:tcMar>
              <w:top w:w="40" w:type="dxa"/>
              <w:left w:w="40" w:type="dxa"/>
              <w:bottom w:w="40" w:type="dxa"/>
              <w:right w:w="40" w:type="dxa"/>
            </w:tcMar>
          </w:tcPr>
          <w:p>
            <w:pPr>
              <w:spacing w:after="0"/>
            </w:pPr>
            <w:r/>
            <w:r>
              <w:rPr>
                <w:b w:val="0"/>
                <w:sz w:val="14"/>
              </w:rPr>
              <w:t>2.86x</w:t>
            </w:r>
          </w:p>
        </w:tc>
        <w:tc>
          <w:tcPr>
            <w:tcW w:type="dxa" w:w="1728"/>
            <w:vAlign w:val="top"/>
            <w:tcMar>
              <w:top w:w="40" w:type="dxa"/>
              <w:left w:w="40" w:type="dxa"/>
              <w:bottom w:w="40" w:type="dxa"/>
              <w:right w:w="40" w:type="dxa"/>
            </w:tcMar>
          </w:tcPr>
          <w:p>
            <w:pPr>
              <w:spacing w:after="0"/>
            </w:pPr>
            <w:r/>
            <w:r>
              <w:rPr>
                <w:b w:val="0"/>
                <w:sz w:val="14"/>
              </w:rPr>
              <w:t>387.09x</w:t>
            </w:r>
          </w:p>
        </w:tc>
        <w:tc>
          <w:tcPr>
            <w:tcW w:type="dxa" w:w="1008"/>
            <w:vAlign w:val="top"/>
            <w:tcMar>
              <w:top w:w="40" w:type="dxa"/>
              <w:left w:w="40" w:type="dxa"/>
              <w:bottom w:w="40" w:type="dxa"/>
              <w:right w:w="40" w:type="dxa"/>
            </w:tcMar>
          </w:tcPr>
          <w:p>
            <w:pPr>
              <w:spacing w:after="0"/>
            </w:pPr>
            <w:r/>
            <w:r>
              <w:rPr>
                <w:b w:val="0"/>
                <w:sz w:val="14"/>
              </w:rPr>
              <w:t>3.97x</w:t>
            </w:r>
          </w:p>
        </w:tc>
      </w:tr>
      <w:tr>
        <w:tc>
          <w:tcPr>
            <w:tcW w:type="dxa" w:w="2880"/>
            <w:vAlign w:val="top"/>
            <w:tcMar>
              <w:top w:w="40" w:type="dxa"/>
              <w:left w:w="40" w:type="dxa"/>
              <w:bottom w:w="40" w:type="dxa"/>
              <w:right w:w="40" w:type="dxa"/>
            </w:tcMar>
          </w:tcPr>
          <w:p>
            <w:pPr>
              <w:spacing w:after="0"/>
            </w:pPr>
            <w:r/>
            <w:r>
              <w:rPr>
                <w:b w:val="0"/>
                <w:sz w:val="14"/>
              </w:rPr>
              <w:t>pypi urllib3-2.1.0-to-2.2.0</w:t>
            </w:r>
          </w:p>
        </w:tc>
        <w:tc>
          <w:tcPr>
            <w:tcW w:type="dxa" w:w="1440"/>
            <w:vAlign w:val="top"/>
            <w:tcMar>
              <w:top w:w="40" w:type="dxa"/>
              <w:left w:w="40" w:type="dxa"/>
              <w:bottom w:w="40" w:type="dxa"/>
              <w:right w:w="40" w:type="dxa"/>
            </w:tcMar>
          </w:tcPr>
          <w:p>
            <w:pPr>
              <w:spacing w:after="0"/>
            </w:pPr>
            <w:r/>
            <w:r>
              <w:rPr>
                <w:b w:val="0"/>
                <w:sz w:val="14"/>
              </w:rPr>
              <w:t>391,321</w:t>
            </w:r>
          </w:p>
        </w:tc>
        <w:tc>
          <w:tcPr>
            <w:tcW w:type="dxa" w:w="1296"/>
            <w:vAlign w:val="top"/>
            <w:tcMar>
              <w:top w:w="40" w:type="dxa"/>
              <w:left w:w="40" w:type="dxa"/>
              <w:bottom w:w="40" w:type="dxa"/>
              <w:right w:w="40" w:type="dxa"/>
            </w:tcMar>
          </w:tcPr>
          <w:p>
            <w:pPr>
              <w:spacing w:after="0"/>
            </w:pPr>
            <w:r/>
            <w:r>
              <w:rPr>
                <w:b w:val="0"/>
                <w:sz w:val="14"/>
              </w:rPr>
              <w:t>1.87x</w:t>
            </w:r>
          </w:p>
        </w:tc>
        <w:tc>
          <w:tcPr>
            <w:tcW w:type="dxa" w:w="1584"/>
            <w:vAlign w:val="top"/>
            <w:tcMar>
              <w:top w:w="40" w:type="dxa"/>
              <w:left w:w="40" w:type="dxa"/>
              <w:bottom w:w="40" w:type="dxa"/>
              <w:right w:w="40" w:type="dxa"/>
            </w:tcMar>
          </w:tcPr>
          <w:p>
            <w:pPr>
              <w:spacing w:after="0"/>
            </w:pPr>
            <w:r/>
            <w:r>
              <w:rPr>
                <w:b w:val="0"/>
                <w:sz w:val="14"/>
              </w:rPr>
              <w:t>1.79x</w:t>
            </w:r>
          </w:p>
        </w:tc>
        <w:tc>
          <w:tcPr>
            <w:tcW w:type="dxa" w:w="1728"/>
            <w:vAlign w:val="top"/>
            <w:tcMar>
              <w:top w:w="40" w:type="dxa"/>
              <w:left w:w="40" w:type="dxa"/>
              <w:bottom w:w="40" w:type="dxa"/>
              <w:right w:w="40" w:type="dxa"/>
            </w:tcMar>
          </w:tcPr>
          <w:p>
            <w:pPr>
              <w:spacing w:after="0"/>
            </w:pPr>
            <w:r/>
            <w:r>
              <w:rPr>
                <w:b w:val="0"/>
                <w:sz w:val="14"/>
              </w:rPr>
              <w:t>29.49x</w:t>
            </w:r>
          </w:p>
        </w:tc>
        <w:tc>
          <w:tcPr>
            <w:tcW w:type="dxa" w:w="1008"/>
            <w:vAlign w:val="top"/>
            <w:tcMar>
              <w:top w:w="40" w:type="dxa"/>
              <w:left w:w="40" w:type="dxa"/>
              <w:bottom w:w="40" w:type="dxa"/>
              <w:right w:w="40" w:type="dxa"/>
            </w:tcMar>
          </w:tcPr>
          <w:p>
            <w:pPr>
              <w:spacing w:after="0"/>
            </w:pPr>
            <w:r/>
            <w:r>
              <w:rPr>
                <w:b w:val="0"/>
                <w:sz w:val="14"/>
              </w:rPr>
              <w:t>3.81x</w:t>
            </w:r>
          </w:p>
        </w:tc>
      </w:tr>
      <w:tr>
        <w:tc>
          <w:tcPr>
            <w:tcW w:type="dxa" w:w="2880"/>
            <w:vAlign w:val="top"/>
            <w:tcMar>
              <w:top w:w="40" w:type="dxa"/>
              <w:left w:w="40" w:type="dxa"/>
              <w:bottom w:w="40" w:type="dxa"/>
              <w:right w:w="40" w:type="dxa"/>
            </w:tcMar>
          </w:tcPr>
          <w:p>
            <w:pPr>
              <w:spacing w:after="0"/>
            </w:pPr>
            <w:r/>
            <w:r>
              <w:rPr>
                <w:b w:val="0"/>
                <w:sz w:val="14"/>
              </w:rPr>
              <w:t>pypi packaging-23.2-to-24.0</w:t>
            </w:r>
          </w:p>
        </w:tc>
        <w:tc>
          <w:tcPr>
            <w:tcW w:type="dxa" w:w="1440"/>
            <w:vAlign w:val="top"/>
            <w:tcMar>
              <w:top w:w="40" w:type="dxa"/>
              <w:left w:w="40" w:type="dxa"/>
              <w:bottom w:w="40" w:type="dxa"/>
              <w:right w:w="40" w:type="dxa"/>
            </w:tcMar>
          </w:tcPr>
          <w:p>
            <w:pPr>
              <w:spacing w:after="0"/>
            </w:pPr>
            <w:r/>
            <w:r>
              <w:rPr>
                <w:b w:val="0"/>
                <w:sz w:val="14"/>
              </w:rPr>
              <w:t>174,172</w:t>
            </w:r>
          </w:p>
        </w:tc>
        <w:tc>
          <w:tcPr>
            <w:tcW w:type="dxa" w:w="1296"/>
            <w:vAlign w:val="top"/>
            <w:tcMar>
              <w:top w:w="40" w:type="dxa"/>
              <w:left w:w="40" w:type="dxa"/>
              <w:bottom w:w="40" w:type="dxa"/>
              <w:right w:w="40" w:type="dxa"/>
            </w:tcMar>
          </w:tcPr>
          <w:p>
            <w:pPr>
              <w:spacing w:after="0"/>
            </w:pPr>
            <w:r/>
            <w:r>
              <w:rPr>
                <w:b w:val="0"/>
                <w:sz w:val="14"/>
              </w:rPr>
              <w:t>1.54x</w:t>
            </w:r>
          </w:p>
        </w:tc>
        <w:tc>
          <w:tcPr>
            <w:tcW w:type="dxa" w:w="1584"/>
            <w:vAlign w:val="top"/>
            <w:tcMar>
              <w:top w:w="40" w:type="dxa"/>
              <w:left w:w="40" w:type="dxa"/>
              <w:bottom w:w="40" w:type="dxa"/>
              <w:right w:w="40" w:type="dxa"/>
            </w:tcMar>
          </w:tcPr>
          <w:p>
            <w:pPr>
              <w:spacing w:after="0"/>
            </w:pPr>
            <w:r/>
            <w:r>
              <w:rPr>
                <w:b w:val="0"/>
                <w:sz w:val="14"/>
              </w:rPr>
              <w:t>1.48x</w:t>
            </w:r>
          </w:p>
        </w:tc>
        <w:tc>
          <w:tcPr>
            <w:tcW w:type="dxa" w:w="1728"/>
            <w:vAlign w:val="top"/>
            <w:tcMar>
              <w:top w:w="40" w:type="dxa"/>
              <w:left w:w="40" w:type="dxa"/>
              <w:bottom w:w="40" w:type="dxa"/>
              <w:right w:w="40" w:type="dxa"/>
            </w:tcMar>
          </w:tcPr>
          <w:p>
            <w:pPr>
              <w:spacing w:after="0"/>
            </w:pPr>
            <w:r/>
            <w:r>
              <w:rPr>
                <w:b w:val="0"/>
                <w:sz w:val="14"/>
              </w:rPr>
              <w:t>82.47x</w:t>
            </w:r>
          </w:p>
        </w:tc>
        <w:tc>
          <w:tcPr>
            <w:tcW w:type="dxa" w:w="1008"/>
            <w:vAlign w:val="top"/>
            <w:tcMar>
              <w:top w:w="40" w:type="dxa"/>
              <w:left w:w="40" w:type="dxa"/>
              <w:bottom w:w="40" w:type="dxa"/>
              <w:right w:w="40" w:type="dxa"/>
            </w:tcMar>
          </w:tcPr>
          <w:p>
            <w:pPr>
              <w:spacing w:after="0"/>
            </w:pPr>
            <w:r/>
            <w:r>
              <w:rPr>
                <w:b w:val="0"/>
                <w:sz w:val="14"/>
              </w:rPr>
              <w:t>3.79x</w:t>
            </w:r>
          </w:p>
        </w:tc>
      </w:tr>
    </w:tbl>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13 compares raw and ReduLink stream mapping at zero and periodic datagram loss, and Table 14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 One apparent inconsistency deserves explicit reconciliation: the Redis-layered corpus reaches 21.37x in the offline model (Table 9) but 3.83x over the QUIC mapping (Table 13). The gap decomposes into three deliberate differences: the QUIC experiment chunks at 1 KiB rather than 4 KiB (four times as many frames), each frame pays the measured 108-byte wire framing rather than the 32-byte model charge (Section 7.6), and the server dictionary is deliberately punctured (every seventh chunk withheld), forcing 72 semantic misses whose FULL repairs carry payload. No offline multiplier in Tables 6 to 12 has been achieved over the wire; the QUIC tables are the end-to-end evidence, and the offline tables isolate the representation layer.</w:t>
      </w:r>
    </w:p>
    <w:p>
      <w:pPr>
        <w:spacing w:after="40" w:before="120"/>
      </w:pPr>
      <w:r>
        <w:rPr>
          <w:b/>
          <w:sz w:val="18"/>
        </w:rPr>
        <w:t>Table 13.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14.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15 reports three repeated trials of the native demo workload. The multiplier is near-deterministic for fixed bytes (encoded bytes vary by at most one byte across rounds from control-message framing), while elapsed times vary modestly across runs; reporting both avoids cherry-picking a single favorable QUIC run; with only three trials these are run-to-run stability indicators rather than a statistically powered variance estimate. Table 16 then scales the payload from 96 to 16,384 blocks (96 KiB to 16 MiB): the stream multiplier rises from 3.19x to 3.94x as more reusable chunks accumulate, and reconstruction remains byte-exact at every scale. The 16 MiB rows expose an operating constraint that smaller runs cannot show: with the artifact's default dictionary budget of 8,192 chunks, a 16,384-chunk warm set overflows the LRU, sequential FULL admissions cascade-evict the remaining warm entries, and ReduLink degrades to a FULL-only stream (0.92x, pure framing overhead) while still reconstructing byte-exactly, i.e. it fails safe rather than wrong. Raising the budget to 24,576 chunks restores 3.96x and, in this single-run comparison, roughly halves completion time (592 versus 1,305 ms). Dictionary sizing relative to the warm working set is therefore a hard provisioning requirement, not a tuning nicety.</w:t>
      </w:r>
    </w:p>
    <w:p>
      <w:pPr>
        <w:spacing w:after="40" w:before="120"/>
      </w:pPr>
      <w:r>
        <w:rPr>
          <w:b/>
          <w:sz w:val="18"/>
        </w:rPr>
        <w:t>Table 15. Repeated native QUIC trials (n = 3):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227.043667</w:t>
            </w:r>
          </w:p>
        </w:tc>
        <w:tc>
          <w:tcPr>
            <w:tcW w:type="dxa" w:w="1440"/>
            <w:vAlign w:val="top"/>
            <w:tcMar>
              <w:top w:w="40" w:type="dxa"/>
              <w:left w:w="40" w:type="dxa"/>
              <w:bottom w:w="40" w:type="dxa"/>
              <w:right w:w="40" w:type="dxa"/>
            </w:tcMar>
          </w:tcPr>
          <w:p>
            <w:pPr>
              <w:spacing w:after="0"/>
            </w:pPr>
            <w:r/>
            <w:r>
              <w:rPr>
                <w:b w:val="0"/>
                <w:sz w:val="14"/>
              </w:rPr>
              <w:t>19.900327</w:t>
            </w:r>
          </w:p>
        </w:tc>
        <w:tc>
          <w:tcPr>
            <w:tcW w:type="dxa" w:w="1440"/>
            <w:vAlign w:val="top"/>
            <w:tcMar>
              <w:top w:w="40" w:type="dxa"/>
              <w:left w:w="40" w:type="dxa"/>
              <w:bottom w:w="40" w:type="dxa"/>
              <w:right w:w="40" w:type="dxa"/>
            </w:tcMar>
          </w:tcPr>
          <w:p>
            <w:pPr>
              <w:spacing w:after="0"/>
            </w:pPr>
            <w:r/>
            <w:r>
              <w:rPr>
                <w:b w:val="0"/>
                <w:sz w:val="14"/>
              </w:rPr>
              <w:t>205.943000</w:t>
            </w:r>
          </w:p>
        </w:tc>
        <w:tc>
          <w:tcPr>
            <w:tcW w:type="dxa" w:w="1440"/>
            <w:vAlign w:val="top"/>
            <w:tcMar>
              <w:top w:w="40" w:type="dxa"/>
              <w:left w:w="40" w:type="dxa"/>
              <w:bottom w:w="40" w:type="dxa"/>
              <w:right w:w="40" w:type="dxa"/>
            </w:tcMar>
          </w:tcPr>
          <w:p>
            <w:pPr>
              <w:spacing w:after="0"/>
            </w:pPr>
            <w:r/>
            <w:r>
              <w:rPr>
                <w:b w:val="0"/>
                <w:sz w:val="14"/>
              </w:rPr>
              <w:t>245.474000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0.000000</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3.189928</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2.578853</w:t>
            </w:r>
          </w:p>
        </w:tc>
        <w:tc>
          <w:tcPr>
            <w:tcW w:type="dxa" w:w="1440"/>
            <w:vAlign w:val="top"/>
            <w:tcMar>
              <w:top w:w="40" w:type="dxa"/>
              <w:left w:w="40" w:type="dxa"/>
              <w:bottom w:w="40" w:type="dxa"/>
              <w:right w:w="40" w:type="dxa"/>
            </w:tcMar>
          </w:tcPr>
          <w:p>
            <w:pPr>
              <w:spacing w:after="0"/>
            </w:pPr>
            <w:r/>
            <w:r>
              <w:rPr>
                <w:b w:val="0"/>
                <w:sz w:val="14"/>
              </w:rPr>
              <w:t>0.003857</w:t>
            </w:r>
          </w:p>
        </w:tc>
        <w:tc>
          <w:tcPr>
            <w:tcW w:type="dxa" w:w="1440"/>
            <w:vAlign w:val="top"/>
            <w:tcMar>
              <w:top w:w="40" w:type="dxa"/>
              <w:left w:w="40" w:type="dxa"/>
              <w:bottom w:w="40" w:type="dxa"/>
              <w:right w:w="40" w:type="dxa"/>
            </w:tcMar>
          </w:tcPr>
          <w:p>
            <w:pPr>
              <w:spacing w:after="0"/>
            </w:pPr>
            <w:r/>
            <w:r>
              <w:rPr>
                <w:b w:val="0"/>
                <w:sz w:val="14"/>
              </w:rPr>
              <w:t>2.574954</w:t>
            </w:r>
          </w:p>
        </w:tc>
        <w:tc>
          <w:tcPr>
            <w:tcW w:type="dxa" w:w="1440"/>
            <w:vAlign w:val="top"/>
            <w:tcMar>
              <w:top w:w="40" w:type="dxa"/>
              <w:left w:w="40" w:type="dxa"/>
              <w:bottom w:w="40" w:type="dxa"/>
              <w:right w:w="40" w:type="dxa"/>
            </w:tcMar>
          </w:tcPr>
          <w:p>
            <w:pPr>
              <w:spacing w:after="0"/>
            </w:pPr>
            <w:r/>
            <w:r>
              <w:rPr>
                <w:b w:val="0"/>
                <w:sz w:val="14"/>
              </w:rPr>
              <w:t>2.582666</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137.076000</w:t>
            </w:r>
          </w:p>
        </w:tc>
        <w:tc>
          <w:tcPr>
            <w:tcW w:type="dxa" w:w="1440"/>
            <w:vAlign w:val="top"/>
            <w:tcMar>
              <w:top w:w="40" w:type="dxa"/>
              <w:left w:w="40" w:type="dxa"/>
              <w:bottom w:w="40" w:type="dxa"/>
              <w:right w:w="40" w:type="dxa"/>
            </w:tcMar>
          </w:tcPr>
          <w:p>
            <w:pPr>
              <w:spacing w:after="0"/>
            </w:pPr>
            <w:r/>
            <w:r>
              <w:rPr>
                <w:b w:val="0"/>
                <w:sz w:val="14"/>
              </w:rPr>
              <w:t>4.472720</w:t>
            </w:r>
          </w:p>
        </w:tc>
        <w:tc>
          <w:tcPr>
            <w:tcW w:type="dxa" w:w="1440"/>
            <w:vAlign w:val="top"/>
            <w:tcMar>
              <w:top w:w="40" w:type="dxa"/>
              <w:left w:w="40" w:type="dxa"/>
              <w:bottom w:w="40" w:type="dxa"/>
              <w:right w:w="40" w:type="dxa"/>
            </w:tcMar>
          </w:tcPr>
          <w:p>
            <w:pPr>
              <w:spacing w:after="0"/>
            </w:pPr>
            <w:r/>
            <w:r>
              <w:rPr>
                <w:b w:val="0"/>
                <w:sz w:val="14"/>
              </w:rPr>
              <w:t>131.991000</w:t>
            </w:r>
          </w:p>
        </w:tc>
        <w:tc>
          <w:tcPr>
            <w:tcW w:type="dxa" w:w="1440"/>
            <w:vAlign w:val="top"/>
            <w:tcMar>
              <w:top w:w="40" w:type="dxa"/>
              <w:left w:w="40" w:type="dxa"/>
              <w:bottom w:w="40" w:type="dxa"/>
              <w:right w:w="40" w:type="dxa"/>
            </w:tcMar>
          </w:tcPr>
          <w:p>
            <w:pPr>
              <w:spacing w:after="0"/>
            </w:pPr>
            <w:r/>
            <w:r>
              <w:rPr>
                <w:b w:val="0"/>
                <w:sz w:val="14"/>
              </w:rPr>
              <w:t>140.401000</w:t>
            </w:r>
          </w:p>
        </w:tc>
      </w:tr>
    </w:tbl>
    <w:p/>
    <w:p>
      <w:pPr>
        <w:spacing w:after="40" w:before="120"/>
      </w:pPr>
      <w:r>
        <w:rPr>
          <w:b/>
          <w:sz w:val="18"/>
        </w:rPr>
        <w:t>Table 16. Payload scaling of the native aioquic stream mapping, including the dictionary-budget overflow and recovery at 16 MiB.</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296"/>
            <w:vAlign w:val="top"/>
            <w:tcMar>
              <w:top w:w="40" w:type="dxa"/>
              <w:left w:w="40" w:type="dxa"/>
              <w:bottom w:w="40" w:type="dxa"/>
              <w:right w:w="40" w:type="dxa"/>
            </w:tcMar>
          </w:tcPr>
          <w:p>
            <w:pPr>
              <w:spacing w:after="0"/>
            </w:pPr>
            <w:r/>
            <w:r>
              <w:rPr>
                <w:b/>
                <w:sz w:val="14"/>
              </w:rPr>
              <w:t>Blocks</w:t>
            </w:r>
          </w:p>
        </w:tc>
        <w:tc>
          <w:tcPr>
            <w:tcW w:type="dxa" w:w="1584"/>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Dict budget</w:t>
            </w:r>
          </w:p>
        </w:tc>
        <w:tc>
          <w:tcPr>
            <w:tcW w:type="dxa" w:w="1152"/>
            <w:vAlign w:val="top"/>
            <w:tcMar>
              <w:top w:w="40" w:type="dxa"/>
              <w:left w:w="40" w:type="dxa"/>
              <w:bottom w:w="40" w:type="dxa"/>
              <w:right w:w="40" w:type="dxa"/>
            </w:tcMar>
          </w:tcPr>
          <w:p>
            <w:pPr>
              <w:spacing w:after="0"/>
            </w:pPr>
            <w:r/>
            <w:r>
              <w:rPr>
                <w:b/>
                <w:sz w:val="14"/>
              </w:rPr>
              <w:t>Stream x</w:t>
            </w:r>
          </w:p>
        </w:tc>
        <w:tc>
          <w:tcPr>
            <w:tcW w:type="dxa" w:w="1152"/>
            <w:vAlign w:val="top"/>
            <w:tcMar>
              <w:top w:w="40" w:type="dxa"/>
              <w:left w:w="40" w:type="dxa"/>
              <w:bottom w:w="40" w:type="dxa"/>
              <w:right w:w="40" w:type="dxa"/>
            </w:tcMar>
          </w:tcPr>
          <w:p>
            <w:pPr>
              <w:spacing w:after="0"/>
            </w:pPr>
            <w:r/>
            <w:r>
              <w:rPr>
                <w:b/>
                <w:sz w:val="14"/>
              </w:rPr>
              <w:t>Misses</w:t>
            </w:r>
          </w:p>
        </w:tc>
        <w:tc>
          <w:tcPr>
            <w:tcW w:type="dxa" w:w="1296"/>
            <w:vAlign w:val="top"/>
            <w:tcMar>
              <w:top w:w="40" w:type="dxa"/>
              <w:left w:w="40" w:type="dxa"/>
              <w:bottom w:w="40" w:type="dxa"/>
              <w:right w:w="40" w:type="dxa"/>
            </w:tcMar>
          </w:tcPr>
          <w:p>
            <w:pPr>
              <w:spacing w:after="0"/>
            </w:pPr>
            <w:r/>
            <w:r>
              <w:rPr>
                <w:b/>
                <w:sz w:val="14"/>
              </w:rPr>
              <w:t>Client ms</w:t>
            </w:r>
          </w:p>
        </w:tc>
        <w:tc>
          <w:tcPr>
            <w:tcW w:type="dxa" w:w="1008"/>
            <w:vAlign w:val="top"/>
            <w:tcMar>
              <w:top w:w="40" w:type="dxa"/>
              <w:left w:w="40" w:type="dxa"/>
              <w:bottom w:w="40" w:type="dxa"/>
              <w:right w:w="40" w:type="dxa"/>
            </w:tcMar>
          </w:tcPr>
          <w:p>
            <w:pPr>
              <w:spacing w:after="0"/>
            </w:pPr>
            <w:r/>
            <w:r>
              <w:rPr>
                <w:b/>
                <w:sz w:val="14"/>
              </w:rPr>
              <w:t>Recon.</w:t>
            </w:r>
          </w:p>
        </w:tc>
      </w:tr>
      <w:tr>
        <w:tc>
          <w:tcPr>
            <w:tcW w:type="dxa" w:w="1296"/>
            <w:vAlign w:val="top"/>
            <w:tcMar>
              <w:top w:w="40" w:type="dxa"/>
              <w:left w:w="40" w:type="dxa"/>
              <w:bottom w:w="40" w:type="dxa"/>
              <w:right w:w="40" w:type="dxa"/>
            </w:tcMar>
          </w:tcPr>
          <w:p>
            <w:pPr>
              <w:spacing w:after="0"/>
            </w:pPr>
            <w:r/>
            <w:r>
              <w:rPr>
                <w:b w:val="0"/>
                <w:sz w:val="14"/>
              </w:rPr>
              <w:t>96</w:t>
            </w:r>
          </w:p>
        </w:tc>
        <w:tc>
          <w:tcPr>
            <w:tcW w:type="dxa" w:w="1584"/>
            <w:vAlign w:val="top"/>
            <w:tcMar>
              <w:top w:w="40" w:type="dxa"/>
              <w:left w:w="40" w:type="dxa"/>
              <w:bottom w:w="40" w:type="dxa"/>
              <w:right w:w="40" w:type="dxa"/>
            </w:tcMar>
          </w:tcPr>
          <w:p>
            <w:pPr>
              <w:spacing w:after="0"/>
            </w:pPr>
            <w:r/>
            <w:r>
              <w:rPr>
                <w:b w:val="0"/>
                <w:sz w:val="14"/>
              </w:rPr>
              <w:t>98,304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3.19x</w:t>
            </w:r>
          </w:p>
        </w:tc>
        <w:tc>
          <w:tcPr>
            <w:tcW w:type="dxa" w:w="1152"/>
            <w:vAlign w:val="top"/>
            <w:tcMar>
              <w:top w:w="40" w:type="dxa"/>
              <w:left w:w="40" w:type="dxa"/>
              <w:bottom w:w="40" w:type="dxa"/>
              <w:right w:w="40" w:type="dxa"/>
            </w:tcMar>
          </w:tcPr>
          <w:p>
            <w:pPr>
              <w:spacing w:after="0"/>
            </w:pPr>
            <w:r/>
            <w:r>
              <w:rPr>
                <w:b w:val="0"/>
                <w:sz w:val="14"/>
              </w:rPr>
              <w:t>13</w:t>
            </w:r>
          </w:p>
        </w:tc>
        <w:tc>
          <w:tcPr>
            <w:tcW w:type="dxa" w:w="1296"/>
            <w:vAlign w:val="top"/>
            <w:tcMar>
              <w:top w:w="40" w:type="dxa"/>
              <w:left w:w="40" w:type="dxa"/>
              <w:bottom w:w="40" w:type="dxa"/>
              <w:right w:w="40" w:type="dxa"/>
            </w:tcMar>
          </w:tcPr>
          <w:p>
            <w:pPr>
              <w:spacing w:after="0"/>
            </w:pPr>
            <w:r/>
            <w:r>
              <w:rPr>
                <w:b w:val="0"/>
                <w:sz w:val="14"/>
              </w:rPr>
              <w:t>98.4</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512</w:t>
            </w:r>
          </w:p>
        </w:tc>
        <w:tc>
          <w:tcPr>
            <w:tcW w:type="dxa" w:w="1584"/>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3.77x</w:t>
            </w:r>
          </w:p>
        </w:tc>
        <w:tc>
          <w:tcPr>
            <w:tcW w:type="dxa" w:w="1152"/>
            <w:vAlign w:val="top"/>
            <w:tcMar>
              <w:top w:w="40" w:type="dxa"/>
              <w:left w:w="40" w:type="dxa"/>
              <w:bottom w:w="40" w:type="dxa"/>
              <w:right w:w="40" w:type="dxa"/>
            </w:tcMar>
          </w:tcPr>
          <w:p>
            <w:pPr>
              <w:spacing w:after="0"/>
            </w:pPr>
            <w:r/>
            <w:r>
              <w:rPr>
                <w:b w:val="0"/>
                <w:sz w:val="14"/>
              </w:rPr>
              <w:t>73</w:t>
            </w:r>
          </w:p>
        </w:tc>
        <w:tc>
          <w:tcPr>
            <w:tcW w:type="dxa" w:w="1296"/>
            <w:vAlign w:val="top"/>
            <w:tcMar>
              <w:top w:w="40" w:type="dxa"/>
              <w:left w:w="40" w:type="dxa"/>
              <w:bottom w:w="40" w:type="dxa"/>
              <w:right w:w="40" w:type="dxa"/>
            </w:tcMar>
          </w:tcPr>
          <w:p>
            <w:pPr>
              <w:spacing w:after="0"/>
            </w:pPr>
            <w:r/>
            <w:r>
              <w:rPr>
                <w:b w:val="0"/>
                <w:sz w:val="14"/>
              </w:rPr>
              <w:t>123.7</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1024</w:t>
            </w:r>
          </w:p>
        </w:tc>
        <w:tc>
          <w:tcPr>
            <w:tcW w:type="dxa" w:w="1584"/>
            <w:vAlign w:val="top"/>
            <w:tcMar>
              <w:top w:w="40" w:type="dxa"/>
              <w:left w:w="40" w:type="dxa"/>
              <w:bottom w:w="40" w:type="dxa"/>
              <w:right w:w="40" w:type="dxa"/>
            </w:tcMar>
          </w:tcPr>
          <w:p>
            <w:pPr>
              <w:spacing w:after="0"/>
            </w:pPr>
            <w:r/>
            <w:r>
              <w:rPr>
                <w:b w:val="0"/>
                <w:sz w:val="14"/>
              </w:rPr>
              <w:t>1,048,576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3.87x</w:t>
            </w:r>
          </w:p>
        </w:tc>
        <w:tc>
          <w:tcPr>
            <w:tcW w:type="dxa" w:w="1152"/>
            <w:vAlign w:val="top"/>
            <w:tcMar>
              <w:top w:w="40" w:type="dxa"/>
              <w:left w:w="40" w:type="dxa"/>
              <w:bottom w:w="40" w:type="dxa"/>
              <w:right w:w="40" w:type="dxa"/>
            </w:tcMar>
          </w:tcPr>
          <w:p>
            <w:pPr>
              <w:spacing w:after="0"/>
            </w:pPr>
            <w:r/>
            <w:r>
              <w:rPr>
                <w:b w:val="0"/>
                <w:sz w:val="14"/>
              </w:rPr>
              <w:t>146</w:t>
            </w:r>
          </w:p>
        </w:tc>
        <w:tc>
          <w:tcPr>
            <w:tcW w:type="dxa" w:w="1296"/>
            <w:vAlign w:val="top"/>
            <w:tcMar>
              <w:top w:w="40" w:type="dxa"/>
              <w:left w:w="40" w:type="dxa"/>
              <w:bottom w:w="40" w:type="dxa"/>
              <w:right w:w="40" w:type="dxa"/>
            </w:tcMar>
          </w:tcPr>
          <w:p>
            <w:pPr>
              <w:spacing w:after="0"/>
            </w:pPr>
            <w:r/>
            <w:r>
              <w:rPr>
                <w:b w:val="0"/>
                <w:sz w:val="14"/>
              </w:rPr>
              <w:t>145.8</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4096</w:t>
            </w:r>
          </w:p>
        </w:tc>
        <w:tc>
          <w:tcPr>
            <w:tcW w:type="dxa" w:w="1584"/>
            <w:vAlign w:val="top"/>
            <w:tcMar>
              <w:top w:w="40" w:type="dxa"/>
              <w:left w:w="40" w:type="dxa"/>
              <w:bottom w:w="40" w:type="dxa"/>
              <w:right w:w="40" w:type="dxa"/>
            </w:tcMar>
          </w:tcPr>
          <w:p>
            <w:pPr>
              <w:spacing w:after="0"/>
            </w:pPr>
            <w:r/>
            <w:r>
              <w:rPr>
                <w:b w:val="0"/>
                <w:sz w:val="14"/>
              </w:rPr>
              <w:t>4,194,304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3.94x</w:t>
            </w:r>
          </w:p>
        </w:tc>
        <w:tc>
          <w:tcPr>
            <w:tcW w:type="dxa" w:w="1152"/>
            <w:vAlign w:val="top"/>
            <w:tcMar>
              <w:top w:w="40" w:type="dxa"/>
              <w:left w:w="40" w:type="dxa"/>
              <w:bottom w:w="40" w:type="dxa"/>
              <w:right w:w="40" w:type="dxa"/>
            </w:tcMar>
          </w:tcPr>
          <w:p>
            <w:pPr>
              <w:spacing w:after="0"/>
            </w:pPr>
            <w:r/>
            <w:r>
              <w:rPr>
                <w:b w:val="0"/>
                <w:sz w:val="14"/>
              </w:rPr>
              <w:t>585</w:t>
            </w:r>
          </w:p>
        </w:tc>
        <w:tc>
          <w:tcPr>
            <w:tcW w:type="dxa" w:w="1296"/>
            <w:vAlign w:val="top"/>
            <w:tcMar>
              <w:top w:w="40" w:type="dxa"/>
              <w:left w:w="40" w:type="dxa"/>
              <w:bottom w:w="40" w:type="dxa"/>
              <w:right w:w="40" w:type="dxa"/>
            </w:tcMar>
          </w:tcPr>
          <w:p>
            <w:pPr>
              <w:spacing w:after="0"/>
            </w:pPr>
            <w:r/>
            <w:r>
              <w:rPr>
                <w:b w:val="0"/>
                <w:sz w:val="14"/>
              </w:rPr>
              <w:t>229.1</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0.92x</w:t>
            </w:r>
          </w:p>
        </w:tc>
        <w:tc>
          <w:tcPr>
            <w:tcW w:type="dxa" w:w="1152"/>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1305.3</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24,576</w:t>
            </w:r>
          </w:p>
        </w:tc>
        <w:tc>
          <w:tcPr>
            <w:tcW w:type="dxa" w:w="1152"/>
            <w:vAlign w:val="top"/>
            <w:tcMar>
              <w:top w:w="40" w:type="dxa"/>
              <w:left w:w="40" w:type="dxa"/>
              <w:bottom w:w="40" w:type="dxa"/>
              <w:right w:w="40" w:type="dxa"/>
            </w:tcMar>
          </w:tcPr>
          <w:p>
            <w:pPr>
              <w:spacing w:after="0"/>
            </w:pPr>
            <w:r/>
            <w:r>
              <w:rPr>
                <w:b w:val="0"/>
                <w:sz w:val="14"/>
              </w:rPr>
              <w:t>3.96x</w:t>
            </w:r>
          </w:p>
        </w:tc>
        <w:tc>
          <w:tcPr>
            <w:tcW w:type="dxa" w:w="1152"/>
            <w:vAlign w:val="top"/>
            <w:tcMar>
              <w:top w:w="40" w:type="dxa"/>
              <w:left w:w="40" w:type="dxa"/>
              <w:bottom w:w="40" w:type="dxa"/>
              <w:right w:w="40" w:type="dxa"/>
            </w:tcMar>
          </w:tcPr>
          <w:p>
            <w:pPr>
              <w:spacing w:after="0"/>
            </w:pPr>
            <w:r/>
            <w:r>
              <w:rPr>
                <w:b w:val="0"/>
                <w:sz w:val="14"/>
              </w:rPr>
              <w:t>2340</w:t>
            </w:r>
          </w:p>
        </w:tc>
        <w:tc>
          <w:tcPr>
            <w:tcW w:type="dxa" w:w="1296"/>
            <w:vAlign w:val="top"/>
            <w:tcMar>
              <w:top w:w="40" w:type="dxa"/>
              <w:left w:w="40" w:type="dxa"/>
              <w:bottom w:w="40" w:type="dxa"/>
              <w:right w:w="40" w:type="dxa"/>
            </w:tcMar>
          </w:tcPr>
          <w:p>
            <w:pPr>
              <w:spacing w:after="0"/>
            </w:pPr>
            <w:r/>
            <w:r>
              <w:rPr>
                <w:b w:val="0"/>
                <w:sz w:val="14"/>
              </w:rPr>
              <w:t>592.0</w:t>
            </w:r>
          </w:p>
        </w:tc>
        <w:tc>
          <w:tcPr>
            <w:tcW w:type="dxa" w:w="1008"/>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9. Component Costs</w:t>
      </w:r>
    </w:p>
    <w:p>
      <w:pPr>
        <w:spacing w:after="80" w:before="0"/>
      </w:pPr>
      <w:r>
        <w:rPr>
          <w:sz w:val="20"/>
        </w:rPr>
        <w:t>Table 17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17.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model CDC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3.4</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502.9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The central fairness rule is that ReduLink must not receive congestion credit for reconstructed bytes: congestion control and bottleneck service account encoded wire bytes only. Table 18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spacing w:after="40" w:before="120"/>
      </w:pPr>
      <w:r>
        <w:rPr>
          <w:b/>
          <w:sz w:val="18"/>
        </w:rPr>
        <w:t>Table 18.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19 reports a measured concurrent competing-flow experiment in which a raw QUIC flow and a ReduLink flow (both using aioquic's default NewReno congestion controller, so fairness is between identical stacks) run simultaneously over a shared localhost schedule with periodic datagram loss, repeated over 12 rounds. Across the measured rounds the reconstructed-rate Jain index [25] is 0.923 and the encoded-rate index is 0.722 (for two concurrent flows Jain's index ranges from 0.5 to 1.0), with every flow reconstructing correctly; the lower encoded-rate index is expected, reflecting that ReduLink transmits far fewer encoded bytes than the raw flow rather than transport-level unfairness. This is a real loopback measurement without rate shaping; Table 20 adds measured rate and delay emulation. Table 21 is an analytic illustration rather than a measurement: it applies a closed-form fluid model - fair-share serialization of the measured encoded bytes plus one RTT of completion latency - to the measured encoded byte counts. Because ReduLink encodes fewer bytes, the model yields a lower completion time and therefore a higher implied application rate at the same encoded fair share; for example at 25 Mbps and 10 ms the model gives 29.7 ms versus 51.3 ms for raw. This advantage is arithmetic, a direct consequence of sending fewer encoded bytes; the measured emulation of Table 20 shows why it is optimistic, since the fluid model ignores queueing delay and ReduLink's application-level repair round trips, which in measurement reverse the completion-time ordering at 5 Mbps. We retain the model only as a best-case bound on the byte-volume effect.</w:t>
      </w:r>
    </w:p>
    <w:p>
      <w:pPr>
        <w:spacing w:after="40" w:before="120"/>
      </w:pPr>
      <w:r>
        <w:rPr>
          <w:b/>
          <w:sz w:val="18"/>
        </w:rPr>
        <w:t>Table 19. Measured concurrent competing-flow experiment (Jain fairness index, twelve rounds).</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12 concurrent rounds, unshaped localhost (no rate limit),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0.722</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0.923</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measured experiment; not a kernel-netem path-emulation study</w:t>
            </w:r>
          </w:p>
        </w:tc>
      </w:tr>
    </w:tbl>
    <w:p/>
    <w:p>
      <w:pPr>
        <w:spacing w:after="80" w:before="0"/>
      </w:pPr>
      <w:r>
        <w:rPr>
          <w:sz w:val="20"/>
        </w:rPr>
        <w:t>Table 20 adds rate and delay to the same harness as a measured emulation: both flows run concurrently through a full-duplex shared bottleneck (one token bucket per direction plus one-way propagation delay), sweeping 5 and 20 Mbps against 20 and 80 ms RTT with five rounds per point. This corrects a methodological error we reported in an earlier version. Our first shaper used a single half-duplex bucket, which forced ReduLink's reverse MISS/repair traffic to serialize behind the raw flow's forward bulk data and produced a spurious finding that ReduLink completed about 74 percent slower at 5 Mbps. With a correct full-duplex link the result reverses on byte-stable content: ReduLink completes in 0.65 of the raw flow's time at 5 Mbps with 20 ms RTT (1022 versus 1562 ms) because it puts fewer bytes on the constrained link, and the two flows converge to within about one percent as the link uncongests at 20 Mbps. We report this reversal openly because it is the point: emulation topology, not just byte counts, determines completion time.</w:t>
      </w:r>
    </w:p>
    <w:p>
      <w:pPr>
        <w:spacing w:after="80" w:before="0"/>
      </w:pPr>
      <w:r>
        <w:rPr>
          <w:sz w:val="20"/>
        </w:rPr>
        <w:t>The completion-time benefit is nonetheless conditional on the miss rate, which Table 20 also shows by pushing real Redis-layered public bytes through the same path instead of the byte-stable demo. That workload punctures the dictionary heavily (72 semantic misses), so ReduLink's payload-bearing repairs and their reverse round trips erode the byte savings: it runs 1.11x to 1.27x slower than raw on the low-bandwidth rows and only overtakes raw (0.85x) when bandwidth is ample and the path is RTT-bound. Reconstruction is byte-exact in every round; encoded-rate Jain indices stay between 0.69 and 0.89. The honest synthesis is therefore neither the promotional fewer-bytes-so-faster nor our earlier artifactual always-slower: on a fair full-duplex link, ReduLink's byte savings shorten completion time when repair traffic is low and are offset by MISS and repair round trips when the warm dictionary is heavily punctured. Fairness itself is unaffected: both flows use identical NewReno stacks, so ReduLink can never gain congestion credit for reconstructed bytes.</w:t>
      </w:r>
    </w:p>
    <w:p>
      <w:pPr>
        <w:spacing w:after="40" w:before="120"/>
      </w:pPr>
      <w:r>
        <w:rPr>
          <w:b/>
          <w:sz w:val="18"/>
        </w:rPr>
        <w:t>Table 20. Measured full-duplex shared-bottleneck path emulation: mean completion time (ms, +/- s.d.) for competing raw and ReduLink flows on byte-stable demo bytes (five rounds) and real Redis-layered bytes (three rounds).</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008"/>
            <w:vAlign w:val="top"/>
            <w:tcMar>
              <w:top w:w="40" w:type="dxa"/>
              <w:left w:w="40" w:type="dxa"/>
              <w:bottom w:w="40" w:type="dxa"/>
              <w:right w:w="40" w:type="dxa"/>
            </w:tcMar>
          </w:tcPr>
          <w:p>
            <w:pPr>
              <w:spacing w:after="0"/>
            </w:pPr>
            <w:r/>
            <w:r>
              <w:rPr>
                <w:b/>
                <w:sz w:val="14"/>
              </w:rPr>
              <w:t>Payload</w:t>
            </w:r>
          </w:p>
        </w:tc>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Jain (enc)</w:t>
            </w:r>
          </w:p>
        </w:tc>
        <w:tc>
          <w:tcPr>
            <w:tcW w:type="dxa" w:w="864"/>
            <w:vAlign w:val="top"/>
            <w:tcMar>
              <w:top w:w="40" w:type="dxa"/>
              <w:left w:w="40" w:type="dxa"/>
              <w:bottom w:w="40" w:type="dxa"/>
              <w:right w:w="40" w:type="dxa"/>
            </w:tcMar>
          </w:tcPr>
          <w:p>
            <w:pPr>
              <w:spacing w:after="0"/>
            </w:pPr>
            <w:r/>
            <w:r>
              <w:rPr>
                <w:b/>
                <w:sz w:val="14"/>
              </w:rPr>
              <w:t>Recon.</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1561.6±96.4</w:t>
            </w:r>
          </w:p>
        </w:tc>
        <w:tc>
          <w:tcPr>
            <w:tcW w:type="dxa" w:w="1584"/>
            <w:vAlign w:val="top"/>
            <w:tcMar>
              <w:top w:w="40" w:type="dxa"/>
              <w:left w:w="40" w:type="dxa"/>
              <w:bottom w:w="40" w:type="dxa"/>
              <w:right w:w="40" w:type="dxa"/>
            </w:tcMar>
          </w:tcPr>
          <w:p>
            <w:pPr>
              <w:spacing w:after="0"/>
            </w:pPr>
            <w:r/>
            <w:r>
              <w:rPr>
                <w:b w:val="0"/>
                <w:sz w:val="14"/>
              </w:rPr>
              <w:t>1021.8±23.1</w:t>
            </w:r>
          </w:p>
        </w:tc>
        <w:tc>
          <w:tcPr>
            <w:tcW w:type="dxa" w:w="1008"/>
            <w:vAlign w:val="top"/>
            <w:tcMar>
              <w:top w:w="40" w:type="dxa"/>
              <w:left w:w="40" w:type="dxa"/>
              <w:bottom w:w="40" w:type="dxa"/>
              <w:right w:w="40" w:type="dxa"/>
            </w:tcMar>
          </w:tcPr>
          <w:p>
            <w:pPr>
              <w:spacing w:after="0"/>
            </w:pPr>
            <w:r/>
            <w:r>
              <w:rPr>
                <w:b w:val="0"/>
                <w:sz w:val="14"/>
              </w:rPr>
              <w:t>0.65x</w:t>
            </w:r>
          </w:p>
        </w:tc>
        <w:tc>
          <w:tcPr>
            <w:tcW w:type="dxa" w:w="1152"/>
            <w:vAlign w:val="top"/>
            <w:tcMar>
              <w:top w:w="40" w:type="dxa"/>
              <w:left w:w="40" w:type="dxa"/>
              <w:bottom w:w="40" w:type="dxa"/>
              <w:right w:w="40" w:type="dxa"/>
            </w:tcMar>
          </w:tcPr>
          <w:p>
            <w:pPr>
              <w:spacing w:after="0"/>
            </w:pPr>
            <w:r/>
            <w:r>
              <w:rPr>
                <w:b w:val="0"/>
                <w:sz w:val="14"/>
              </w:rPr>
              <w:t>0.889</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1244.7±19.6</w:t>
            </w:r>
          </w:p>
        </w:tc>
        <w:tc>
          <w:tcPr>
            <w:tcW w:type="dxa" w:w="1584"/>
            <w:vAlign w:val="top"/>
            <w:tcMar>
              <w:top w:w="40" w:type="dxa"/>
              <w:left w:w="40" w:type="dxa"/>
              <w:bottom w:w="40" w:type="dxa"/>
              <w:right w:w="40" w:type="dxa"/>
            </w:tcMar>
          </w:tcPr>
          <w:p>
            <w:pPr>
              <w:spacing w:after="0"/>
            </w:pPr>
            <w:r/>
            <w:r>
              <w:rPr>
                <w:b w:val="0"/>
                <w:sz w:val="14"/>
              </w:rPr>
              <w:t>1048.7±21.8</w:t>
            </w:r>
          </w:p>
        </w:tc>
        <w:tc>
          <w:tcPr>
            <w:tcW w:type="dxa" w:w="1008"/>
            <w:vAlign w:val="top"/>
            <w:tcMar>
              <w:top w:w="40" w:type="dxa"/>
              <w:left w:w="40" w:type="dxa"/>
              <w:bottom w:w="40" w:type="dxa"/>
              <w:right w:w="40" w:type="dxa"/>
            </w:tcMar>
          </w:tcPr>
          <w:p>
            <w:pPr>
              <w:spacing w:after="0"/>
            </w:pPr>
            <w:r/>
            <w:r>
              <w:rPr>
                <w:b w:val="0"/>
                <w:sz w:val="14"/>
              </w:rPr>
              <w:t>0.84x</w:t>
            </w:r>
          </w:p>
        </w:tc>
        <w:tc>
          <w:tcPr>
            <w:tcW w:type="dxa" w:w="1152"/>
            <w:vAlign w:val="top"/>
            <w:tcMar>
              <w:top w:w="40" w:type="dxa"/>
              <w:left w:w="40" w:type="dxa"/>
              <w:bottom w:w="40" w:type="dxa"/>
              <w:right w:w="40" w:type="dxa"/>
            </w:tcMar>
          </w:tcPr>
          <w:p>
            <w:pPr>
              <w:spacing w:after="0"/>
            </w:pPr>
            <w:r/>
            <w:r>
              <w:rPr>
                <w:b w:val="0"/>
                <w:sz w:val="14"/>
              </w:rPr>
              <w:t>0.827</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318.7±16.9</w:t>
            </w:r>
          </w:p>
        </w:tc>
        <w:tc>
          <w:tcPr>
            <w:tcW w:type="dxa" w:w="1584"/>
            <w:vAlign w:val="top"/>
            <w:tcMar>
              <w:top w:w="40" w:type="dxa"/>
              <w:left w:w="40" w:type="dxa"/>
              <w:bottom w:w="40" w:type="dxa"/>
              <w:right w:w="40" w:type="dxa"/>
            </w:tcMar>
          </w:tcPr>
          <w:p>
            <w:pPr>
              <w:spacing w:after="0"/>
            </w:pPr>
            <w:r/>
            <w:r>
              <w:rPr>
                <w:b w:val="0"/>
                <w:sz w:val="14"/>
              </w:rPr>
              <w:t>323.4±10.5</w:t>
            </w:r>
          </w:p>
        </w:tc>
        <w:tc>
          <w:tcPr>
            <w:tcW w:type="dxa" w:w="1008"/>
            <w:vAlign w:val="top"/>
            <w:tcMar>
              <w:top w:w="40" w:type="dxa"/>
              <w:left w:w="40" w:type="dxa"/>
              <w:bottom w:w="40" w:type="dxa"/>
              <w:right w:w="40" w:type="dxa"/>
            </w:tcMar>
          </w:tcPr>
          <w:p>
            <w:pPr>
              <w:spacing w:after="0"/>
            </w:pPr>
            <w:r/>
            <w:r>
              <w:rPr>
                <w:b w:val="0"/>
                <w:sz w:val="14"/>
              </w:rPr>
              <w:t>1.01x</w:t>
            </w:r>
          </w:p>
        </w:tc>
        <w:tc>
          <w:tcPr>
            <w:tcW w:type="dxa" w:w="1152"/>
            <w:vAlign w:val="top"/>
            <w:tcMar>
              <w:top w:w="40" w:type="dxa"/>
              <w:left w:w="40" w:type="dxa"/>
              <w:bottom w:w="40" w:type="dxa"/>
              <w:right w:w="40" w:type="dxa"/>
            </w:tcMar>
          </w:tcPr>
          <w:p>
            <w:pPr>
              <w:spacing w:after="0"/>
            </w:pPr>
            <w:r/>
            <w:r>
              <w:rPr>
                <w:b w:val="0"/>
                <w:sz w:val="14"/>
              </w:rPr>
              <w:t>0.782</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808.0±13.8</w:t>
            </w:r>
          </w:p>
        </w:tc>
        <w:tc>
          <w:tcPr>
            <w:tcW w:type="dxa" w:w="1584"/>
            <w:vAlign w:val="top"/>
            <w:tcMar>
              <w:top w:w="40" w:type="dxa"/>
              <w:left w:w="40" w:type="dxa"/>
              <w:bottom w:w="40" w:type="dxa"/>
              <w:right w:w="40" w:type="dxa"/>
            </w:tcMar>
          </w:tcPr>
          <w:p>
            <w:pPr>
              <w:spacing w:after="0"/>
            </w:pPr>
            <w:r/>
            <w:r>
              <w:rPr>
                <w:b w:val="0"/>
                <w:sz w:val="14"/>
              </w:rPr>
              <w:t>811.1±8.5</w:t>
            </w:r>
          </w:p>
        </w:tc>
        <w:tc>
          <w:tcPr>
            <w:tcW w:type="dxa" w:w="1008"/>
            <w:vAlign w:val="top"/>
            <w:tcMar>
              <w:top w:w="40" w:type="dxa"/>
              <w:left w:w="40" w:type="dxa"/>
              <w:bottom w:w="40" w:type="dxa"/>
              <w:right w:w="40" w:type="dxa"/>
            </w:tcMar>
          </w:tcPr>
          <w:p>
            <w:pPr>
              <w:spacing w:after="0"/>
            </w:pPr>
            <w:r/>
            <w:r>
              <w:rPr>
                <w:b w:val="0"/>
                <w:sz w:val="14"/>
              </w:rPr>
              <w:t>1.00x</w:t>
            </w:r>
          </w:p>
        </w:tc>
        <w:tc>
          <w:tcPr>
            <w:tcW w:type="dxa" w:w="1152"/>
            <w:vAlign w:val="top"/>
            <w:tcMar>
              <w:top w:w="40" w:type="dxa"/>
              <w:left w:w="40" w:type="dxa"/>
              <w:bottom w:w="40" w:type="dxa"/>
              <w:right w:w="40" w:type="dxa"/>
            </w:tcMar>
          </w:tcPr>
          <w:p>
            <w:pPr>
              <w:spacing w:after="0"/>
            </w:pPr>
            <w:r/>
            <w:r>
              <w:rPr>
                <w:b w:val="0"/>
                <w:sz w:val="14"/>
              </w:rPr>
              <w:t>0.785</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1920.2±355.6</w:t>
            </w:r>
          </w:p>
        </w:tc>
        <w:tc>
          <w:tcPr>
            <w:tcW w:type="dxa" w:w="1584"/>
            <w:vAlign w:val="top"/>
            <w:tcMar>
              <w:top w:w="40" w:type="dxa"/>
              <w:left w:w="40" w:type="dxa"/>
              <w:bottom w:w="40" w:type="dxa"/>
              <w:right w:w="40" w:type="dxa"/>
            </w:tcMar>
          </w:tcPr>
          <w:p>
            <w:pPr>
              <w:spacing w:after="0"/>
            </w:pPr>
            <w:r/>
            <w:r>
              <w:rPr>
                <w:b w:val="0"/>
                <w:sz w:val="14"/>
              </w:rPr>
              <w:t>2125.0±51.1</w:t>
            </w:r>
          </w:p>
        </w:tc>
        <w:tc>
          <w:tcPr>
            <w:tcW w:type="dxa" w:w="1008"/>
            <w:vAlign w:val="top"/>
            <w:tcMar>
              <w:top w:w="40" w:type="dxa"/>
              <w:left w:w="40" w:type="dxa"/>
              <w:bottom w:w="40" w:type="dxa"/>
              <w:right w:w="40" w:type="dxa"/>
            </w:tcMar>
          </w:tcPr>
          <w:p>
            <w:pPr>
              <w:spacing w:after="0"/>
            </w:pPr>
            <w:r/>
            <w:r>
              <w:rPr>
                <w:b w:val="0"/>
                <w:sz w:val="14"/>
              </w:rPr>
              <w:t>1.11x</w:t>
            </w:r>
          </w:p>
        </w:tc>
        <w:tc>
          <w:tcPr>
            <w:tcW w:type="dxa" w:w="1152"/>
            <w:vAlign w:val="top"/>
            <w:tcMar>
              <w:top w:w="40" w:type="dxa"/>
              <w:left w:w="40" w:type="dxa"/>
              <w:bottom w:w="40" w:type="dxa"/>
              <w:right w:w="40" w:type="dxa"/>
            </w:tcMar>
          </w:tcPr>
          <w:p>
            <w:pPr>
              <w:spacing w:after="0"/>
            </w:pPr>
            <w:r/>
            <w:r>
              <w:rPr>
                <w:b w:val="0"/>
                <w:sz w:val="14"/>
              </w:rPr>
              <w:t>0.718</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3261.4±825.4</w:t>
            </w:r>
          </w:p>
        </w:tc>
        <w:tc>
          <w:tcPr>
            <w:tcW w:type="dxa" w:w="1584"/>
            <w:vAlign w:val="top"/>
            <w:tcMar>
              <w:top w:w="40" w:type="dxa"/>
              <w:left w:w="40" w:type="dxa"/>
              <w:bottom w:w="40" w:type="dxa"/>
              <w:right w:w="40" w:type="dxa"/>
            </w:tcMar>
          </w:tcPr>
          <w:p>
            <w:pPr>
              <w:spacing w:after="0"/>
            </w:pPr>
            <w:r/>
            <w:r>
              <w:rPr>
                <w:b w:val="0"/>
                <w:sz w:val="14"/>
              </w:rPr>
              <w:t>4137.6±865.0</w:t>
            </w:r>
          </w:p>
        </w:tc>
        <w:tc>
          <w:tcPr>
            <w:tcW w:type="dxa" w:w="1008"/>
            <w:vAlign w:val="top"/>
            <w:tcMar>
              <w:top w:w="40" w:type="dxa"/>
              <w:left w:w="40" w:type="dxa"/>
              <w:bottom w:w="40" w:type="dxa"/>
              <w:right w:w="40" w:type="dxa"/>
            </w:tcMar>
          </w:tcPr>
          <w:p>
            <w:pPr>
              <w:spacing w:after="0"/>
            </w:pPr>
            <w:r/>
            <w:r>
              <w:rPr>
                <w:b w:val="0"/>
                <w:sz w:val="14"/>
              </w:rPr>
              <w:t>1.27x</w:t>
            </w:r>
          </w:p>
        </w:tc>
        <w:tc>
          <w:tcPr>
            <w:tcW w:type="dxa" w:w="1152"/>
            <w:vAlign w:val="top"/>
            <w:tcMar>
              <w:top w:w="40" w:type="dxa"/>
              <w:left w:w="40" w:type="dxa"/>
              <w:bottom w:w="40" w:type="dxa"/>
              <w:right w:w="40" w:type="dxa"/>
            </w:tcMar>
          </w:tcPr>
          <w:p>
            <w:pPr>
              <w:spacing w:after="0"/>
            </w:pPr>
            <w:r/>
            <w:r>
              <w:rPr>
                <w:b w:val="0"/>
                <w:sz w:val="14"/>
              </w:rPr>
              <w:t>0.694</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1164.9±61.2</w:t>
            </w:r>
          </w:p>
        </w:tc>
        <w:tc>
          <w:tcPr>
            <w:tcW w:type="dxa" w:w="1584"/>
            <w:vAlign w:val="top"/>
            <w:tcMar>
              <w:top w:w="40" w:type="dxa"/>
              <w:left w:w="40" w:type="dxa"/>
              <w:bottom w:w="40" w:type="dxa"/>
              <w:right w:w="40" w:type="dxa"/>
            </w:tcMar>
          </w:tcPr>
          <w:p>
            <w:pPr>
              <w:spacing w:after="0"/>
            </w:pPr>
            <w:r/>
            <w:r>
              <w:rPr>
                <w:b w:val="0"/>
                <w:sz w:val="14"/>
              </w:rPr>
              <w:t>1243.0±25.4</w:t>
            </w:r>
          </w:p>
        </w:tc>
        <w:tc>
          <w:tcPr>
            <w:tcW w:type="dxa" w:w="1008"/>
            <w:vAlign w:val="top"/>
            <w:tcMar>
              <w:top w:w="40" w:type="dxa"/>
              <w:left w:w="40" w:type="dxa"/>
              <w:bottom w:w="40" w:type="dxa"/>
              <w:right w:w="40" w:type="dxa"/>
            </w:tcMar>
          </w:tcPr>
          <w:p>
            <w:pPr>
              <w:spacing w:after="0"/>
            </w:pPr>
            <w:r/>
            <w:r>
              <w:rPr>
                <w:b w:val="0"/>
                <w:sz w:val="14"/>
              </w:rPr>
              <w:t>1.07x</w:t>
            </w:r>
          </w:p>
        </w:tc>
        <w:tc>
          <w:tcPr>
            <w:tcW w:type="dxa" w:w="1152"/>
            <w:vAlign w:val="top"/>
            <w:tcMar>
              <w:top w:w="40" w:type="dxa"/>
              <w:left w:w="40" w:type="dxa"/>
              <w:bottom w:w="40" w:type="dxa"/>
              <w:right w:w="40" w:type="dxa"/>
            </w:tcMar>
          </w:tcPr>
          <w:p>
            <w:pPr>
              <w:spacing w:after="0"/>
            </w:pPr>
            <w:r/>
            <w:r>
              <w:rPr>
                <w:b w:val="0"/>
                <w:sz w:val="14"/>
              </w:rPr>
              <w:t>0.730</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1325.2±16.1</w:t>
            </w:r>
          </w:p>
        </w:tc>
        <w:tc>
          <w:tcPr>
            <w:tcW w:type="dxa" w:w="1584"/>
            <w:vAlign w:val="top"/>
            <w:tcMar>
              <w:top w:w="40" w:type="dxa"/>
              <w:left w:w="40" w:type="dxa"/>
              <w:bottom w:w="40" w:type="dxa"/>
              <w:right w:w="40" w:type="dxa"/>
            </w:tcMar>
          </w:tcPr>
          <w:p>
            <w:pPr>
              <w:spacing w:after="0"/>
            </w:pPr>
            <w:r/>
            <w:r>
              <w:rPr>
                <w:b w:val="0"/>
                <w:sz w:val="14"/>
              </w:rPr>
              <w:t>1131.5±6.2</w:t>
            </w:r>
          </w:p>
        </w:tc>
        <w:tc>
          <w:tcPr>
            <w:tcW w:type="dxa" w:w="1008"/>
            <w:vAlign w:val="top"/>
            <w:tcMar>
              <w:top w:w="40" w:type="dxa"/>
              <w:left w:w="40" w:type="dxa"/>
              <w:bottom w:w="40" w:type="dxa"/>
              <w:right w:w="40" w:type="dxa"/>
            </w:tcMar>
          </w:tcPr>
          <w:p>
            <w:pPr>
              <w:spacing w:after="0"/>
            </w:pPr>
            <w:r/>
            <w:r>
              <w:rPr>
                <w:b w:val="0"/>
                <w:sz w:val="14"/>
              </w:rPr>
              <w:t>0.85x</w:t>
            </w:r>
          </w:p>
        </w:tc>
        <w:tc>
          <w:tcPr>
            <w:tcW w:type="dxa" w:w="1152"/>
            <w:vAlign w:val="top"/>
            <w:tcMar>
              <w:top w:w="40" w:type="dxa"/>
              <w:left w:w="40" w:type="dxa"/>
              <w:bottom w:w="40" w:type="dxa"/>
              <w:right w:w="40" w:type="dxa"/>
            </w:tcMar>
          </w:tcPr>
          <w:p>
            <w:pPr>
              <w:spacing w:after="0"/>
            </w:pPr>
            <w:r/>
            <w:r>
              <w:rPr>
                <w:b w:val="0"/>
                <w:sz w:val="14"/>
              </w:rPr>
              <w:t>0.779</w:t>
            </w:r>
          </w:p>
        </w:tc>
        <w:tc>
          <w:tcPr>
            <w:tcW w:type="dxa" w:w="864"/>
            <w:vAlign w:val="top"/>
            <w:tcMar>
              <w:top w:w="40" w:type="dxa"/>
              <w:left w:w="40" w:type="dxa"/>
              <w:bottom w:w="40" w:type="dxa"/>
              <w:right w:w="40" w:type="dxa"/>
            </w:tcMar>
          </w:tcPr>
          <w:p>
            <w:pPr>
              <w:spacing w:after="0"/>
            </w:pPr>
            <w:r/>
            <w:r>
              <w:rPr>
                <w:b w:val="0"/>
                <w:sz w:val="14"/>
              </w:rPr>
              <w:t>OK</w:t>
            </w:r>
          </w:p>
        </w:tc>
      </w:tr>
    </w:tbl>
    <w:p/>
    <w:p>
      <w:pPr>
        <w:spacing w:after="40" w:before="120"/>
      </w:pPr>
      <w:r>
        <w:rPr>
          <w:b/>
          <w:sz w:val="18"/>
        </w:rPr>
        <w:t>Table 21.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does not include a full tc/netem or Mininet congestion-control study; the competing-flow and bottleneck results are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22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22.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and can run a delta protocol; HTTP delta or shared-dictionary transport is best when the application is HTTP and a codec-level dictionary suffices; and whole-stream dictionary delta (zstd --patch-from, Section 7.6) is best on raw bytes whenever the receiver retains the exact prior stream - by one to three orders of magnitude on our corpora.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23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23.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 not fail-closed)</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zstd dictionary delta (--patch-from) [26]</w:t>
            </w:r>
          </w:p>
        </w:tc>
        <w:tc>
          <w:tcPr>
            <w:tcW w:type="dxa" w:w="1872"/>
            <w:vAlign w:val="top"/>
            <w:tcMar>
              <w:top w:w="40" w:type="dxa"/>
              <w:left w:w="40" w:type="dxa"/>
              <w:bottom w:w="40" w:type="dxa"/>
              <w:right w:w="40" w:type="dxa"/>
            </w:tcMar>
          </w:tcPr>
          <w:p>
            <w:pPr>
              <w:spacing w:after="0"/>
            </w:pPr>
            <w:r/>
            <w:r>
              <w:rPr>
                <w:b w:val="0"/>
                <w:sz w:val="14"/>
              </w:rPr>
              <w:t>Yes (as payload)</w:t>
            </w:r>
          </w:p>
        </w:tc>
        <w:tc>
          <w:tcPr>
            <w:tcW w:type="dxa" w:w="1440"/>
            <w:vAlign w:val="top"/>
            <w:tcMar>
              <w:top w:w="40" w:type="dxa"/>
              <w:left w:w="40" w:type="dxa"/>
              <w:bottom w:w="40" w:type="dxa"/>
              <w:right w:w="40" w:type="dxa"/>
            </w:tcMar>
          </w:tcPr>
          <w:p>
            <w:pPr>
              <w:spacing w:after="0"/>
            </w:pPr>
            <w:r/>
            <w:r>
              <w:rPr>
                <w:b w:val="0"/>
                <w:sz w:val="14"/>
              </w:rPr>
              <w:t>No (codec trust)</w:t>
            </w:r>
          </w:p>
        </w:tc>
        <w:tc>
          <w:tcPr>
            <w:tcW w:type="dxa" w:w="1440"/>
            <w:vAlign w:val="top"/>
            <w:tcMar>
              <w:top w:w="40" w:type="dxa"/>
              <w:left w:w="40" w:type="dxa"/>
              <w:bottom w:w="40" w:type="dxa"/>
              <w:right w:w="40" w:type="dxa"/>
            </w:tcMar>
          </w:tcPr>
          <w:p>
            <w:pPr>
              <w:spacing w:after="0"/>
            </w:pPr>
            <w:r/>
            <w:r>
              <w:rPr>
                <w:b w:val="0"/>
                <w:sz w:val="14"/>
              </w:rPr>
              <w:t>No</w:t>
            </w:r>
          </w:p>
        </w:tc>
        <w:tc>
          <w:tcPr>
            <w:tcW w:type="dxa" w:w="1584"/>
            <w:vAlign w:val="top"/>
            <w:tcMar>
              <w:top w:w="40" w:type="dxa"/>
              <w:left w:w="40" w:type="dxa"/>
              <w:bottom w:w="40" w:type="dxa"/>
              <w:right w:w="40" w:type="dxa"/>
            </w:tcMar>
          </w:tcPr>
          <w:p>
            <w:pPr>
              <w:spacing w:after="0"/>
            </w:pPr>
            <w:r/>
            <w:r>
              <w:rPr>
                <w:b w:val="0"/>
                <w:sz w:val="14"/>
              </w:rPr>
              <w:t>Exact retained prior stream</w:t>
            </w:r>
          </w:p>
        </w:tc>
        <w:tc>
          <w:tcPr>
            <w:tcW w:type="dxa" w:w="2304"/>
            <w:vAlign w:val="top"/>
            <w:tcMar>
              <w:top w:w="40" w:type="dxa"/>
              <w:left w:w="40" w:type="dxa"/>
              <w:bottom w:w="40" w:type="dxa"/>
              <w:right w:w="40" w:type="dxa"/>
            </w:tcMar>
          </w:tcPr>
          <w:p>
            <w:pPr>
              <w:spacing w:after="0"/>
            </w:pPr>
            <w:r/>
            <w:r>
              <w:rPr>
                <w:b w:val="0"/>
                <w:sz w:val="14"/>
              </w:rPr>
              <w:t>Full prior stream retained; best byte savings (Sec. 7.6)</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is a measured twelve-round competing-flow experiment plus a measured full-duplex userspace path emulation across a rate/RTT grid on both byte-stable and real repair-heavy payloads (Section 10); userspace shaping is faithful at the studied rates but is not kernel tc/netem or Mininet, which requires a privileged host and remains future work, and all transport experiments run over localhost. The path-emulation history is a caution in itself: our first single-bucket shaper produced a completion-time finding that a correct full-duplex model reversed, so the completion-time results should be read as emulation-model-dependent until confirmed on a kernel emulator or real path. Native-QUIC experiments now reach 16 MiB over a single localhost connection, including a demonstrated dictionary-budget overflow and recovery; multi-connection behavior, larger-than-memory dictionaries, and Internet-path dynamics remain out of scope. The independent positive trace of Section 7.5 captures real package-distribution objects rather than a live production registry pull. The security analysis of Section 4.5 reduces reference unforgeability to standard HMAC and collision-resistance assumptions, but a machine-checked proof and production exporter-derived keying on every path remain future work. Headline byte multipliers are model-framed; the wire-priced values of Section 7.6 are 5 to 28 percent lower, and whole-stream dictionary delta beats both wherever its retention and trust assumptions hold.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a privileged-host tc/netem or Mininet fairness study with competing real flows, packet capture, larger and live-captured registry or backup traces, a machine-checked security proof, and a direct head-to-head comparison against Compression Dictionary Transport on the same corpora.</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Every table and figure in this paper is regenerated from the committed result files by scripts/build_manuscript_v3_7.py and scripts/make_journal_figures_v2_8.py. The framing-repricing and dictionary-delta baseline is regenerated by benchmarks/run_framing_dictionary_baseline.py, and the verifier-hardening properties of Section 4.5 (authentication-first ordering, bounded replay window, context binding under a valid tag) are pinned by dedicated unit tests. Each version of this manuscript is accompanied by an annotated git tag and a GitHub release whose assets include the final PDF and DOCX; the SHA-256 hashes of both files are pinned in MANUSCRIPT_SHA256.txt in the tagged tree, so reviewers can verify that the reviewed PDF matches the archived artifact.</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tagged release v3.7-journal-submission, GitHub, 2026. https://github.com/pinkysworld/redulink-deduplex-quic/releases/tag/v3.7-journal-submission</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p>
      <w:pPr>
        <w:spacing w:after="20" w:before="0"/>
      </w:pPr>
      <w:r>
        <w:rPr>
          <w:sz w:val="16"/>
        </w:rPr>
        <w:t>[23] H. Krawczyk, M. Bellare, and R. Canetti, 'HMAC: Keyed-hashing for message authentication,' RFC 2104, IETF, 1997.</w:t>
      </w:r>
    </w:p>
    <w:p>
      <w:pPr>
        <w:spacing w:after="20" w:before="0"/>
      </w:pPr>
      <w:r>
        <w:rPr>
          <w:sz w:val="16"/>
        </w:rPr>
        <w:t>[24] H. Krawczyk and P. Eronen, 'HMAC-based extract-and-expand key derivation function (HKDF),' RFC 5869, IETF, 2010.</w:t>
      </w:r>
    </w:p>
    <w:p>
      <w:pPr>
        <w:spacing w:after="20" w:before="0"/>
      </w:pPr>
      <w:r>
        <w:rPr>
          <w:sz w:val="16"/>
        </w:rPr>
        <w:t>[25] R. Jain, D.-M. Chiu, and W. Hawe, 'A quantitative measure of fairness and discrimination for shared computer systems,' DEC Research Report TR-301, 1984.</w:t>
      </w:r>
    </w:p>
    <w:p>
      <w:pPr>
        <w:spacing w:after="20" w:before="0"/>
      </w:pPr>
      <w:r>
        <w:rPr>
          <w:sz w:val="16"/>
        </w:rPr>
        <w:t>[26] Y. Collet and M. Kucherawy, 'Zstandard compression and the application/zstd media type,' RFC 8878, IETF, 2021.</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v3.7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