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package version-pair object study, a formal security analysis of the reference-authentication construction, a measured full-duplex shared-bottleneck userspace emulation, and a native miss-rate sensitivity sweep. In 20-round userspace full-duplex emulation, ReduLink consistently reduces encoded bytes in favorable warm-state cases, but completion time is path- and miss-rate-dependent: byte-stable demo traffic ranges from faster to near-parity depending on rate and RTT, while repair-heavy Redis-layered traffic can be faster or slower depending on MISS/FULL repair cost.</w:t>
      </w:r>
    </w:p>
    <w:p>
      <w:pPr>
        <w:spacing w:after="80" w:before="0"/>
      </w:pPr>
      <w:r>
        <w:rPr>
          <w:sz w:val="20"/>
        </w:rPr>
        <w:t>Quantitatively, on object-aligned public release transfers ReduLink reaches 1.94x to 9.70x effective stream-payload reduction under the offline model's framing (1.8x to 7.9x when re-priced at the artifact's measured 108-byte binary wire framing), and 21.37x (15.3x re-priced) on a layer-like positive case; the authenticated variant costs a further 3 to 11 percent. We also report the baselines that beat ReduLink on bytes: rsync wins by up to 73x on ordinary source-tree updates, and a zstd dictionary-delta baseline (the Compression Dictionary Transport analog) wins by 65x to 1,785x whenever the receiver retains the exact prior byte stream and a codec delta is acceptable. ReduLink's contribution is therefore not byte-optimality but authenticated, object-granular, fail-closed reference substitution over a chunk dictionary.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25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offline model charges 24 bytes of framing per FULL and 32 bytes per REF. These modeled overheads are optimistic, not conservative: the artifact's own compact binary wire format costs a measured 108 bytes of metadata per frame (4-byte length prefix, 74-byte fixed header, scope string, cid and tag) - a 32-byte REF budget cannot even hold the 16-byte chunk identifier plus 16-byte tag that Section 4.5 requires. Section 7.6 re-prices every headline result at the measured cost; a production varint encoding would land between the two.</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Keying differs by artifact path, and we state this precisely: the native aioquic experiment derives its authentication key through the HKDF exporter-style schedule (keyed by an experiment master secret plus ALPN, epoch, scope, connection, and stream context; tests confirm the derived secret changes when any input changes), whereas the standalone secure model and the authenticated-UDP prototype default to a fixed test secret, so their context binding lives in the MAC message, not the key. A production profile keys the schedule from QUIC TLS exporter bytes on every path, which also gives cross-connection freshness: a frame recorded on one connection fails authentication on any other because the key differs.</w:t>
      </w:r>
    </w:p>
    <w:p>
      <w:pPr>
        <w:pStyle w:val="Heading2"/>
      </w:pPr>
      <w:r>
        <w:rPr>
          <w:rFonts w:ascii="Arial" w:hAnsi="Arial"/>
        </w:rPr>
        <w:t>4.4 Threat model</w:t>
      </w:r>
    </w:p>
    <w:p>
      <w:pPr>
        <w:spacing w:after="80" w:before="0"/>
      </w:pPr>
      <w:r>
        <w:rPr>
          <w:sz w:val="20"/>
        </w:rPr>
        <w:t>Table 3 separates the specified security design from what the artifact implements and tests. The artifact validates the reference-authentication design and its negative cases; it should not be read as production-grade cryptographic integration. It implements HMAC binding, chunk-id validation, nonce rejection, length and expansion checks, and fail-closed repair, but it does not implement production exporter-derived keys, custom extension-frame parsing, production replay windows, or cross-tenant isolation enforcement.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spacing w:after="40" w:before="120"/>
      </w:pPr>
      <w:r>
        <w:rPr>
          <w:b/>
          <w:sz w:val="18"/>
        </w:rPr>
        <w:t>Table 3. Security feature status: specified, implemented, tested, and future work.</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584"/>
            <w:vAlign w:val="top"/>
            <w:tcMar>
              <w:top w:w="40" w:type="dxa"/>
              <w:left w:w="40" w:type="dxa"/>
              <w:bottom w:w="40" w:type="dxa"/>
              <w:right w:w="40" w:type="dxa"/>
            </w:tcMar>
          </w:tcPr>
          <w:p>
            <w:pPr>
              <w:spacing w:after="0"/>
            </w:pPr>
            <w:r/>
            <w:r>
              <w:rPr>
                <w:b/>
                <w:sz w:val="12"/>
              </w:rPr>
              <w:t>Feature</w:t>
            </w:r>
          </w:p>
        </w:tc>
        <w:tc>
          <w:tcPr>
            <w:tcW w:type="dxa" w:w="2016"/>
            <w:vAlign w:val="top"/>
            <w:tcMar>
              <w:top w:w="40" w:type="dxa"/>
              <w:left w:w="40" w:type="dxa"/>
              <w:bottom w:w="40" w:type="dxa"/>
              <w:right w:w="40" w:type="dxa"/>
            </w:tcMar>
          </w:tcPr>
          <w:p>
            <w:pPr>
              <w:spacing w:after="0"/>
            </w:pPr>
            <w:r/>
            <w:r>
              <w:rPr>
                <w:b/>
                <w:sz w:val="12"/>
              </w:rPr>
              <w:t>Specified</w:t>
            </w:r>
          </w:p>
        </w:tc>
        <w:tc>
          <w:tcPr>
            <w:tcW w:type="dxa" w:w="2160"/>
            <w:vAlign w:val="top"/>
            <w:tcMar>
              <w:top w:w="40" w:type="dxa"/>
              <w:left w:w="40" w:type="dxa"/>
              <w:bottom w:w="40" w:type="dxa"/>
              <w:right w:w="40" w:type="dxa"/>
            </w:tcMar>
          </w:tcPr>
          <w:p>
            <w:pPr>
              <w:spacing w:after="0"/>
            </w:pPr>
            <w:r/>
            <w:r>
              <w:rPr>
                <w:b/>
                <w:sz w:val="12"/>
              </w:rPr>
              <w:t>Implemented</w:t>
            </w:r>
          </w:p>
        </w:tc>
        <w:tc>
          <w:tcPr>
            <w:tcW w:type="dxa" w:w="2016"/>
            <w:vAlign w:val="top"/>
            <w:tcMar>
              <w:top w:w="40" w:type="dxa"/>
              <w:left w:w="40" w:type="dxa"/>
              <w:bottom w:w="40" w:type="dxa"/>
              <w:right w:w="40" w:type="dxa"/>
            </w:tcMar>
          </w:tcPr>
          <w:p>
            <w:pPr>
              <w:spacing w:after="0"/>
            </w:pPr>
            <w:r/>
            <w:r>
              <w:rPr>
                <w:b/>
                <w:sz w:val="12"/>
              </w:rPr>
              <w:t>Tested</w:t>
            </w:r>
          </w:p>
        </w:tc>
        <w:tc>
          <w:tcPr>
            <w:tcW w:type="dxa" w:w="2016"/>
            <w:vAlign w:val="top"/>
            <w:tcMar>
              <w:top w:w="40" w:type="dxa"/>
              <w:left w:w="40" w:type="dxa"/>
              <w:bottom w:w="40" w:type="dxa"/>
              <w:right w:w="40" w:type="dxa"/>
            </w:tcMar>
          </w:tcPr>
          <w:p>
            <w:pPr>
              <w:spacing w:after="0"/>
            </w:pPr>
            <w:r/>
            <w:r>
              <w:rPr>
                <w:b/>
                <w:sz w:val="12"/>
              </w:rPr>
              <w:t>Future work</w:t>
            </w:r>
          </w:p>
        </w:tc>
      </w:tr>
      <w:tr>
        <w:tc>
          <w:tcPr>
            <w:tcW w:type="dxa" w:w="1584"/>
            <w:vAlign w:val="top"/>
            <w:tcMar>
              <w:top w:w="40" w:type="dxa"/>
              <w:left w:w="40" w:type="dxa"/>
              <w:bottom w:w="40" w:type="dxa"/>
              <w:right w:w="40" w:type="dxa"/>
            </w:tcMar>
          </w:tcPr>
          <w:p>
            <w:pPr>
              <w:spacing w:after="0"/>
            </w:pPr>
            <w:r/>
            <w:r>
              <w:rPr>
                <w:b w:val="0"/>
                <w:sz w:val="12"/>
              </w:rPr>
              <w:t>Per-reference integrity</w:t>
            </w:r>
          </w:p>
        </w:tc>
        <w:tc>
          <w:tcPr>
            <w:tcW w:type="dxa" w:w="2016"/>
            <w:vAlign w:val="top"/>
            <w:tcMar>
              <w:top w:w="40" w:type="dxa"/>
              <w:left w:w="40" w:type="dxa"/>
              <w:bottom w:w="40" w:type="dxa"/>
              <w:right w:w="40" w:type="dxa"/>
            </w:tcMar>
          </w:tcPr>
          <w:p>
            <w:pPr>
              <w:spacing w:after="0"/>
            </w:pPr>
            <w:r/>
            <w:r>
              <w:rPr>
                <w:b w:val="0"/>
                <w:sz w:val="12"/>
              </w:rPr>
              <w:t>FULL/REF tag binds chunk, length, stream offset, epoch, scope, nonce</w:t>
            </w:r>
          </w:p>
        </w:tc>
        <w:tc>
          <w:tcPr>
            <w:tcW w:type="dxa" w:w="2160"/>
            <w:vAlign w:val="top"/>
            <w:tcMar>
              <w:top w:w="40" w:type="dxa"/>
              <w:left w:w="40" w:type="dxa"/>
              <w:bottom w:w="40" w:type="dxa"/>
              <w:right w:w="40" w:type="dxa"/>
            </w:tcMar>
          </w:tcPr>
          <w:p>
            <w:pPr>
              <w:spacing w:after="0"/>
            </w:pPr>
            <w:r/>
            <w:r>
              <w:rPr>
                <w:b w:val="0"/>
                <w:sz w:val="12"/>
              </w:rPr>
              <w:t>HMAC-style tag and chunk-id checks</w:t>
            </w:r>
          </w:p>
        </w:tc>
        <w:tc>
          <w:tcPr>
            <w:tcW w:type="dxa" w:w="2016"/>
            <w:vAlign w:val="top"/>
            <w:tcMar>
              <w:top w:w="40" w:type="dxa"/>
              <w:left w:w="40" w:type="dxa"/>
              <w:bottom w:w="40" w:type="dxa"/>
              <w:right w:w="40" w:type="dxa"/>
            </w:tcMar>
          </w:tcPr>
          <w:p>
            <w:pPr>
              <w:spacing w:after="0"/>
            </w:pPr>
            <w:r/>
            <w:r>
              <w:rPr>
                <w:b w:val="0"/>
                <w:sz w:val="12"/>
              </w:rPr>
              <w:t>Tamper, wrong-context, wrong-length, reconstruction tests</w:t>
            </w:r>
          </w:p>
        </w:tc>
        <w:tc>
          <w:tcPr>
            <w:tcW w:type="dxa" w:w="2016"/>
            <w:vAlign w:val="top"/>
            <w:tcMar>
              <w:top w:w="40" w:type="dxa"/>
              <w:left w:w="40" w:type="dxa"/>
              <w:bottom w:w="40" w:type="dxa"/>
              <w:right w:w="40" w:type="dxa"/>
            </w:tcMar>
          </w:tcPr>
          <w:p>
            <w:pPr>
              <w:spacing w:after="0"/>
            </w:pPr>
            <w:r/>
            <w:r>
              <w:rPr>
                <w:b w:val="0"/>
                <w:sz w:val="12"/>
              </w:rPr>
              <w:t>Production key management</w:t>
            </w:r>
          </w:p>
        </w:tc>
      </w:tr>
      <w:tr>
        <w:tc>
          <w:tcPr>
            <w:tcW w:type="dxa" w:w="1584"/>
            <w:vAlign w:val="top"/>
            <w:tcMar>
              <w:top w:w="40" w:type="dxa"/>
              <w:left w:w="40" w:type="dxa"/>
              <w:bottom w:w="40" w:type="dxa"/>
              <w:right w:w="40" w:type="dxa"/>
            </w:tcMar>
          </w:tcPr>
          <w:p>
            <w:pPr>
              <w:spacing w:after="0"/>
            </w:pPr>
            <w:r/>
            <w:r>
              <w:rPr>
                <w:b w:val="0"/>
                <w:sz w:val="12"/>
              </w:rPr>
              <w:t>Context binding and replay</w:t>
            </w:r>
          </w:p>
        </w:tc>
        <w:tc>
          <w:tcPr>
            <w:tcW w:type="dxa" w:w="2016"/>
            <w:vAlign w:val="top"/>
            <w:tcMar>
              <w:top w:w="40" w:type="dxa"/>
              <w:left w:w="40" w:type="dxa"/>
              <w:bottom w:w="40" w:type="dxa"/>
              <w:right w:w="40" w:type="dxa"/>
            </w:tcMar>
          </w:tcPr>
          <w:p>
            <w:pPr>
              <w:spacing w:after="0"/>
            </w:pPr>
            <w:r/>
            <w:r>
              <w:rPr>
                <w:b w:val="0"/>
                <w:sz w:val="12"/>
              </w:rPr>
              <w:t>Exporter-derived keys, epoch/scope/stream/offset binding, replay window</w:t>
            </w:r>
          </w:p>
        </w:tc>
        <w:tc>
          <w:tcPr>
            <w:tcW w:type="dxa" w:w="2160"/>
            <w:vAlign w:val="top"/>
            <w:tcMar>
              <w:top w:w="40" w:type="dxa"/>
              <w:left w:w="40" w:type="dxa"/>
              <w:bottom w:w="40" w:type="dxa"/>
              <w:right w:w="40" w:type="dxa"/>
            </w:tcMar>
          </w:tcPr>
          <w:p>
            <w:pPr>
              <w:spacing w:after="0"/>
            </w:pPr>
            <w:r/>
            <w:r>
              <w:rPr>
                <w:b w:val="0"/>
                <w:sz w:val="12"/>
              </w:rPr>
              <w:t>HKDF-style schedule in aioquic path; fixed-secret model paths bind context in MAC message</w:t>
            </w:r>
          </w:p>
        </w:tc>
        <w:tc>
          <w:tcPr>
            <w:tcW w:type="dxa" w:w="2016"/>
            <w:vAlign w:val="top"/>
            <w:tcMar>
              <w:top w:w="40" w:type="dxa"/>
              <w:left w:w="40" w:type="dxa"/>
              <w:bottom w:w="40" w:type="dxa"/>
              <w:right w:w="40" w:type="dxa"/>
            </w:tcMar>
          </w:tcPr>
          <w:p>
            <w:pPr>
              <w:spacing w:after="0"/>
            </w:pPr>
            <w:r/>
            <w:r>
              <w:rPr>
                <w:b w:val="0"/>
                <w:sz w:val="12"/>
              </w:rPr>
              <w:t>Wrong scope/epoch/stream/offset and nonce replay rejection tests</w:t>
            </w:r>
          </w:p>
        </w:tc>
        <w:tc>
          <w:tcPr>
            <w:tcW w:type="dxa" w:w="2016"/>
            <w:vAlign w:val="top"/>
            <w:tcMar>
              <w:top w:w="40" w:type="dxa"/>
              <w:left w:w="40" w:type="dxa"/>
              <w:bottom w:w="40" w:type="dxa"/>
              <w:right w:w="40" w:type="dxa"/>
            </w:tcMar>
          </w:tcPr>
          <w:p>
            <w:pPr>
              <w:spacing w:after="0"/>
            </w:pPr>
            <w:r/>
            <w:r>
              <w:rPr>
                <w:b w:val="0"/>
                <w:sz w:val="12"/>
              </w:rPr>
              <w:t>Live QUIC TLS exporter bytes and production replay window</w:t>
            </w:r>
          </w:p>
        </w:tc>
      </w:tr>
      <w:tr>
        <w:tc>
          <w:tcPr>
            <w:tcW w:type="dxa" w:w="1584"/>
            <w:vAlign w:val="top"/>
            <w:tcMar>
              <w:top w:w="40" w:type="dxa"/>
              <w:left w:w="40" w:type="dxa"/>
              <w:bottom w:w="40" w:type="dxa"/>
              <w:right w:w="40" w:type="dxa"/>
            </w:tcMar>
          </w:tcPr>
          <w:p>
            <w:pPr>
              <w:spacing w:after="0"/>
            </w:pPr>
            <w:r/>
            <w:r>
              <w:rPr>
                <w:b w:val="0"/>
                <w:sz w:val="12"/>
              </w:rPr>
              <w:t>Dictionary safety</w:t>
            </w:r>
          </w:p>
        </w:tc>
        <w:tc>
          <w:tcPr>
            <w:tcW w:type="dxa" w:w="2016"/>
            <w:vAlign w:val="top"/>
            <w:tcMar>
              <w:top w:w="40" w:type="dxa"/>
              <w:left w:w="40" w:type="dxa"/>
              <w:bottom w:w="40" w:type="dxa"/>
              <w:right w:w="40" w:type="dxa"/>
            </w:tcMar>
          </w:tcPr>
          <w:p>
            <w:pPr>
              <w:spacing w:after="0"/>
            </w:pPr>
            <w:r/>
            <w:r>
              <w:rPr>
                <w:b w:val="0"/>
                <w:sz w:val="12"/>
              </w:rPr>
              <w:t>Authenticated FULL admission, manifest commitment, eviction policy</w:t>
            </w:r>
          </w:p>
        </w:tc>
        <w:tc>
          <w:tcPr>
            <w:tcW w:type="dxa" w:w="2160"/>
            <w:vAlign w:val="top"/>
            <w:tcMar>
              <w:top w:w="40" w:type="dxa"/>
              <w:left w:w="40" w:type="dxa"/>
              <w:bottom w:w="40" w:type="dxa"/>
              <w:right w:w="40" w:type="dxa"/>
            </w:tcMar>
          </w:tcPr>
          <w:p>
            <w:pPr>
              <w:spacing w:after="0"/>
            </w:pPr>
            <w:r/>
            <w:r>
              <w:rPr>
                <w:b w:val="0"/>
                <w:sz w:val="12"/>
              </w:rPr>
              <w:t>FULL chunk-id checks and bounded dictionary behavior</w:t>
            </w:r>
          </w:p>
        </w:tc>
        <w:tc>
          <w:tcPr>
            <w:tcW w:type="dxa" w:w="2016"/>
            <w:vAlign w:val="top"/>
            <w:tcMar>
              <w:top w:w="40" w:type="dxa"/>
              <w:left w:w="40" w:type="dxa"/>
              <w:bottom w:w="40" w:type="dxa"/>
              <w:right w:w="40" w:type="dxa"/>
            </w:tcMar>
          </w:tcPr>
          <w:p>
            <w:pPr>
              <w:spacing w:after="0"/>
            </w:pPr>
            <w:r/>
            <w:r>
              <w:rPr>
                <w:b w:val="0"/>
                <w:sz w:val="12"/>
              </w:rPr>
              <w:t>Budget overflow/recovery and fail-safe reconstruction tests</w:t>
            </w:r>
          </w:p>
        </w:tc>
        <w:tc>
          <w:tcPr>
            <w:tcW w:type="dxa" w:w="2016"/>
            <w:vAlign w:val="top"/>
            <w:tcMar>
              <w:top w:w="40" w:type="dxa"/>
              <w:left w:w="40" w:type="dxa"/>
              <w:bottom w:w="40" w:type="dxa"/>
              <w:right w:w="40" w:type="dxa"/>
            </w:tcMar>
          </w:tcPr>
          <w:p>
            <w:pPr>
              <w:spacing w:after="0"/>
            </w:pPr>
            <w:r/>
            <w:r>
              <w:rPr>
                <w:b w:val="0"/>
                <w:sz w:val="12"/>
              </w:rPr>
              <w:t>Signed-manifest policy and cross-tenant admission enforcement</w:t>
            </w:r>
          </w:p>
        </w:tc>
      </w:tr>
      <w:tr>
        <w:tc>
          <w:tcPr>
            <w:tcW w:type="dxa" w:w="1584"/>
            <w:vAlign w:val="top"/>
            <w:tcMar>
              <w:top w:w="40" w:type="dxa"/>
              <w:left w:w="40" w:type="dxa"/>
              <w:bottom w:w="40" w:type="dxa"/>
              <w:right w:w="40" w:type="dxa"/>
            </w:tcMar>
          </w:tcPr>
          <w:p>
            <w:pPr>
              <w:spacing w:after="0"/>
            </w:pPr>
            <w:r/>
            <w:r>
              <w:rPr>
                <w:b w:val="0"/>
                <w:sz w:val="12"/>
              </w:rPr>
              <w:t>Expansion and repair bounds</w:t>
            </w:r>
          </w:p>
        </w:tc>
        <w:tc>
          <w:tcPr>
            <w:tcW w:type="dxa" w:w="2016"/>
            <w:vAlign w:val="top"/>
            <w:tcMar>
              <w:top w:w="40" w:type="dxa"/>
              <w:left w:w="40" w:type="dxa"/>
              <w:bottom w:w="40" w:type="dxa"/>
              <w:right w:w="40" w:type="dxa"/>
            </w:tcMar>
          </w:tcPr>
          <w:p>
            <w:pPr>
              <w:spacing w:after="0"/>
            </w:pPr>
            <w:r/>
            <w:r>
              <w:rPr>
                <w:b w:val="0"/>
                <w:sz w:val="12"/>
              </w:rPr>
              <w:t>Per-frame length, per-stream caps, MISS then FULL repair</w:t>
            </w:r>
          </w:p>
        </w:tc>
        <w:tc>
          <w:tcPr>
            <w:tcW w:type="dxa" w:w="2160"/>
            <w:vAlign w:val="top"/>
            <w:tcMar>
              <w:top w:w="40" w:type="dxa"/>
              <w:left w:w="40" w:type="dxa"/>
              <w:bottom w:w="40" w:type="dxa"/>
              <w:right w:w="40" w:type="dxa"/>
            </w:tcMar>
          </w:tcPr>
          <w:p>
            <w:pPr>
              <w:spacing w:after="0"/>
            </w:pPr>
            <w:r/>
            <w:r>
              <w:rPr>
                <w:b w:val="0"/>
                <w:sz w:val="12"/>
              </w:rPr>
              <w:t>Length checks and semantic repair prototypes</w:t>
            </w:r>
          </w:p>
        </w:tc>
        <w:tc>
          <w:tcPr>
            <w:tcW w:type="dxa" w:w="2016"/>
            <w:vAlign w:val="top"/>
            <w:tcMar>
              <w:top w:w="40" w:type="dxa"/>
              <w:left w:w="40" w:type="dxa"/>
              <w:bottom w:w="40" w:type="dxa"/>
              <w:right w:w="40" w:type="dxa"/>
            </w:tcMar>
          </w:tcPr>
          <w:p>
            <w:pPr>
              <w:spacing w:after="0"/>
            </w:pPr>
            <w:r/>
            <w:r>
              <w:rPr>
                <w:b w:val="0"/>
                <w:sz w:val="12"/>
              </w:rPr>
              <w:t>MISS/FULL, UDP repair, authenticated-UDP negative probes</w:t>
            </w:r>
          </w:p>
        </w:tc>
        <w:tc>
          <w:tcPr>
            <w:tcW w:type="dxa" w:w="2016"/>
            <w:vAlign w:val="top"/>
            <w:tcMar>
              <w:top w:w="40" w:type="dxa"/>
              <w:left w:w="40" w:type="dxa"/>
              <w:bottom w:w="40" w:type="dxa"/>
              <w:right w:w="40" w:type="dxa"/>
            </w:tcMar>
          </w:tcPr>
          <w:p>
            <w:pPr>
              <w:spacing w:after="0"/>
            </w:pPr>
            <w:r/>
            <w:r>
              <w:rPr>
                <w:b w:val="0"/>
                <w:sz w:val="12"/>
              </w:rPr>
              <w:t>Full production flow-control integration</w:t>
            </w:r>
          </w:p>
        </w:tc>
      </w:tr>
      <w:tr>
        <w:tc>
          <w:tcPr>
            <w:tcW w:type="dxa" w:w="1584"/>
            <w:vAlign w:val="top"/>
            <w:tcMar>
              <w:top w:w="40" w:type="dxa"/>
              <w:left w:w="40" w:type="dxa"/>
              <w:bottom w:w="40" w:type="dxa"/>
              <w:right w:w="40" w:type="dxa"/>
            </w:tcMar>
          </w:tcPr>
          <w:p>
            <w:pPr>
              <w:spacing w:after="0"/>
            </w:pPr>
            <w:r/>
            <w:r>
              <w:rPr>
                <w:b w:val="0"/>
                <w:sz w:val="12"/>
              </w:rPr>
              <w:t>Privacy scope</w:t>
            </w:r>
          </w:p>
        </w:tc>
        <w:tc>
          <w:tcPr>
            <w:tcW w:type="dxa" w:w="2016"/>
            <w:vAlign w:val="top"/>
            <w:tcMar>
              <w:top w:w="40" w:type="dxa"/>
              <w:left w:w="40" w:type="dxa"/>
              <w:bottom w:w="40" w:type="dxa"/>
              <w:right w:w="40" w:type="dxa"/>
            </w:tcMar>
          </w:tcPr>
          <w:p>
            <w:pPr>
              <w:spacing w:after="0"/>
            </w:pPr>
            <w:r/>
            <w:r>
              <w:rPr>
                <w:b w:val="0"/>
                <w:sz w:val="12"/>
              </w:rPr>
              <w:t>Per-connection default; origin/tenant sharing only by explicit policy</w:t>
            </w:r>
          </w:p>
        </w:tc>
        <w:tc>
          <w:tcPr>
            <w:tcW w:type="dxa" w:w="2160"/>
            <w:vAlign w:val="top"/>
            <w:tcMar>
              <w:top w:w="40" w:type="dxa"/>
              <w:left w:w="40" w:type="dxa"/>
              <w:bottom w:w="40" w:type="dxa"/>
              <w:right w:w="40" w:type="dxa"/>
            </w:tcMar>
          </w:tcPr>
          <w:p>
            <w:pPr>
              <w:spacing w:after="0"/>
            </w:pPr>
            <w:r/>
            <w:r>
              <w:rPr>
                <w:b w:val="0"/>
                <w:sz w:val="12"/>
              </w:rPr>
              <w:t>Policy modeled and documented</w:t>
            </w:r>
          </w:p>
        </w:tc>
        <w:tc>
          <w:tcPr>
            <w:tcW w:type="dxa" w:w="2016"/>
            <w:vAlign w:val="top"/>
            <w:tcMar>
              <w:top w:w="40" w:type="dxa"/>
              <w:left w:w="40" w:type="dxa"/>
              <w:bottom w:w="40" w:type="dxa"/>
              <w:right w:w="40" w:type="dxa"/>
            </w:tcMar>
          </w:tcPr>
          <w:p>
            <w:pPr>
              <w:spacing w:after="0"/>
            </w:pPr>
            <w:r/>
            <w:r>
              <w:rPr>
                <w:b w:val="0"/>
                <w:sz w:val="12"/>
              </w:rPr>
              <w:t>Negative context-binding tests</w:t>
            </w:r>
          </w:p>
        </w:tc>
        <w:tc>
          <w:tcPr>
            <w:tcW w:type="dxa" w:w="2016"/>
            <w:vAlign w:val="top"/>
            <w:tcMar>
              <w:top w:w="40" w:type="dxa"/>
              <w:left w:w="40" w:type="dxa"/>
              <w:bottom w:w="40" w:type="dxa"/>
              <w:right w:w="40" w:type="dxa"/>
            </w:tcMar>
          </w:tcPr>
          <w:p>
            <w:pPr>
              <w:spacing w:after="0"/>
            </w:pPr>
            <w:r/>
            <w:r>
              <w:rPr>
                <w:b w:val="0"/>
                <w:sz w:val="12"/>
              </w:rPr>
              <w:t>Side-channel padding/timing mitigation and tenant isolation</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a session fails because the nonce window rejects both repeated nonces and nonces below its floor. One caveat is inherited from the artifact keying: nonces restart at one for each encoding, so replaying an entire recorded session to a fresh receiver holding the same fixed test key would verify - cross-session freshness comes from per-connection derived keys (Section 4.3), which the aioquic path implements and the standalone model does not. A REF whose length disagrees with the stored chunk is additionally caught by the explicit length binding even when identifiers collide. The expansion bound holds because the receiver delivers exactly length bytes from the identified dictionary entry.</w:t>
      </w:r>
    </w:p>
    <w:p>
      <w:pPr>
        <w:spacing w:after="80" w:before="0"/>
      </w:pPr>
      <w:r>
        <w:rPr>
          <w:sz w:val="20"/>
        </w:rPr>
        <w:t>The MAC input is a canonical JSON encoding of the labeled fields (sorted keys, fixed separators); an interoperating implementation must reproduce this byte-exact canonicalization or define its own. 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a further 3 to 11 percent (11.3 percent on the layer-like case, 6.8 percent on redis).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The fixtures of Section 7 and the object-aligned experiment use bytes the author selected; to obtain a positive case from fully independent data, Table 11 reports a version-pair study over real released packages.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the byte overlap is whatever the real releases happened to share; the package list and version pairs were still author-selected, so this is a version-pair study rather than a captured client trace, and no claim about upgrade-traffic frequency or population weighting is made.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Two review-driven checks close out the workload evaluation; Table 12 reports both. First, framing repricing: the offline model's 24/32-byte overheads understate the artifact's own compact binary wire format, which costs a measured 108 bytes of metadata per frame. Re-pricing every FULL and REF at the measured cost lowers the headline multipliers by 5 to 28 percent - redis falls from 9.70x to 7.90x, the layer-like case from 21.37x to 15.28x - without changing any qualitative conclusion; both figures are reported so readers can price a production varint encoding anywhere between them. Second, the strongest byte baseline we know of: zstd with the prior object stream as a raw-content dictionary (zstd -3 --patch-from [26]), the deployed-style analog of Compression Dictionary Transport. Its result is unambiguous and we state it plainly: whenever the receiver retains the exact prior byte stream and a codec delta is acceptable, dictionary delta dominates ReduLink on bytes by one to three orders of magnitude (65x to 1,785x on these corpora). ReduLink's justification is therefore never byte-optimality against a whole-stream codec delta; it is per-reference authentication, object-granular incremental delivery against a chunk dictionary rather than a contiguous retained stream, fail-closed repair, and stream compatibility. Deployments whose receivers can hold the exact prior stream and tolerate codec-level trust should prefer dictionary delta. This table is therefore a falsification-style baseline: it identifies the regime where ReduLink should not be used, and it narrows the claim to authenticated reference substitution rather than best possible compression. Section 12 revisits this boundary.</w:t>
      </w:r>
    </w:p>
    <w:p>
      <w:pPr>
        <w:spacing w:after="40" w:before="120"/>
      </w:pPr>
      <w:r>
        <w:rPr>
          <w:b/>
          <w:sz w:val="18"/>
        </w:rPr>
        <w:t>Table 12. Framing repricing (measured 108-byte wire framing vs 24/32-byte model) and the zstd dictionary-delta baseline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1.94x</w:t>
            </w:r>
          </w:p>
        </w:tc>
        <w:tc>
          <w:tcPr>
            <w:tcW w:type="dxa" w:w="1584"/>
            <w:vAlign w:val="top"/>
            <w:tcMar>
              <w:top w:w="40" w:type="dxa"/>
              <w:left w:w="40" w:type="dxa"/>
              <w:bottom w:w="40" w:type="dxa"/>
              <w:right w:w="40" w:type="dxa"/>
            </w:tcMar>
          </w:tcPr>
          <w:p>
            <w:pPr>
              <w:spacing w:after="0"/>
            </w:pPr>
            <w:r/>
            <w:r>
              <w:rPr>
                <w:b w:val="0"/>
                <w:sz w:val="14"/>
              </w:rPr>
              <w:t>1.84x</w:t>
            </w:r>
          </w:p>
        </w:tc>
        <w:tc>
          <w:tcPr>
            <w:tcW w:type="dxa" w:w="1728"/>
            <w:vAlign w:val="top"/>
            <w:tcMar>
              <w:top w:w="40" w:type="dxa"/>
              <w:left w:w="40" w:type="dxa"/>
              <w:bottom w:w="40" w:type="dxa"/>
              <w:right w:w="40" w:type="dxa"/>
            </w:tcMar>
          </w:tcPr>
          <w:p>
            <w:pPr>
              <w:spacing w:after="0"/>
            </w:pPr>
            <w:r/>
            <w:r>
              <w:rPr>
                <w:b w:val="0"/>
                <w:sz w:val="14"/>
              </w:rPr>
              <w:t>65.25x</w:t>
            </w:r>
          </w:p>
        </w:tc>
        <w:tc>
          <w:tcPr>
            <w:tcW w:type="dxa" w:w="1008"/>
            <w:vAlign w:val="top"/>
            <w:tcMar>
              <w:top w:w="40" w:type="dxa"/>
              <w:left w:w="40" w:type="dxa"/>
              <w:bottom w:w="40" w:type="dxa"/>
              <w:right w:w="40" w:type="dxa"/>
            </w:tcMar>
          </w:tcPr>
          <w:p>
            <w:pPr>
              <w:spacing w:after="0"/>
            </w:pPr>
            <w:r/>
            <w:r>
              <w:rPr>
                <w:b w:val="0"/>
                <w:sz w:val="14"/>
              </w:rPr>
              <w:t>2.86x</w:t>
            </w:r>
          </w:p>
        </w:tc>
      </w:tr>
      <w:t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9.70x</w:t>
            </w:r>
          </w:p>
        </w:tc>
        <w:tc>
          <w:tcPr>
            <w:tcW w:type="dxa" w:w="1584"/>
            <w:vAlign w:val="top"/>
            <w:tcMar>
              <w:top w:w="40" w:type="dxa"/>
              <w:left w:w="40" w:type="dxa"/>
              <w:bottom w:w="40" w:type="dxa"/>
              <w:right w:w="40" w:type="dxa"/>
            </w:tcMar>
          </w:tcPr>
          <w:p>
            <w:pPr>
              <w:spacing w:after="0"/>
            </w:pPr>
            <w:r/>
            <w:r>
              <w:rPr>
                <w:b w:val="0"/>
                <w:sz w:val="14"/>
              </w:rPr>
              <w:t>7.90x</w:t>
            </w:r>
          </w:p>
        </w:tc>
        <w:tc>
          <w:tcPr>
            <w:tcW w:type="dxa" w:w="1728"/>
            <w:vAlign w:val="top"/>
            <w:tcMar>
              <w:top w:w="40" w:type="dxa"/>
              <w:left w:w="40" w:type="dxa"/>
              <w:bottom w:w="40" w:type="dxa"/>
              <w:right w:w="40" w:type="dxa"/>
            </w:tcMar>
          </w:tcPr>
          <w:p>
            <w:pPr>
              <w:spacing w:after="0"/>
            </w:pPr>
            <w:r/>
            <w:r>
              <w:rPr>
                <w:b w:val="0"/>
                <w:sz w:val="14"/>
              </w:rPr>
              <w:t>1785.43x</w:t>
            </w:r>
          </w:p>
        </w:tc>
        <w:tc>
          <w:tcPr>
            <w:tcW w:type="dxa" w:w="1008"/>
            <w:vAlign w:val="top"/>
            <w:tcMar>
              <w:top w:w="40" w:type="dxa"/>
              <w:left w:w="40" w:type="dxa"/>
              <w:bottom w:w="40" w:type="dxa"/>
              <w:right w:w="40" w:type="dxa"/>
            </w:tcMar>
          </w:tcPr>
          <w:p>
            <w:pPr>
              <w:spacing w:after="0"/>
            </w:pPr>
            <w:r/>
            <w:r>
              <w:rPr>
                <w:b w:val="0"/>
                <w:sz w:val="14"/>
              </w:rPr>
              <w:t>4.61x</w:t>
            </w:r>
          </w:p>
        </w:tc>
      </w:tr>
      <w:t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4.38x</w:t>
            </w:r>
          </w:p>
        </w:tc>
        <w:tc>
          <w:tcPr>
            <w:tcW w:type="dxa" w:w="1584"/>
            <w:vAlign w:val="top"/>
            <w:tcMar>
              <w:top w:w="40" w:type="dxa"/>
              <w:left w:w="40" w:type="dxa"/>
              <w:bottom w:w="40" w:type="dxa"/>
              <w:right w:w="40" w:type="dxa"/>
            </w:tcMar>
          </w:tcPr>
          <w:p>
            <w:pPr>
              <w:spacing w:after="0"/>
            </w:pPr>
            <w:r/>
            <w:r>
              <w:rPr>
                <w:b w:val="0"/>
                <w:sz w:val="14"/>
              </w:rPr>
              <w:t>4.00x</w:t>
            </w:r>
          </w:p>
        </w:tc>
        <w:tc>
          <w:tcPr>
            <w:tcW w:type="dxa" w:w="1728"/>
            <w:vAlign w:val="top"/>
            <w:tcMar>
              <w:top w:w="40" w:type="dxa"/>
              <w:left w:w="40" w:type="dxa"/>
              <w:bottom w:w="40" w:type="dxa"/>
              <w:right w:w="40" w:type="dxa"/>
            </w:tcMar>
          </w:tcPr>
          <w:p>
            <w:pPr>
              <w:spacing w:after="0"/>
            </w:pPr>
            <w:r/>
            <w:r>
              <w:rPr>
                <w:b w:val="0"/>
                <w:sz w:val="14"/>
              </w:rPr>
              <w:t>951.72x</w:t>
            </w:r>
          </w:p>
        </w:tc>
        <w:tc>
          <w:tcPr>
            <w:tcW w:type="dxa" w:w="1008"/>
            <w:vAlign w:val="top"/>
            <w:tcMar>
              <w:top w:w="40" w:type="dxa"/>
              <w:left w:w="40" w:type="dxa"/>
              <w:bottom w:w="40" w:type="dxa"/>
              <w:right w:w="40" w:type="dxa"/>
            </w:tcMar>
          </w:tcPr>
          <w:p>
            <w:pPr>
              <w:spacing w:after="0"/>
            </w:pPr>
            <w:r/>
            <w:r>
              <w:rPr>
                <w:b w:val="0"/>
                <w:sz w:val="14"/>
              </w:rPr>
              <w:t>6.09x</w:t>
            </w:r>
          </w:p>
        </w:tc>
      </w:tr>
      <w:t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1659.14x</w:t>
            </w:r>
          </w:p>
        </w:tc>
        <w:tc>
          <w:tcPr>
            <w:tcW w:type="dxa" w:w="1008"/>
            <w:vAlign w:val="top"/>
            <w:tcMar>
              <w:top w:w="40" w:type="dxa"/>
              <w:left w:w="40" w:type="dxa"/>
              <w:bottom w:w="40" w:type="dxa"/>
              <w:right w:w="40" w:type="dxa"/>
            </w:tcMar>
          </w:tcPr>
          <w:p>
            <w:pPr>
              <w:spacing w:after="0"/>
            </w:pPr>
            <w:r/>
            <w:r>
              <w:rPr>
                <w:b w:val="0"/>
                <w:sz w:val="14"/>
              </w:rPr>
              <w:t>4.24x</w:t>
            </w:r>
          </w:p>
        </w:tc>
      </w:tr>
      <w:t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12.41x</w:t>
            </w:r>
          </w:p>
        </w:tc>
        <w:tc>
          <w:tcPr>
            <w:tcW w:type="dxa" w:w="1584"/>
            <w:vAlign w:val="top"/>
            <w:tcMar>
              <w:top w:w="40" w:type="dxa"/>
              <w:left w:w="40" w:type="dxa"/>
              <w:bottom w:w="40" w:type="dxa"/>
              <w:right w:w="40" w:type="dxa"/>
            </w:tcMar>
          </w:tcPr>
          <w:p>
            <w:pPr>
              <w:spacing w:after="0"/>
            </w:pPr>
            <w:r/>
            <w:r>
              <w:rPr>
                <w:b w:val="0"/>
                <w:sz w:val="14"/>
              </w:rPr>
              <w:t>9.72x</w:t>
            </w:r>
          </w:p>
        </w:tc>
        <w:tc>
          <w:tcPr>
            <w:tcW w:type="dxa" w:w="1728"/>
            <w:vAlign w:val="top"/>
            <w:tcMar>
              <w:top w:w="40" w:type="dxa"/>
              <w:left w:w="40" w:type="dxa"/>
              <w:bottom w:w="40" w:type="dxa"/>
              <w:right w:w="40" w:type="dxa"/>
            </w:tcMar>
          </w:tcPr>
          <w:p>
            <w:pPr>
              <w:spacing w:after="0"/>
            </w:pPr>
            <w:r/>
            <w:r>
              <w:rPr>
                <w:b w:val="0"/>
                <w:sz w:val="14"/>
              </w:rPr>
              <w:t>603.15x</w:t>
            </w:r>
          </w:p>
        </w:tc>
        <w:tc>
          <w:tcPr>
            <w:tcW w:type="dxa" w:w="1008"/>
            <w:vAlign w:val="top"/>
            <w:tcMar>
              <w:top w:w="40" w:type="dxa"/>
              <w:left w:w="40" w:type="dxa"/>
              <w:bottom w:w="40" w:type="dxa"/>
              <w:right w:w="40" w:type="dxa"/>
            </w:tcMar>
          </w:tcPr>
          <w:p>
            <w:pPr>
              <w:spacing w:after="0"/>
            </w:pPr>
            <w:r/>
            <w:r>
              <w:rPr>
                <w:b w:val="0"/>
                <w:sz w:val="14"/>
              </w:rPr>
              <w:t>4.43x</w:t>
            </w:r>
          </w:p>
        </w:tc>
      </w:tr>
      <w:t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1.10x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156.44x</w:t>
            </w:r>
          </w:p>
        </w:tc>
        <w:tc>
          <w:tcPr>
            <w:tcW w:type="dxa" w:w="1008"/>
            <w:vAlign w:val="top"/>
            <w:tcMar>
              <w:top w:w="40" w:type="dxa"/>
              <w:left w:w="40" w:type="dxa"/>
              <w:bottom w:w="40" w:type="dxa"/>
              <w:right w:w="40" w:type="dxa"/>
            </w:tcMar>
          </w:tcPr>
          <w:p>
            <w:pPr>
              <w:spacing w:after="0"/>
            </w:pPr>
            <w:r/>
            <w:r>
              <w:rPr>
                <w:b w:val="0"/>
                <w:sz w:val="14"/>
              </w:rPr>
              <w:t>4.03x</w:t>
            </w:r>
          </w:p>
        </w:tc>
      </w:tr>
      <w:t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11.17x</w:t>
            </w:r>
          </w:p>
        </w:tc>
        <w:tc>
          <w:tcPr>
            <w:tcW w:type="dxa" w:w="1584"/>
            <w:vAlign w:val="top"/>
            <w:tcMar>
              <w:top w:w="40" w:type="dxa"/>
              <w:left w:w="40" w:type="dxa"/>
              <w:bottom w:w="40" w:type="dxa"/>
              <w:right w:w="40" w:type="dxa"/>
            </w:tcMar>
          </w:tcPr>
          <w:p>
            <w:pPr>
              <w:spacing w:after="0"/>
            </w:pPr>
            <w:r/>
            <w:r>
              <w:rPr>
                <w:b w:val="0"/>
                <w:sz w:val="14"/>
              </w:rPr>
              <w:t>9.08x</w:t>
            </w:r>
          </w:p>
        </w:tc>
        <w:tc>
          <w:tcPr>
            <w:tcW w:type="dxa" w:w="1728"/>
            <w:vAlign w:val="top"/>
            <w:tcMar>
              <w:top w:w="40" w:type="dxa"/>
              <w:left w:w="40" w:type="dxa"/>
              <w:bottom w:w="40" w:type="dxa"/>
              <w:right w:w="40" w:type="dxa"/>
            </w:tcMar>
          </w:tcPr>
          <w:p>
            <w:pPr>
              <w:spacing w:after="0"/>
            </w:pPr>
            <w:r/>
            <w:r>
              <w:rPr>
                <w:b w:val="0"/>
                <w:sz w:val="14"/>
              </w:rPr>
              <w:t>639.80x</w:t>
            </w:r>
          </w:p>
        </w:tc>
        <w:tc>
          <w:tcPr>
            <w:tcW w:type="dxa" w:w="1008"/>
            <w:vAlign w:val="top"/>
            <w:tcMar>
              <w:top w:w="40" w:type="dxa"/>
              <w:left w:w="40" w:type="dxa"/>
              <w:bottom w:w="40" w:type="dxa"/>
              <w:right w:w="40" w:type="dxa"/>
            </w:tcMar>
          </w:tcPr>
          <w:p>
            <w:pPr>
              <w:spacing w:after="0"/>
            </w:pPr>
            <w:r/>
            <w:r>
              <w:rPr>
                <w:b w:val="0"/>
                <w:sz w:val="14"/>
              </w:rPr>
              <w:t>3.98x</w:t>
            </w:r>
          </w:p>
        </w:tc>
      </w:tr>
      <w:t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3.06x</w:t>
            </w:r>
          </w:p>
        </w:tc>
        <w:tc>
          <w:tcPr>
            <w:tcW w:type="dxa" w:w="1584"/>
            <w:vAlign w:val="top"/>
            <w:tcMar>
              <w:top w:w="40" w:type="dxa"/>
              <w:left w:w="40" w:type="dxa"/>
              <w:bottom w:w="40" w:type="dxa"/>
              <w:right w:w="40" w:type="dxa"/>
            </w:tcMar>
          </w:tcPr>
          <w:p>
            <w:pPr>
              <w:spacing w:after="0"/>
            </w:pPr>
            <w:r/>
            <w:r>
              <w:rPr>
                <w:b w:val="0"/>
                <w:sz w:val="14"/>
              </w:rPr>
              <w:t>2.86x</w:t>
            </w:r>
          </w:p>
        </w:tc>
        <w:tc>
          <w:tcPr>
            <w:tcW w:type="dxa" w:w="1728"/>
            <w:vAlign w:val="top"/>
            <w:tcMar>
              <w:top w:w="40" w:type="dxa"/>
              <w:left w:w="40" w:type="dxa"/>
              <w:bottom w:w="40" w:type="dxa"/>
              <w:right w:w="40" w:type="dxa"/>
            </w:tcMar>
          </w:tcPr>
          <w:p>
            <w:pPr>
              <w:spacing w:after="0"/>
            </w:pPr>
            <w:r/>
            <w:r>
              <w:rPr>
                <w:b w:val="0"/>
                <w:sz w:val="14"/>
              </w:rPr>
              <w:t>387.09x</w:t>
            </w:r>
          </w:p>
        </w:tc>
        <w:tc>
          <w:tcPr>
            <w:tcW w:type="dxa" w:w="1008"/>
            <w:vAlign w:val="top"/>
            <w:tcMar>
              <w:top w:w="40" w:type="dxa"/>
              <w:left w:w="40" w:type="dxa"/>
              <w:bottom w:w="40" w:type="dxa"/>
              <w:right w:w="40" w:type="dxa"/>
            </w:tcMar>
          </w:tcPr>
          <w:p>
            <w:pPr>
              <w:spacing w:after="0"/>
            </w:pPr>
            <w:r/>
            <w:r>
              <w:rPr>
                <w:b w:val="0"/>
                <w:sz w:val="14"/>
              </w:rPr>
              <w:t>3.97x</w:t>
            </w:r>
          </w:p>
        </w:tc>
      </w:tr>
      <w:t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1.87x</w:t>
            </w:r>
          </w:p>
        </w:tc>
        <w:tc>
          <w:tcPr>
            <w:tcW w:type="dxa" w:w="1584"/>
            <w:vAlign w:val="top"/>
            <w:tcMar>
              <w:top w:w="40" w:type="dxa"/>
              <w:left w:w="40" w:type="dxa"/>
              <w:bottom w:w="40" w:type="dxa"/>
              <w:right w:w="40" w:type="dxa"/>
            </w:tcMar>
          </w:tcPr>
          <w:p>
            <w:pPr>
              <w:spacing w:after="0"/>
            </w:pPr>
            <w:r/>
            <w:r>
              <w:rPr>
                <w:b w:val="0"/>
                <w:sz w:val="14"/>
              </w:rPr>
              <w:t>1.79x</w:t>
            </w:r>
          </w:p>
        </w:tc>
        <w:tc>
          <w:tcPr>
            <w:tcW w:type="dxa" w:w="1728"/>
            <w:vAlign w:val="top"/>
            <w:tcMar>
              <w:top w:w="40" w:type="dxa"/>
              <w:left w:w="40" w:type="dxa"/>
              <w:bottom w:w="40" w:type="dxa"/>
              <w:right w:w="40" w:type="dxa"/>
            </w:tcMar>
          </w:tcPr>
          <w:p>
            <w:pPr>
              <w:spacing w:after="0"/>
            </w:pPr>
            <w:r/>
            <w:r>
              <w:rPr>
                <w:b w:val="0"/>
                <w:sz w:val="14"/>
              </w:rPr>
              <w:t>29.49x</w:t>
            </w:r>
          </w:p>
        </w:tc>
        <w:tc>
          <w:tcPr>
            <w:tcW w:type="dxa" w:w="1008"/>
            <w:vAlign w:val="top"/>
            <w:tcMar>
              <w:top w:w="40" w:type="dxa"/>
              <w:left w:w="40" w:type="dxa"/>
              <w:bottom w:w="40" w:type="dxa"/>
              <w:right w:w="40" w:type="dxa"/>
            </w:tcMar>
          </w:tcPr>
          <w:p>
            <w:pPr>
              <w:spacing w:after="0"/>
            </w:pPr>
            <w:r/>
            <w:r>
              <w:rPr>
                <w:b w:val="0"/>
                <w:sz w:val="14"/>
              </w:rPr>
              <w:t>3.81x</w:t>
            </w:r>
          </w:p>
        </w:tc>
      </w:tr>
      <w:t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1.54x</w:t>
            </w:r>
          </w:p>
        </w:tc>
        <w:tc>
          <w:tcPr>
            <w:tcW w:type="dxa" w:w="1584"/>
            <w:vAlign w:val="top"/>
            <w:tcMar>
              <w:top w:w="40" w:type="dxa"/>
              <w:left w:w="40" w:type="dxa"/>
              <w:bottom w:w="40" w:type="dxa"/>
              <w:right w:w="40" w:type="dxa"/>
            </w:tcMar>
          </w:tcPr>
          <w:p>
            <w:pPr>
              <w:spacing w:after="0"/>
            </w:pPr>
            <w:r/>
            <w:r>
              <w:rPr>
                <w:b w:val="0"/>
                <w:sz w:val="14"/>
              </w:rPr>
              <w:t>1.48x</w:t>
            </w:r>
          </w:p>
        </w:tc>
        <w:tc>
          <w:tcPr>
            <w:tcW w:type="dxa" w:w="1728"/>
            <w:vAlign w:val="top"/>
            <w:tcMar>
              <w:top w:w="40" w:type="dxa"/>
              <w:left w:w="40" w:type="dxa"/>
              <w:bottom w:w="40" w:type="dxa"/>
              <w:right w:w="40" w:type="dxa"/>
            </w:tcMar>
          </w:tcPr>
          <w:p>
            <w:pPr>
              <w:spacing w:after="0"/>
            </w:pPr>
            <w:r/>
            <w:r>
              <w:rPr>
                <w:b w:val="0"/>
                <w:sz w:val="14"/>
              </w:rPr>
              <w:t>82.47x</w:t>
            </w:r>
          </w:p>
        </w:tc>
        <w:tc>
          <w:tcPr>
            <w:tcW w:type="dxa" w:w="1008"/>
            <w:vAlign w:val="top"/>
            <w:tcMar>
              <w:top w:w="40" w:type="dxa"/>
              <w:left w:w="40" w:type="dxa"/>
              <w:bottom w:w="40" w:type="dxa"/>
              <w:right w:w="40" w:type="dxa"/>
            </w:tcMar>
          </w:tcPr>
          <w:p>
            <w:pPr>
              <w:spacing w:after="0"/>
            </w:pPr>
            <w:r/>
            <w:r>
              <w:rPr>
                <w:b w:val="0"/>
                <w:sz w:val="14"/>
              </w:rPr>
              <w:t>3.79x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 One apparent inconsistency deserves explicit reconciliation: the Redis-layered corpus reaches 21.37x in the offline model (Table 9) but 3.83x over the QUIC mapping (Table 13). The gap decomposes into three deliberate differences: the QUIC experiment chunks at 1 KiB rather than 4 KiB (four times as many frames), each frame pays the measured 108-byte wire framing rather than the 32-byte model charge (Section 7.6), and the server dictionary is deliberately punctured (every seventh chunk withheld), forcing 72 semantic misses whose FULL repairs carry payload. No offline multiplier in Tables 6 to 12 has been achieved over the wire; the QUIC tables are the end-to-end evidence, and the offline tables isolate the representation layer.</w:t>
      </w:r>
    </w:p>
    <w:p>
      <w:pPr>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20 repeated trials of the native demo workload. The ReduLink stream multiplier is near-deterministic for fixed bytes (encoded bytes vary by at most one byte across rounds from control-message framing), while elapsed times still vary across localhost runs; reporting both avoids cherry-picking a single favorable QUIC run. The repeated-trial timing should be read together with the bootstrap confidence intervals in Table 22: the byte savings are stable, while completion time is near parity rather than a guaranteed speedup. Table 16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in this single-run comparison, roughly halves completion time (592 versus 1,305 ms). Dictionary sizing relative to the warm working set is therefore a hard provisioning requirement, not a tuning nicety.</w:t>
      </w:r>
    </w:p>
    <w:p>
      <w:pPr>
        <w:spacing w:after="40" w:before="120"/>
      </w:pPr>
      <w:r>
        <w:rPr>
          <w:b/>
          <w:sz w:val="18"/>
        </w:rPr>
        <w:t>Table 15. Repeated native QUIC trials (n = 20):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101.776500</w:t>
            </w:r>
          </w:p>
        </w:tc>
        <w:tc>
          <w:tcPr>
            <w:tcW w:type="dxa" w:w="1440"/>
            <w:vAlign w:val="top"/>
            <w:tcMar>
              <w:top w:w="40" w:type="dxa"/>
              <w:left w:w="40" w:type="dxa"/>
              <w:bottom w:w="40" w:type="dxa"/>
              <w:right w:w="40" w:type="dxa"/>
            </w:tcMar>
          </w:tcPr>
          <w:p>
            <w:pPr>
              <w:spacing w:after="0"/>
            </w:pPr>
            <w:r/>
            <w:r>
              <w:rPr>
                <w:b w:val="0"/>
                <w:sz w:val="14"/>
              </w:rPr>
              <w:t>2.542158</w:t>
            </w:r>
          </w:p>
        </w:tc>
        <w:tc>
          <w:tcPr>
            <w:tcW w:type="dxa" w:w="1440"/>
            <w:vAlign w:val="top"/>
            <w:tcMar>
              <w:top w:w="40" w:type="dxa"/>
              <w:left w:w="40" w:type="dxa"/>
              <w:bottom w:w="40" w:type="dxa"/>
              <w:right w:w="40" w:type="dxa"/>
            </w:tcMar>
          </w:tcPr>
          <w:p>
            <w:pPr>
              <w:spacing w:after="0"/>
            </w:pPr>
            <w:r/>
            <w:r>
              <w:rPr>
                <w:b w:val="0"/>
                <w:sz w:val="14"/>
              </w:rPr>
              <w:t>98.555000</w:t>
            </w:r>
          </w:p>
        </w:tc>
        <w:tc>
          <w:tcPr>
            <w:tcW w:type="dxa" w:w="1440"/>
            <w:vAlign w:val="top"/>
            <w:tcMar>
              <w:top w:w="40" w:type="dxa"/>
              <w:left w:w="40" w:type="dxa"/>
              <w:bottom w:w="40" w:type="dxa"/>
              <w:right w:w="40" w:type="dxa"/>
            </w:tcMar>
          </w:tcPr>
          <w:p>
            <w:pPr>
              <w:spacing w:after="0"/>
            </w:pPr>
            <w:r/>
            <w:r>
              <w:rPr>
                <w:b w:val="0"/>
                <w:sz w:val="14"/>
              </w:rPr>
              <w:t>107.705000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3.190036</w:t>
            </w:r>
          </w:p>
        </w:tc>
        <w:tc>
          <w:tcPr>
            <w:tcW w:type="dxa" w:w="1440"/>
            <w:vAlign w:val="top"/>
            <w:tcMar>
              <w:top w:w="40" w:type="dxa"/>
              <w:left w:w="40" w:type="dxa"/>
              <w:bottom w:w="40" w:type="dxa"/>
              <w:right w:w="40" w:type="dxa"/>
            </w:tcMar>
          </w:tcPr>
          <w:p>
            <w:pPr>
              <w:spacing w:after="0"/>
            </w:pPr>
            <w:r/>
            <w:r>
              <w:rPr>
                <w:b w:val="0"/>
                <w:sz w:val="14"/>
              </w:rPr>
              <w:t>0.000023</w:t>
            </w:r>
          </w:p>
        </w:tc>
        <w:tc>
          <w:tcPr>
            <w:tcW w:type="dxa" w:w="1440"/>
            <w:vAlign w:val="top"/>
            <w:tcMar>
              <w:top w:w="40" w:type="dxa"/>
              <w:left w:w="40" w:type="dxa"/>
              <w:bottom w:w="40" w:type="dxa"/>
              <w:right w:w="40" w:type="dxa"/>
            </w:tcMar>
          </w:tcPr>
          <w:p>
            <w:pPr>
              <w:spacing w:after="0"/>
            </w:pPr>
            <w:r/>
            <w:r>
              <w:rPr>
                <w:b w:val="0"/>
                <w:sz w:val="14"/>
              </w:rPr>
              <w:t>3.190031</w:t>
            </w:r>
          </w:p>
        </w:tc>
        <w:tc>
          <w:tcPr>
            <w:tcW w:type="dxa" w:w="1440"/>
            <w:vAlign w:val="top"/>
            <w:tcMar>
              <w:top w:w="40" w:type="dxa"/>
              <w:left w:w="40" w:type="dxa"/>
              <w:bottom w:w="40" w:type="dxa"/>
              <w:right w:w="40" w:type="dxa"/>
            </w:tcMar>
          </w:tcPr>
          <w:p>
            <w:pPr>
              <w:spacing w:after="0"/>
            </w:pPr>
            <w:r/>
            <w:r>
              <w:rPr>
                <w:b w:val="0"/>
                <w:sz w:val="14"/>
              </w:rPr>
              <w:t>3.190135</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2.605427</w:t>
            </w:r>
          </w:p>
        </w:tc>
        <w:tc>
          <w:tcPr>
            <w:tcW w:type="dxa" w:w="1440"/>
            <w:vAlign w:val="top"/>
            <w:tcMar>
              <w:top w:w="40" w:type="dxa"/>
              <w:left w:w="40" w:type="dxa"/>
              <w:bottom w:w="40" w:type="dxa"/>
              <w:right w:w="40" w:type="dxa"/>
            </w:tcMar>
          </w:tcPr>
          <w:p>
            <w:pPr>
              <w:spacing w:after="0"/>
            </w:pPr>
            <w:r/>
            <w:r>
              <w:rPr>
                <w:b w:val="0"/>
                <w:sz w:val="14"/>
              </w:rPr>
              <w:t>0.003688</w:t>
            </w:r>
          </w:p>
        </w:tc>
        <w:tc>
          <w:tcPr>
            <w:tcW w:type="dxa" w:w="1440"/>
            <w:vAlign w:val="top"/>
            <w:tcMar>
              <w:top w:w="40" w:type="dxa"/>
              <w:left w:w="40" w:type="dxa"/>
              <w:bottom w:w="40" w:type="dxa"/>
              <w:right w:w="40" w:type="dxa"/>
            </w:tcMar>
          </w:tcPr>
          <w:p>
            <w:pPr>
              <w:spacing w:after="0"/>
            </w:pPr>
            <w:r/>
            <w:r>
              <w:rPr>
                <w:b w:val="0"/>
                <w:sz w:val="14"/>
              </w:rPr>
              <w:t>2.596856</w:t>
            </w:r>
          </w:p>
        </w:tc>
        <w:tc>
          <w:tcPr>
            <w:tcW w:type="dxa" w:w="1440"/>
            <w:vAlign w:val="top"/>
            <w:tcMar>
              <w:top w:w="40" w:type="dxa"/>
              <w:left w:w="40" w:type="dxa"/>
              <w:bottom w:w="40" w:type="dxa"/>
              <w:right w:w="40" w:type="dxa"/>
            </w:tcMar>
          </w:tcPr>
          <w:p>
            <w:pPr>
              <w:spacing w:after="0"/>
            </w:pPr>
            <w:r/>
            <w:r>
              <w:rPr>
                <w:b w:val="0"/>
                <w:sz w:val="14"/>
              </w:rPr>
              <w:t>2.608571</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99.743800</w:t>
            </w:r>
          </w:p>
        </w:tc>
        <w:tc>
          <w:tcPr>
            <w:tcW w:type="dxa" w:w="1440"/>
            <w:vAlign w:val="top"/>
            <w:tcMar>
              <w:top w:w="40" w:type="dxa"/>
              <w:left w:w="40" w:type="dxa"/>
              <w:bottom w:w="40" w:type="dxa"/>
              <w:right w:w="40" w:type="dxa"/>
            </w:tcMar>
          </w:tcPr>
          <w:p>
            <w:pPr>
              <w:spacing w:after="0"/>
            </w:pPr>
            <w:r/>
            <w:r>
              <w:rPr>
                <w:b w:val="0"/>
                <w:sz w:val="14"/>
              </w:rPr>
              <w:t>0.972249</w:t>
            </w:r>
          </w:p>
        </w:tc>
        <w:tc>
          <w:tcPr>
            <w:tcW w:type="dxa" w:w="1440"/>
            <w:vAlign w:val="top"/>
            <w:tcMar>
              <w:top w:w="40" w:type="dxa"/>
              <w:left w:w="40" w:type="dxa"/>
              <w:bottom w:w="40" w:type="dxa"/>
              <w:right w:w="40" w:type="dxa"/>
            </w:tcMar>
          </w:tcPr>
          <w:p>
            <w:pPr>
              <w:spacing w:after="0"/>
            </w:pPr>
            <w:r/>
            <w:r>
              <w:rPr>
                <w:b w:val="0"/>
                <w:sz w:val="14"/>
              </w:rPr>
              <w:t>98.298000</w:t>
            </w:r>
          </w:p>
        </w:tc>
        <w:tc>
          <w:tcPr>
            <w:tcW w:type="dxa" w:w="1440"/>
            <w:vAlign w:val="top"/>
            <w:tcMar>
              <w:top w:w="40" w:type="dxa"/>
              <w:left w:w="40" w:type="dxa"/>
              <w:bottom w:w="40" w:type="dxa"/>
              <w:right w:w="40" w:type="dxa"/>
            </w:tcMar>
          </w:tcPr>
          <w:p>
            <w:pPr>
              <w:spacing w:after="0"/>
            </w:pPr>
            <w:r/>
            <w:r>
              <w:rPr>
                <w:b w:val="0"/>
                <w:sz w:val="14"/>
              </w:rPr>
              <w:t>101.618000</w:t>
            </w:r>
          </w:p>
        </w:tc>
      </w:tr>
    </w:tbl>
    <w:p/>
    <w:p>
      <w:pPr>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3.4</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502.9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Scope note: Section 10 provides artifact-level emulation evidence, not transport-fairness proof. The userspace shaper and localhost competing-flow tests show that ReduLink is accounted on encoded bytes and that completion time depends on rate, RTT, and repair behavior. They do not prove WAN performance, production congestion-control fairness, Mininet behavior, kernel tc/netem results, or Internet-path deployment behavior.</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a measured concurrent competing-flow experiment in which a raw QUIC flow and a ReduLink flow (both using aioquic's default NewReno congestion controller, so fairness is between identical stacks) run simultaneously over a shared localhost schedule with periodic datagram loss, repeated over 20 rounds. Across the measured rounds the reconstructed-rate Jain index [25] is 0.975 and the encoded-rate index is 0.800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20 adds measured rate and delay emulation, Table 21 varies the semantic miss rate on one constrained point, and Table 22 reports bootstrap confidence intervals for the repeated QUIC measurements. Table 23 is an analytic illustration rather than a measurement: it applies a closed-form fluid model - fair-share serialization of the measured encoded bytes plus one RTT of completion latency -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20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19. Measured concurrent competing-flow experiment (Jain fairness index, 20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20 concurrent rounds, unshaped localhost (no rate limit),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0.800</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0.975</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20 adds rate and delay to the same harness as a measured emulation: both flows run concurrently through a full-duplex shared bottleneck (one token bucket per direction plus one-way propagation delay), sweeping 5 and 20 Mbps against 20 and 80 ms RTT with 20 rounds per point. This corrects a methodological error we reported in an earlier version. Our first shaper used a single half-duplex bucket, which forced ReduLink's reverse MISS/repair traffic to serialize behind the raw flow's forward bulk data and produced a spurious always-slower finding. With a correct full-duplex link and a larger 20-round sample, byte-stable demo content is near parity at the most constrained point, faster at two grid points, and near parity again once the link is less congested and RTT-bound. We report this openly because it is the point: emulation topology, not just byte counts, determines completion time.</w:t>
      </w:r>
    </w:p>
    <w:p>
      <w:pPr>
        <w:spacing w:after="80" w:before="0"/>
      </w:pPr>
      <w:r>
        <w:rPr>
          <w:sz w:val="20"/>
        </w:rPr>
        <w:t>The completion-time benefit is conditional on the miss rate, which Table 20 also shows by pushing real Redis-layered public bytes through the same path instead of the byte-stable demo. That workload punctures the dictionary heavily (72 semantic misses), so ReduLink's payload-bearing repairs and their reverse round trips can erode the byte savings. In the refreshed 20-round grid, Redis-layered ReduLink is slightly faster at 5 Mbps/20 ms and 20 Mbps/80 ms, but slower at 5 Mbps/80 ms and 20 Mbps/20 ms. Reconstruction is byte-exact in every round. The honest synthesis is therefore neither the promotional fewer-bytes-so-faster nor our earlier artifactual always-slower: on a fair full-duplex link, ReduLink's byte savings can shorten completion time when repair traffic and scheduling align, and can be offset by MISS and repair round trips when the warm dictionary is heavily punctured. Fairness itself is unaffected: both flows use identical NewReno stacks, so ReduLink can never gain congestion credit for reconstructed bytes.</w:t>
      </w:r>
    </w:p>
    <w:p>
      <w:pPr>
        <w:spacing w:after="40" w:before="120"/>
      </w:pPr>
      <w:r>
        <w:rPr>
          <w:b/>
          <w:sz w:val="18"/>
        </w:rPr>
        <w:t>Table 20. Measured full-duplex shared-bottleneck path emulation: mean completion time (ms, +/- s.d.) for competing raw and ReduLink flows on byte-stable demo bytes and real Redis-layered bytes (20 rounds per scenario).</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008"/>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971.2±242.4</w:t>
            </w:r>
          </w:p>
        </w:tc>
        <w:tc>
          <w:tcPr>
            <w:tcW w:type="dxa" w:w="1584"/>
            <w:vAlign w:val="top"/>
            <w:tcMar>
              <w:top w:w="40" w:type="dxa"/>
              <w:left w:w="40" w:type="dxa"/>
              <w:bottom w:w="40" w:type="dxa"/>
              <w:right w:w="40" w:type="dxa"/>
            </w:tcMar>
          </w:tcPr>
          <w:p>
            <w:pPr>
              <w:spacing w:after="0"/>
            </w:pPr>
            <w:r/>
            <w:r>
              <w:rPr>
                <w:b w:val="0"/>
                <w:sz w:val="14"/>
              </w:rPr>
              <w:t>949.1±73.2</w:t>
            </w:r>
          </w:p>
        </w:tc>
        <w:tc>
          <w:tcPr>
            <w:tcW w:type="dxa" w:w="1008"/>
            <w:vAlign w:val="top"/>
            <w:tcMar>
              <w:top w:w="40" w:type="dxa"/>
              <w:left w:w="40" w:type="dxa"/>
              <w:bottom w:w="40" w:type="dxa"/>
              <w:right w:w="40" w:type="dxa"/>
            </w:tcMar>
          </w:tcPr>
          <w:p>
            <w:pPr>
              <w:spacing w:after="0"/>
            </w:pPr>
            <w:r/>
            <w:r>
              <w:rPr>
                <w:b w:val="0"/>
                <w:sz w:val="14"/>
              </w:rPr>
              <w:t>0.98x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1213.8±53.1</w:t>
            </w:r>
          </w:p>
        </w:tc>
        <w:tc>
          <w:tcPr>
            <w:tcW w:type="dxa" w:w="1584"/>
            <w:vAlign w:val="top"/>
            <w:tcMar>
              <w:top w:w="40" w:type="dxa"/>
              <w:left w:w="40" w:type="dxa"/>
              <w:bottom w:w="40" w:type="dxa"/>
              <w:right w:w="40" w:type="dxa"/>
            </w:tcMar>
          </w:tcPr>
          <w:p>
            <w:pPr>
              <w:spacing w:after="0"/>
            </w:pPr>
            <w:r/>
            <w:r>
              <w:rPr>
                <w:b w:val="0"/>
                <w:sz w:val="14"/>
              </w:rPr>
              <w:t>1062.4±28.6</w:t>
            </w:r>
          </w:p>
        </w:tc>
        <w:tc>
          <w:tcPr>
            <w:tcW w:type="dxa" w:w="1008"/>
            <w:vAlign w:val="top"/>
            <w:tcMar>
              <w:top w:w="40" w:type="dxa"/>
              <w:left w:w="40" w:type="dxa"/>
              <w:bottom w:w="40" w:type="dxa"/>
              <w:right w:w="40" w:type="dxa"/>
            </w:tcMar>
          </w:tcPr>
          <w:p>
            <w:pPr>
              <w:spacing w:after="0"/>
            </w:pPr>
            <w:r/>
            <w:r>
              <w:rPr>
                <w:b w:val="0"/>
                <w:sz w:val="14"/>
              </w:rPr>
              <w:t>0.88x</w:t>
            </w:r>
          </w:p>
        </w:tc>
        <w:tc>
          <w:tcPr>
            <w:tcW w:type="dxa" w:w="1152"/>
            <w:vAlign w:val="top"/>
            <w:tcMar>
              <w:top w:w="40" w:type="dxa"/>
              <w:left w:w="40" w:type="dxa"/>
              <w:bottom w:w="40" w:type="dxa"/>
              <w:right w:w="40" w:type="dxa"/>
            </w:tcMar>
          </w:tcPr>
          <w:p>
            <w:pPr>
              <w:spacing w:after="0"/>
            </w:pPr>
            <w:r/>
            <w:r>
              <w:rPr>
                <w:b w:val="0"/>
                <w:sz w:val="14"/>
              </w:rPr>
              <w:t>0.817</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367.4±22.0</w:t>
            </w:r>
          </w:p>
        </w:tc>
        <w:tc>
          <w:tcPr>
            <w:tcW w:type="dxa" w:w="1584"/>
            <w:vAlign w:val="top"/>
            <w:tcMar>
              <w:top w:w="40" w:type="dxa"/>
              <w:left w:w="40" w:type="dxa"/>
              <w:bottom w:w="40" w:type="dxa"/>
              <w:right w:w="40" w:type="dxa"/>
            </w:tcMar>
          </w:tcPr>
          <w:p>
            <w:pPr>
              <w:spacing w:after="0"/>
            </w:pPr>
            <w:r/>
            <w:r>
              <w:rPr>
                <w:b w:val="0"/>
                <w:sz w:val="14"/>
              </w:rPr>
              <w:t>327.1±21.5</w:t>
            </w:r>
          </w:p>
        </w:tc>
        <w:tc>
          <w:tcPr>
            <w:tcW w:type="dxa" w:w="1008"/>
            <w:vAlign w:val="top"/>
            <w:tcMar>
              <w:top w:w="40" w:type="dxa"/>
              <w:left w:w="40" w:type="dxa"/>
              <w:bottom w:w="40" w:type="dxa"/>
              <w:right w:w="40" w:type="dxa"/>
            </w:tcMar>
          </w:tcPr>
          <w:p>
            <w:pPr>
              <w:spacing w:after="0"/>
            </w:pPr>
            <w:r/>
            <w:r>
              <w:rPr>
                <w:b w:val="0"/>
                <w:sz w:val="14"/>
              </w:rPr>
              <w:t>0.89x</w:t>
            </w:r>
          </w:p>
        </w:tc>
        <w:tc>
          <w:tcPr>
            <w:tcW w:type="dxa" w:w="1152"/>
            <w:vAlign w:val="top"/>
            <w:tcMar>
              <w:top w:w="40" w:type="dxa"/>
              <w:left w:w="40" w:type="dxa"/>
              <w:bottom w:w="40" w:type="dxa"/>
              <w:right w:w="40" w:type="dxa"/>
            </w:tcMar>
          </w:tcPr>
          <w:p>
            <w:pPr>
              <w:spacing w:after="0"/>
            </w:pPr>
            <w:r/>
            <w:r>
              <w:rPr>
                <w:b w:val="0"/>
                <w:sz w:val="14"/>
              </w:rPr>
              <w:t>0.813</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778.3±10.8</w:t>
            </w:r>
          </w:p>
        </w:tc>
        <w:tc>
          <w:tcPr>
            <w:tcW w:type="dxa" w:w="1584"/>
            <w:vAlign w:val="top"/>
            <w:tcMar>
              <w:top w:w="40" w:type="dxa"/>
              <w:left w:w="40" w:type="dxa"/>
              <w:bottom w:w="40" w:type="dxa"/>
              <w:right w:w="40" w:type="dxa"/>
            </w:tcMar>
          </w:tcPr>
          <w:p>
            <w:pPr>
              <w:spacing w:after="0"/>
            </w:pPr>
            <w:r/>
            <w:r>
              <w:rPr>
                <w:b w:val="0"/>
                <w:sz w:val="14"/>
              </w:rPr>
              <w:t>793.3±9.6</w:t>
            </w:r>
          </w:p>
        </w:tc>
        <w:tc>
          <w:tcPr>
            <w:tcW w:type="dxa" w:w="1008"/>
            <w:vAlign w:val="top"/>
            <w:tcMar>
              <w:top w:w="40" w:type="dxa"/>
              <w:left w:w="40" w:type="dxa"/>
              <w:bottom w:w="40" w:type="dxa"/>
              <w:right w:w="40" w:type="dxa"/>
            </w:tcMar>
          </w:tcPr>
          <w:p>
            <w:pPr>
              <w:spacing w:after="0"/>
            </w:pPr>
            <w:r/>
            <w:r>
              <w:rPr>
                <w:b w:val="0"/>
                <w:sz w:val="14"/>
              </w:rPr>
              <w:t>1.02x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2096.2±66.4</w:t>
            </w:r>
          </w:p>
        </w:tc>
        <w:tc>
          <w:tcPr>
            <w:tcW w:type="dxa" w:w="1584"/>
            <w:vAlign w:val="top"/>
            <w:tcMar>
              <w:top w:w="40" w:type="dxa"/>
              <w:left w:w="40" w:type="dxa"/>
              <w:bottom w:w="40" w:type="dxa"/>
              <w:right w:w="40" w:type="dxa"/>
            </w:tcMar>
          </w:tcPr>
          <w:p>
            <w:pPr>
              <w:spacing w:after="0"/>
            </w:pPr>
            <w:r/>
            <w:r>
              <w:rPr>
                <w:b w:val="0"/>
                <w:sz w:val="14"/>
              </w:rPr>
              <w:t>1986.5±102.4</w:t>
            </w:r>
          </w:p>
        </w:tc>
        <w:tc>
          <w:tcPr>
            <w:tcW w:type="dxa" w:w="1008"/>
            <w:vAlign w:val="top"/>
            <w:tcMar>
              <w:top w:w="40" w:type="dxa"/>
              <w:left w:w="40" w:type="dxa"/>
              <w:bottom w:w="40" w:type="dxa"/>
              <w:right w:w="40" w:type="dxa"/>
            </w:tcMar>
          </w:tcPr>
          <w:p>
            <w:pPr>
              <w:spacing w:after="0"/>
            </w:pPr>
            <w:r/>
            <w:r>
              <w:rPr>
                <w:b w:val="0"/>
                <w:sz w:val="14"/>
              </w:rPr>
              <w:t>0.95x</w:t>
            </w:r>
          </w:p>
        </w:tc>
        <w:tc>
          <w:tcPr>
            <w:tcW w:type="dxa" w:w="1152"/>
            <w:vAlign w:val="top"/>
            <w:tcMar>
              <w:top w:w="40" w:type="dxa"/>
              <w:left w:w="40" w:type="dxa"/>
              <w:bottom w:w="40" w:type="dxa"/>
              <w:right w:w="40" w:type="dxa"/>
            </w:tcMar>
          </w:tcPr>
          <w:p>
            <w:pPr>
              <w:spacing w:after="0"/>
            </w:pPr>
            <w:r/>
            <w:r>
              <w:rPr>
                <w:b w:val="0"/>
                <w:sz w:val="14"/>
              </w:rPr>
              <w:t>0.756</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3232.1±708.3</w:t>
            </w:r>
          </w:p>
        </w:tc>
        <w:tc>
          <w:tcPr>
            <w:tcW w:type="dxa" w:w="1584"/>
            <w:vAlign w:val="top"/>
            <w:tcMar>
              <w:top w:w="40" w:type="dxa"/>
              <w:left w:w="40" w:type="dxa"/>
              <w:bottom w:w="40" w:type="dxa"/>
              <w:right w:w="40" w:type="dxa"/>
            </w:tcMar>
          </w:tcPr>
          <w:p>
            <w:pPr>
              <w:spacing w:after="0"/>
            </w:pPr>
            <w:r/>
            <w:r>
              <w:rPr>
                <w:b w:val="0"/>
                <w:sz w:val="14"/>
              </w:rPr>
              <w:t>4086.0±694.8</w:t>
            </w:r>
          </w:p>
        </w:tc>
        <w:tc>
          <w:tcPr>
            <w:tcW w:type="dxa" w:w="1008"/>
            <w:vAlign w:val="top"/>
            <w:tcMar>
              <w:top w:w="40" w:type="dxa"/>
              <w:left w:w="40" w:type="dxa"/>
              <w:bottom w:w="40" w:type="dxa"/>
              <w:right w:w="40" w:type="dxa"/>
            </w:tcMar>
          </w:tcPr>
          <w:p>
            <w:pPr>
              <w:spacing w:after="0"/>
            </w:pPr>
            <w:r/>
            <w:r>
              <w:rPr>
                <w:b w:val="0"/>
                <w:sz w:val="14"/>
              </w:rPr>
              <w:t>1.26x</w:t>
            </w:r>
          </w:p>
        </w:tc>
        <w:tc>
          <w:tcPr>
            <w:tcW w:type="dxa" w:w="1152"/>
            <w:vAlign w:val="top"/>
            <w:tcMar>
              <w:top w:w="40" w:type="dxa"/>
              <w:left w:w="40" w:type="dxa"/>
              <w:bottom w:w="40" w:type="dxa"/>
              <w:right w:w="40" w:type="dxa"/>
            </w:tcMar>
          </w:tcPr>
          <w:p>
            <w:pPr>
              <w:spacing w:after="0"/>
            </w:pPr>
            <w:r/>
            <w:r>
              <w:rPr>
                <w:b w:val="0"/>
                <w:sz w:val="14"/>
              </w:rPr>
              <w:t>0.694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1095.6±68.2</w:t>
            </w:r>
          </w:p>
        </w:tc>
        <w:tc>
          <w:tcPr>
            <w:tcW w:type="dxa" w:w="1584"/>
            <w:vAlign w:val="top"/>
            <w:tcMar>
              <w:top w:w="40" w:type="dxa"/>
              <w:left w:w="40" w:type="dxa"/>
              <w:bottom w:w="40" w:type="dxa"/>
              <w:right w:w="40" w:type="dxa"/>
            </w:tcMar>
          </w:tcPr>
          <w:p>
            <w:pPr>
              <w:spacing w:after="0"/>
            </w:pPr>
            <w:r/>
            <w:r>
              <w:rPr>
                <w:b w:val="0"/>
                <w:sz w:val="14"/>
              </w:rPr>
              <w:t>1224.8±60.8</w:t>
            </w:r>
          </w:p>
        </w:tc>
        <w:tc>
          <w:tcPr>
            <w:tcW w:type="dxa" w:w="1008"/>
            <w:vAlign w:val="top"/>
            <w:tcMar>
              <w:top w:w="40" w:type="dxa"/>
              <w:left w:w="40" w:type="dxa"/>
              <w:bottom w:w="40" w:type="dxa"/>
              <w:right w:w="40" w:type="dxa"/>
            </w:tcMar>
          </w:tcPr>
          <w:p>
            <w:pPr>
              <w:spacing w:after="0"/>
            </w:pPr>
            <w:r/>
            <w:r>
              <w:rPr>
                <w:b w:val="0"/>
                <w:sz w:val="14"/>
              </w:rPr>
              <w:t>1.12x</w:t>
            </w:r>
          </w:p>
        </w:tc>
        <w:tc>
          <w:tcPr>
            <w:tcW w:type="dxa" w:w="1152"/>
            <w:vAlign w:val="top"/>
            <w:tcMar>
              <w:top w:w="40" w:type="dxa"/>
              <w:left w:w="40" w:type="dxa"/>
              <w:bottom w:w="40" w:type="dxa"/>
              <w:right w:w="40" w:type="dxa"/>
            </w:tcMar>
          </w:tcPr>
          <w:p>
            <w:pPr>
              <w:spacing w:after="0"/>
            </w:pPr>
            <w:r/>
            <w:r>
              <w:rPr>
                <w:b w:val="0"/>
                <w:sz w:val="14"/>
              </w:rPr>
              <w:t>0.721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1438.3±18.9</w:t>
            </w:r>
          </w:p>
        </w:tc>
        <w:tc>
          <w:tcPr>
            <w:tcW w:type="dxa" w:w="1584"/>
            <w:vAlign w:val="top"/>
            <w:tcMar>
              <w:top w:w="40" w:type="dxa"/>
              <w:left w:w="40" w:type="dxa"/>
              <w:bottom w:w="40" w:type="dxa"/>
              <w:right w:w="40" w:type="dxa"/>
            </w:tcMar>
          </w:tcPr>
          <w:p>
            <w:pPr>
              <w:spacing w:after="0"/>
            </w:pPr>
            <w:r/>
            <w:r>
              <w:rPr>
                <w:b w:val="0"/>
                <w:sz w:val="14"/>
              </w:rPr>
              <w:t>1176.5±33.4</w:t>
            </w:r>
          </w:p>
        </w:tc>
        <w:tc>
          <w:tcPr>
            <w:tcW w:type="dxa" w:w="1008"/>
            <w:vAlign w:val="top"/>
            <w:tcMar>
              <w:top w:w="40" w:type="dxa"/>
              <w:left w:w="40" w:type="dxa"/>
              <w:bottom w:w="40" w:type="dxa"/>
              <w:right w:w="40" w:type="dxa"/>
            </w:tcMar>
          </w:tcPr>
          <w:p>
            <w:pPr>
              <w:spacing w:after="0"/>
            </w:pPr>
            <w:r/>
            <w:r>
              <w:rPr>
                <w:b w:val="0"/>
                <w:sz w:val="14"/>
              </w:rPr>
              <w:t>0.82x</w:t>
            </w:r>
          </w:p>
        </w:tc>
        <w:tc>
          <w:tcPr>
            <w:tcW w:type="dxa" w:w="1152"/>
            <w:vAlign w:val="top"/>
            <w:tcMar>
              <w:top w:w="40" w:type="dxa"/>
              <w:left w:w="40" w:type="dxa"/>
              <w:bottom w:w="40" w:type="dxa"/>
              <w:right w:w="40" w:type="dxa"/>
            </w:tcMar>
          </w:tcPr>
          <w:p>
            <w:pPr>
              <w:spacing w:after="0"/>
            </w:pPr>
            <w:r/>
            <w:r>
              <w:rPr>
                <w:b w:val="0"/>
                <w:sz w:val="14"/>
              </w:rPr>
              <w:t>0.790</w:t>
            </w:r>
          </w:p>
        </w:tc>
        <w:tc>
          <w:tcPr>
            <w:tcW w:type="dxa" w:w="864"/>
            <w:vAlign w:val="top"/>
            <w:tcMar>
              <w:top w:w="40" w:type="dxa"/>
              <w:left w:w="40" w:type="dxa"/>
              <w:bottom w:w="40" w:type="dxa"/>
              <w:right w:w="40" w:type="dxa"/>
            </w:tcMar>
          </w:tcPr>
          <w:p>
            <w:pPr>
              <w:spacing w:after="0"/>
            </w:pPr>
            <w:r/>
            <w:r>
              <w:rPr>
                <w:b w:val="0"/>
                <w:sz w:val="14"/>
              </w:rPr>
              <w:t>OK</w:t>
            </w:r>
          </w:p>
        </w:tc>
      </w:tr>
    </w:tbl>
    <w:p/>
    <w:p>
      <w:pPr>
        <w:spacing w:after="80" w:before="0"/>
      </w:pPr>
      <w:r>
        <w:rPr>
          <w:sz w:val="20"/>
        </w:rPr>
        <w:t>Table 21 turns the qualitative miss-rate claim into a sensitivity check. It uses the same native aioquic stream mapping and full-duplex userspace shaper at the constrained 5 Mbps, 20 ms point, but varies receiver dictionary thinning on the byte-stable demo payload. As the semantic miss fraction rises from about 1 percent to about 49 percent, ReduLink's stream multiplier falls from 5.75x to 1.48x and the completion-time advantage narrows from roughly 0.64-0.74x to 0.85x of the raw flow. This does not replace a broader rate/RTT grid, and the first row has high raw-flow timing dispersion, but it directly supports the mechanism-level explanation: repair payloads and reverse MISS/FULL round trips progressively consume the byte-saving advantage while preserving byte-exact reconstruction.</w:t>
      </w:r>
    </w:p>
    <w:p>
      <w:pPr>
        <w:spacing w:after="40" w:before="120"/>
      </w:pPr>
      <w:r>
        <w:rPr>
          <w:b/>
          <w:sz w:val="18"/>
        </w:rPr>
        <w:t>Table 21. Native QUIC miss-rate sensitivity at 5 Mbps and 20 ms RTT on byte-stable demo bytes (three rounds per point).</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84"/>
            <w:vAlign w:val="top"/>
            <w:tcMar>
              <w:top w:w="40" w:type="dxa"/>
              <w:left w:w="40" w:type="dxa"/>
              <w:bottom w:w="40" w:type="dxa"/>
              <w:right w:w="40" w:type="dxa"/>
            </w:tcMar>
          </w:tcPr>
          <w:p>
            <w:pPr>
              <w:spacing w:after="0"/>
            </w:pPr>
            <w:r/>
            <w:r>
              <w:rPr>
                <w:b/>
                <w:sz w:val="14"/>
              </w:rPr>
              <w:t>Dictionary thinning</w:t>
            </w:r>
          </w:p>
        </w:tc>
        <w:tc>
          <w:tcPr>
            <w:tcW w:type="dxa" w:w="1296"/>
            <w:vAlign w:val="top"/>
            <w:tcMar>
              <w:top w:w="40" w:type="dxa"/>
              <w:left w:w="40" w:type="dxa"/>
              <w:bottom w:w="40" w:type="dxa"/>
              <w:right w:w="40" w:type="dxa"/>
            </w:tcMar>
          </w:tcPr>
          <w:p>
            <w:pPr>
              <w:spacing w:after="0"/>
            </w:pPr>
            <w:r/>
            <w:r>
              <w:rPr>
                <w:b/>
                <w:sz w:val="14"/>
              </w:rPr>
              <w:t>Miss fraction</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Stream x</w:t>
            </w:r>
          </w:p>
        </w:tc>
        <w:tc>
          <w:tcPr>
            <w:tcW w:type="dxa" w:w="864"/>
            <w:vAlign w:val="top"/>
            <w:tcMar>
              <w:top w:w="40" w:type="dxa"/>
              <w:left w:w="40" w:type="dxa"/>
              <w:bottom w:w="40" w:type="dxa"/>
              <w:right w:w="40" w:type="dxa"/>
            </w:tcMar>
          </w:tcPr>
          <w:p>
            <w:pPr>
              <w:spacing w:after="0"/>
            </w:pPr>
            <w:r/>
            <w:r>
              <w:rPr>
                <w:b/>
                <w:sz w:val="14"/>
              </w:rPr>
              <w:t>Recon.</w:t>
            </w:r>
          </w:p>
        </w:tc>
      </w:tr>
      <w:tr>
        <w:tc>
          <w:tcPr>
            <w:tcW w:type="dxa" w:w="1584"/>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1.1%</w:t>
            </w:r>
          </w:p>
        </w:tc>
        <w:tc>
          <w:tcPr>
            <w:tcW w:type="dxa" w:w="1584"/>
            <w:vAlign w:val="top"/>
            <w:tcMar>
              <w:top w:w="40" w:type="dxa"/>
              <w:left w:w="40" w:type="dxa"/>
              <w:bottom w:w="40" w:type="dxa"/>
              <w:right w:w="40" w:type="dxa"/>
            </w:tcMar>
          </w:tcPr>
          <w:p>
            <w:pPr>
              <w:spacing w:after="0"/>
            </w:pPr>
            <w:r/>
            <w:r>
              <w:rPr>
                <w:b w:val="0"/>
                <w:sz w:val="14"/>
              </w:rPr>
              <w:t>925.8±289.9</w:t>
            </w:r>
          </w:p>
        </w:tc>
        <w:tc>
          <w:tcPr>
            <w:tcW w:type="dxa" w:w="1584"/>
            <w:vAlign w:val="top"/>
            <w:tcMar>
              <w:top w:w="40" w:type="dxa"/>
              <w:left w:w="40" w:type="dxa"/>
              <w:bottom w:w="40" w:type="dxa"/>
              <w:right w:w="40" w:type="dxa"/>
            </w:tcMar>
          </w:tcPr>
          <w:p>
            <w:pPr>
              <w:spacing w:after="0"/>
            </w:pPr>
            <w:r/>
            <w:r>
              <w:rPr>
                <w:b w:val="0"/>
                <w:sz w:val="14"/>
              </w:rPr>
              <w:t>664.5±76.3</w:t>
            </w:r>
          </w:p>
        </w:tc>
        <w:tc>
          <w:tcPr>
            <w:tcW w:type="dxa" w:w="1008"/>
            <w:vAlign w:val="top"/>
            <w:tcMar>
              <w:top w:w="40" w:type="dxa"/>
              <w:left w:w="40" w:type="dxa"/>
              <w:bottom w:w="40" w:type="dxa"/>
              <w:right w:w="40" w:type="dxa"/>
            </w:tcMar>
          </w:tcPr>
          <w:p>
            <w:pPr>
              <w:spacing w:after="0"/>
            </w:pPr>
            <w:r/>
            <w:r>
              <w:rPr>
                <w:b w:val="0"/>
                <w:sz w:val="14"/>
              </w:rPr>
              <w:t>0.74x</w:t>
            </w:r>
          </w:p>
        </w:tc>
        <w:tc>
          <w:tcPr>
            <w:tcW w:type="dxa" w:w="1152"/>
            <w:vAlign w:val="top"/>
            <w:tcMar>
              <w:top w:w="40" w:type="dxa"/>
              <w:left w:w="40" w:type="dxa"/>
              <w:bottom w:w="40" w:type="dxa"/>
              <w:right w:w="40" w:type="dxa"/>
            </w:tcMar>
          </w:tcPr>
          <w:p>
            <w:pPr>
              <w:spacing w:after="0"/>
            </w:pPr>
            <w:r/>
            <w:r>
              <w:rPr>
                <w:b w:val="0"/>
                <w:sz w:val="14"/>
              </w:rPr>
              <w:t>5.75x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16</w:t>
            </w:r>
          </w:p>
        </w:tc>
        <w:tc>
          <w:tcPr>
            <w:tcW w:type="dxa" w:w="1296"/>
            <w:vAlign w:val="top"/>
            <w:tcMar>
              <w:top w:w="40" w:type="dxa"/>
              <w:left w:w="40" w:type="dxa"/>
              <w:bottom w:w="40" w:type="dxa"/>
              <w:right w:w="40" w:type="dxa"/>
            </w:tcMar>
          </w:tcPr>
          <w:p>
            <w:pPr>
              <w:spacing w:after="0"/>
            </w:pPr>
            <w:r/>
            <w:r>
              <w:rPr>
                <w:b w:val="0"/>
                <w:sz w:val="14"/>
              </w:rPr>
              <w:t>6.7%</w:t>
            </w:r>
          </w:p>
        </w:tc>
        <w:tc>
          <w:tcPr>
            <w:tcW w:type="dxa" w:w="1584"/>
            <w:vAlign w:val="top"/>
            <w:tcMar>
              <w:top w:w="40" w:type="dxa"/>
              <w:left w:w="40" w:type="dxa"/>
              <w:bottom w:w="40" w:type="dxa"/>
              <w:right w:w="40" w:type="dxa"/>
            </w:tcMar>
          </w:tcPr>
          <w:p>
            <w:pPr>
              <w:spacing w:after="0"/>
            </w:pPr>
            <w:r/>
            <w:r>
              <w:rPr>
                <w:b w:val="0"/>
                <w:sz w:val="14"/>
              </w:rPr>
              <w:t>1284.5±3.3</w:t>
            </w:r>
          </w:p>
        </w:tc>
        <w:tc>
          <w:tcPr>
            <w:tcW w:type="dxa" w:w="1584"/>
            <w:vAlign w:val="top"/>
            <w:tcMar>
              <w:top w:w="40" w:type="dxa"/>
              <w:left w:w="40" w:type="dxa"/>
              <w:bottom w:w="40" w:type="dxa"/>
              <w:right w:w="40" w:type="dxa"/>
            </w:tcMar>
          </w:tcPr>
          <w:p>
            <w:pPr>
              <w:spacing w:after="0"/>
            </w:pPr>
            <w:r/>
            <w:r>
              <w:rPr>
                <w:b w:val="0"/>
                <w:sz w:val="14"/>
              </w:rPr>
              <w:t>825.5±5.7</w:t>
            </w:r>
          </w:p>
        </w:tc>
        <w:tc>
          <w:tcPr>
            <w:tcW w:type="dxa" w:w="1008"/>
            <w:vAlign w:val="top"/>
            <w:tcMar>
              <w:top w:w="40" w:type="dxa"/>
              <w:left w:w="40" w:type="dxa"/>
              <w:bottom w:w="40" w:type="dxa"/>
              <w:right w:w="40" w:type="dxa"/>
            </w:tcMar>
          </w:tcPr>
          <w:p>
            <w:pPr>
              <w:spacing w:after="0"/>
            </w:pPr>
            <w:r/>
            <w:r>
              <w:rPr>
                <w:b w:val="0"/>
                <w:sz w:val="14"/>
              </w:rPr>
              <w:t>0.64x</w:t>
            </w:r>
          </w:p>
        </w:tc>
        <w:tc>
          <w:tcPr>
            <w:tcW w:type="dxa" w:w="1152"/>
            <w:vAlign w:val="top"/>
            <w:tcMar>
              <w:top w:w="40" w:type="dxa"/>
              <w:left w:w="40" w:type="dxa"/>
              <w:bottom w:w="40" w:type="dxa"/>
              <w:right w:w="40" w:type="dxa"/>
            </w:tcMar>
          </w:tcPr>
          <w:p>
            <w:pPr>
              <w:spacing w:after="0"/>
            </w:pPr>
            <w:r/>
            <w:r>
              <w:rPr>
                <w:b w:val="0"/>
                <w:sz w:val="14"/>
              </w:rPr>
              <w:t>4.31x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8</w:t>
            </w:r>
          </w:p>
        </w:tc>
        <w:tc>
          <w:tcPr>
            <w:tcW w:type="dxa" w:w="1296"/>
            <w:vAlign w:val="top"/>
            <w:tcMar>
              <w:top w:w="40" w:type="dxa"/>
              <w:left w:w="40" w:type="dxa"/>
              <w:bottom w:w="40" w:type="dxa"/>
              <w:right w:w="40" w:type="dxa"/>
            </w:tcMar>
          </w:tcPr>
          <w:p>
            <w:pPr>
              <w:spacing w:after="0"/>
            </w:pPr>
            <w:r/>
            <w:r>
              <w:rPr>
                <w:b w:val="0"/>
                <w:sz w:val="14"/>
              </w:rPr>
              <w:t>13.3%</w:t>
            </w:r>
          </w:p>
        </w:tc>
        <w:tc>
          <w:tcPr>
            <w:tcW w:type="dxa" w:w="1584"/>
            <w:vAlign w:val="top"/>
            <w:tcMar>
              <w:top w:w="40" w:type="dxa"/>
              <w:left w:w="40" w:type="dxa"/>
              <w:bottom w:w="40" w:type="dxa"/>
              <w:right w:w="40" w:type="dxa"/>
            </w:tcMar>
          </w:tcPr>
          <w:p>
            <w:pPr>
              <w:spacing w:after="0"/>
            </w:pPr>
            <w:r/>
            <w:r>
              <w:rPr>
                <w:b w:val="0"/>
                <w:sz w:val="14"/>
              </w:rPr>
              <w:t>1319.5±1.8</w:t>
            </w:r>
          </w:p>
        </w:tc>
        <w:tc>
          <w:tcPr>
            <w:tcW w:type="dxa" w:w="1584"/>
            <w:vAlign w:val="top"/>
            <w:tcMar>
              <w:top w:w="40" w:type="dxa"/>
              <w:left w:w="40" w:type="dxa"/>
              <w:bottom w:w="40" w:type="dxa"/>
              <w:right w:w="40" w:type="dxa"/>
            </w:tcMar>
          </w:tcPr>
          <w:p>
            <w:pPr>
              <w:spacing w:after="0"/>
            </w:pPr>
            <w:r/>
            <w:r>
              <w:rPr>
                <w:b w:val="0"/>
                <w:sz w:val="14"/>
              </w:rPr>
              <w:t>968.2±12.5</w:t>
            </w:r>
          </w:p>
        </w:tc>
        <w:tc>
          <w:tcPr>
            <w:tcW w:type="dxa" w:w="1008"/>
            <w:vAlign w:val="top"/>
            <w:tcMar>
              <w:top w:w="40" w:type="dxa"/>
              <w:left w:w="40" w:type="dxa"/>
              <w:bottom w:w="40" w:type="dxa"/>
              <w:right w:w="40" w:type="dxa"/>
            </w:tcMar>
          </w:tcPr>
          <w:p>
            <w:pPr>
              <w:spacing w:after="0"/>
            </w:pPr>
            <w:r/>
            <w:r>
              <w:rPr>
                <w:b w:val="0"/>
                <w:sz w:val="14"/>
              </w:rPr>
              <w:t>0.73x</w:t>
            </w:r>
          </w:p>
        </w:tc>
        <w:tc>
          <w:tcPr>
            <w:tcW w:type="dxa" w:w="1152"/>
            <w:vAlign w:val="top"/>
            <w:tcMar>
              <w:top w:w="40" w:type="dxa"/>
              <w:left w:w="40" w:type="dxa"/>
              <w:bottom w:w="40" w:type="dxa"/>
              <w:right w:w="40" w:type="dxa"/>
            </w:tcMar>
          </w:tcPr>
          <w:p>
            <w:pPr>
              <w:spacing w:after="0"/>
            </w:pPr>
            <w:r/>
            <w:r>
              <w:rPr>
                <w:b w:val="0"/>
                <w:sz w:val="14"/>
              </w:rPr>
              <w:t>3.31x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4</w:t>
            </w:r>
          </w:p>
        </w:tc>
        <w:tc>
          <w:tcPr>
            <w:tcW w:type="dxa" w:w="1296"/>
            <w:vAlign w:val="top"/>
            <w:tcMar>
              <w:top w:w="40" w:type="dxa"/>
              <w:left w:w="40" w:type="dxa"/>
              <w:bottom w:w="40" w:type="dxa"/>
              <w:right w:w="40" w:type="dxa"/>
            </w:tcMar>
          </w:tcPr>
          <w:p>
            <w:pPr>
              <w:spacing w:after="0"/>
            </w:pPr>
            <w:r/>
            <w:r>
              <w:rPr>
                <w:b w:val="0"/>
                <w:sz w:val="14"/>
              </w:rPr>
              <w:t>26.7%</w:t>
            </w:r>
          </w:p>
        </w:tc>
        <w:tc>
          <w:tcPr>
            <w:tcW w:type="dxa" w:w="1584"/>
            <w:vAlign w:val="top"/>
            <w:tcMar>
              <w:top w:w="40" w:type="dxa"/>
              <w:left w:w="40" w:type="dxa"/>
              <w:bottom w:w="40" w:type="dxa"/>
              <w:right w:w="40" w:type="dxa"/>
            </w:tcMar>
          </w:tcPr>
          <w:p>
            <w:pPr>
              <w:spacing w:after="0"/>
            </w:pPr>
            <w:r/>
            <w:r>
              <w:rPr>
                <w:b w:val="0"/>
                <w:sz w:val="14"/>
              </w:rPr>
              <w:t>1662.4±11.7</w:t>
            </w:r>
          </w:p>
        </w:tc>
        <w:tc>
          <w:tcPr>
            <w:tcW w:type="dxa" w:w="1584"/>
            <w:vAlign w:val="top"/>
            <w:tcMar>
              <w:top w:w="40" w:type="dxa"/>
              <w:left w:w="40" w:type="dxa"/>
              <w:bottom w:w="40" w:type="dxa"/>
              <w:right w:w="40" w:type="dxa"/>
            </w:tcMar>
          </w:tcPr>
          <w:p>
            <w:pPr>
              <w:spacing w:after="0"/>
            </w:pPr>
            <w:r/>
            <w:r>
              <w:rPr>
                <w:b w:val="0"/>
                <w:sz w:val="14"/>
              </w:rPr>
              <w:t>1322.3±1.3</w:t>
            </w:r>
          </w:p>
        </w:tc>
        <w:tc>
          <w:tcPr>
            <w:tcW w:type="dxa" w:w="1008"/>
            <w:vAlign w:val="top"/>
            <w:tcMar>
              <w:top w:w="40" w:type="dxa"/>
              <w:left w:w="40" w:type="dxa"/>
              <w:bottom w:w="40" w:type="dxa"/>
              <w:right w:w="40" w:type="dxa"/>
            </w:tcMar>
          </w:tcPr>
          <w:p>
            <w:pPr>
              <w:spacing w:after="0"/>
            </w:pPr>
            <w:r/>
            <w:r>
              <w:rPr>
                <w:b w:val="0"/>
                <w:sz w:val="14"/>
              </w:rPr>
              <w:t>0.80x</w:t>
            </w:r>
          </w:p>
        </w:tc>
        <w:tc>
          <w:tcPr>
            <w:tcW w:type="dxa" w:w="1152"/>
            <w:vAlign w:val="top"/>
            <w:tcMar>
              <w:top w:w="40" w:type="dxa"/>
              <w:left w:w="40" w:type="dxa"/>
              <w:bottom w:w="40" w:type="dxa"/>
              <w:right w:w="40" w:type="dxa"/>
            </w:tcMar>
          </w:tcPr>
          <w:p>
            <w:pPr>
              <w:spacing w:after="0"/>
            </w:pPr>
            <w:r/>
            <w:r>
              <w:rPr>
                <w:b w:val="0"/>
                <w:sz w:val="14"/>
              </w:rPr>
              <w:t>2.27x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2</w:t>
            </w:r>
          </w:p>
        </w:tc>
        <w:tc>
          <w:tcPr>
            <w:tcW w:type="dxa" w:w="1296"/>
            <w:vAlign w:val="top"/>
            <w:tcMar>
              <w:top w:w="40" w:type="dxa"/>
              <w:left w:w="40" w:type="dxa"/>
              <w:bottom w:w="40" w:type="dxa"/>
              <w:right w:w="40" w:type="dxa"/>
            </w:tcMar>
          </w:tcPr>
          <w:p>
            <w:pPr>
              <w:spacing w:after="0"/>
            </w:pPr>
            <w:r/>
            <w:r>
              <w:rPr>
                <w:b w:val="0"/>
                <w:sz w:val="14"/>
              </w:rPr>
              <w:t>48.9%</w:t>
            </w:r>
          </w:p>
        </w:tc>
        <w:tc>
          <w:tcPr>
            <w:tcW w:type="dxa" w:w="1584"/>
            <w:vAlign w:val="top"/>
            <w:tcMar>
              <w:top w:w="40" w:type="dxa"/>
              <w:left w:w="40" w:type="dxa"/>
              <w:bottom w:w="40" w:type="dxa"/>
              <w:right w:w="40" w:type="dxa"/>
            </w:tcMar>
          </w:tcPr>
          <w:p>
            <w:pPr>
              <w:spacing w:after="0"/>
            </w:pPr>
            <w:r/>
            <w:r>
              <w:rPr>
                <w:b w:val="0"/>
                <w:sz w:val="14"/>
              </w:rPr>
              <w:t>2018.9±11.1</w:t>
            </w:r>
          </w:p>
        </w:tc>
        <w:tc>
          <w:tcPr>
            <w:tcW w:type="dxa" w:w="1584"/>
            <w:vAlign w:val="top"/>
            <w:tcMar>
              <w:top w:w="40" w:type="dxa"/>
              <w:left w:w="40" w:type="dxa"/>
              <w:bottom w:w="40" w:type="dxa"/>
              <w:right w:w="40" w:type="dxa"/>
            </w:tcMar>
          </w:tcPr>
          <w:p>
            <w:pPr>
              <w:spacing w:after="0"/>
            </w:pPr>
            <w:r/>
            <w:r>
              <w:rPr>
                <w:b w:val="0"/>
                <w:sz w:val="14"/>
              </w:rPr>
              <w:t>1722.8±12.5</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1.48x</w:t>
            </w:r>
          </w:p>
        </w:tc>
        <w:tc>
          <w:tcPr>
            <w:tcW w:type="dxa" w:w="864"/>
            <w:vAlign w:val="top"/>
            <w:tcMar>
              <w:top w:w="40" w:type="dxa"/>
              <w:left w:w="40" w:type="dxa"/>
              <w:bottom w:w="40" w:type="dxa"/>
              <w:right w:w="40" w:type="dxa"/>
            </w:tcMar>
          </w:tcPr>
          <w:p>
            <w:pPr>
              <w:spacing w:after="0"/>
            </w:pPr>
            <w:r/>
            <w:r>
              <w:rPr>
                <w:b w:val="0"/>
                <w:sz w:val="14"/>
              </w:rPr>
              <w:t>OK</w:t>
            </w:r>
          </w:p>
        </w:tc>
      </w:tr>
    </w:tbl>
    <w:p/>
    <w:p>
      <w:r>
        <w:br w:type="page"/>
      </w:r>
    </w:p>
    <w:p>
      <w:pPr>
        <w:spacing w:after="80" w:before="0"/>
      </w:pPr>
      <w:r>
        <w:rPr>
          <w:sz w:val="20"/>
        </w:rPr>
        <w:t>Table 22 adds uncertainty estimates to the repeated QUIC measurements rather than relying only on point estimates. The intervals are deterministic percentile bootstrap confidence intervals over paired raw/ReduLink rows where available. The 20-round refresh strengthens the byte-accounting interpretation and also narrows one earlier overstatement: at the constrained demo point, ReduLink's encoded-byte ratio is stable near 0.31, but the completion-time interval crosses parity, so the fair claim is byte reduction with roughly neutral completion time on that point. The Redis constrained point shows both a stable encoded-byte reduction and a modest mean completion-time advantage in this run, while other Redis grid points still show that semantic MISS/FULL repair round trips can dominate. macOS pf/dnctl and Linux tc/netem kernel-path harnesses were added to the artifact and their dry-run rules are tested, but no live kernel-path aioquic sweep is claimed here: on this development Mac, raw aioquic handshakes intermittently timed out under loopback dummynet, and Linux tc/netem requires a privileged Linux host.</w:t>
      </w:r>
    </w:p>
    <w:p>
      <w:pPr>
        <w:spacing w:after="40" w:before="120"/>
      </w:pPr>
      <w:r>
        <w:rPr>
          <w:b/>
          <w:sz w:val="18"/>
        </w:rPr>
        <w:t>Table 22. Statistical uncertainty for repeated native QUIC measurements (deterministic bootstrap 95% confidence intervals).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880"/>
            <w:vAlign w:val="top"/>
            <w:tcMar>
              <w:top w:w="40" w:type="dxa"/>
              <w:left w:w="40" w:type="dxa"/>
              <w:bottom w:w="40" w:type="dxa"/>
              <w:right w:w="40" w:type="dxa"/>
            </w:tcMar>
          </w:tcPr>
          <w:p>
            <w:pPr>
              <w:spacing w:after="0"/>
            </w:pPr>
            <w:r/>
            <w:r>
              <w:rPr>
                <w:b/>
                <w:sz w:val="14"/>
              </w:rPr>
              <w:t>Result</w:t>
            </w:r>
          </w:p>
        </w:tc>
        <w:tc>
          <w:tcPr>
            <w:tcW w:type="dxa" w:w="576"/>
            <w:vAlign w:val="top"/>
            <w:tcMar>
              <w:top w:w="40" w:type="dxa"/>
              <w:left w:w="40" w:type="dxa"/>
              <w:bottom w:w="40" w:type="dxa"/>
              <w:right w:w="40" w:type="dxa"/>
            </w:tcMar>
          </w:tcPr>
          <w:p>
            <w:pPr>
              <w:spacing w:after="0"/>
            </w:pPr>
            <w:r/>
            <w:r>
              <w:rPr>
                <w:b/>
                <w:sz w:val="14"/>
              </w:rPr>
              <w:t>n</w:t>
            </w:r>
          </w:p>
        </w:tc>
        <w:tc>
          <w:tcPr>
            <w:tcW w:type="dxa" w:w="1008"/>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95% CI</w:t>
            </w:r>
          </w:p>
        </w:tc>
        <w:tc>
          <w:tcPr>
            <w:tcW w:type="dxa" w:w="2448"/>
            <w:vAlign w:val="top"/>
            <w:tcMar>
              <w:top w:w="40" w:type="dxa"/>
              <w:left w:w="40" w:type="dxa"/>
              <w:bottom w:w="40" w:type="dxa"/>
              <w:right w:w="40" w:type="dxa"/>
            </w:tcMar>
          </w:tcPr>
          <w:p>
            <w:pPr>
              <w:spacing w:after="0"/>
            </w:pPr>
            <w:r/>
            <w:r>
              <w:rPr>
                <w:b/>
                <w:sz w:val="14"/>
              </w:rPr>
              <w:t>Source</w:t>
            </w:r>
          </w:p>
        </w:tc>
      </w:tr>
      <w:tr>
        <w:tc>
          <w:tcPr>
            <w:tcW w:type="dxa" w:w="2880"/>
            <w:vAlign w:val="top"/>
            <w:tcMar>
              <w:top w:w="40" w:type="dxa"/>
              <w:left w:w="40" w:type="dxa"/>
              <w:bottom w:w="40" w:type="dxa"/>
              <w:right w:w="40" w:type="dxa"/>
            </w:tcMar>
          </w:tcPr>
          <w:p>
            <w:pPr>
              <w:spacing w:after="0"/>
            </w:pPr>
            <w:r/>
            <w:r>
              <w:rPr>
                <w:b w:val="0"/>
                <w:sz w:val="14"/>
              </w:rPr>
              <w:t>Demo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1.012</w:t>
            </w:r>
          </w:p>
        </w:tc>
        <w:tc>
          <w:tcPr>
            <w:tcW w:type="dxa" w:w="1440"/>
            <w:vAlign w:val="top"/>
            <w:tcMar>
              <w:top w:w="40" w:type="dxa"/>
              <w:left w:w="40" w:type="dxa"/>
              <w:bottom w:w="40" w:type="dxa"/>
              <w:right w:w="40" w:type="dxa"/>
            </w:tcMar>
          </w:tcPr>
          <w:p>
            <w:pPr>
              <w:spacing w:after="0"/>
            </w:pPr>
            <w:r/>
            <w:r>
              <w:rPr>
                <w:b w:val="0"/>
                <w:sz w:val="14"/>
              </w:rPr>
              <w:t>[0.948, 1.070]</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Demo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Redis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0.948</w:t>
            </w:r>
          </w:p>
        </w:tc>
        <w:tc>
          <w:tcPr>
            <w:tcW w:type="dxa" w:w="1440"/>
            <w:vAlign w:val="top"/>
            <w:tcMar>
              <w:top w:w="40" w:type="dxa"/>
              <w:left w:w="40" w:type="dxa"/>
              <w:bottom w:w="40" w:type="dxa"/>
              <w:right w:w="40" w:type="dxa"/>
            </w:tcMar>
          </w:tcPr>
          <w:p>
            <w:pPr>
              <w:spacing w:after="0"/>
            </w:pPr>
            <w:r/>
            <w:r>
              <w:rPr>
                <w:b w:val="0"/>
                <w:sz w:val="14"/>
              </w:rPr>
              <w:t>[0.932, 0.963]</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Redis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0.261</w:t>
            </w:r>
          </w:p>
        </w:tc>
        <w:tc>
          <w:tcPr>
            <w:tcW w:type="dxa" w:w="1440"/>
            <w:vAlign w:val="top"/>
            <w:tcMar>
              <w:top w:w="40" w:type="dxa"/>
              <w:left w:w="40" w:type="dxa"/>
              <w:bottom w:w="40" w:type="dxa"/>
              <w:right w:w="40" w:type="dxa"/>
            </w:tcMar>
          </w:tcPr>
          <w:p>
            <w:pPr>
              <w:spacing w:after="0"/>
            </w:pPr>
            <w:r/>
            <w:r>
              <w:rPr>
                <w:b w:val="0"/>
                <w:sz w:val="14"/>
              </w:rPr>
              <w:t>[0.261, 0.261]</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Concurrent localhost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0.921</w:t>
            </w:r>
          </w:p>
        </w:tc>
        <w:tc>
          <w:tcPr>
            <w:tcW w:type="dxa" w:w="1440"/>
            <w:vAlign w:val="top"/>
            <w:tcMar>
              <w:top w:w="40" w:type="dxa"/>
              <w:left w:w="40" w:type="dxa"/>
              <w:bottom w:w="40" w:type="dxa"/>
              <w:right w:w="40" w:type="dxa"/>
            </w:tcMar>
          </w:tcPr>
          <w:p>
            <w:pPr>
              <w:spacing w:after="0"/>
            </w:pPr>
            <w:r/>
            <w:r>
              <w:rPr>
                <w:b w:val="0"/>
                <w:sz w:val="14"/>
              </w:rPr>
              <w:t>[0.826, 1.031]</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Concurrent localhost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Sequential UDP-estimated multiplier</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2.605</w:t>
            </w:r>
          </w:p>
        </w:tc>
        <w:tc>
          <w:tcPr>
            <w:tcW w:type="dxa" w:w="1440"/>
            <w:vAlign w:val="top"/>
            <w:tcMar>
              <w:top w:w="40" w:type="dxa"/>
              <w:left w:w="40" w:type="dxa"/>
              <w:bottom w:w="40" w:type="dxa"/>
              <w:right w:w="40" w:type="dxa"/>
            </w:tcMar>
          </w:tcPr>
          <w:p>
            <w:pPr>
              <w:spacing w:after="0"/>
            </w:pPr>
            <w:r/>
            <w:r>
              <w:rPr>
                <w:b w:val="0"/>
                <w:sz w:val="14"/>
              </w:rPr>
              <w:t>[2.604, 2.607]</w:t>
            </w:r>
          </w:p>
        </w:tc>
        <w:tc>
          <w:tcPr>
            <w:tcW w:type="dxa" w:w="2448"/>
            <w:vAlign w:val="top"/>
            <w:tcMar>
              <w:top w:w="40" w:type="dxa"/>
              <w:left w:w="40" w:type="dxa"/>
              <w:bottom w:w="40" w:type="dxa"/>
              <w:right w:w="40" w:type="dxa"/>
            </w:tcMar>
          </w:tcPr>
          <w:p>
            <w:pPr>
              <w:spacing w:after="0"/>
            </w:pPr>
            <w:r/>
            <w:r>
              <w:rPr>
                <w:b w:val="0"/>
                <w:sz w:val="14"/>
              </w:rPr>
              <w:t>repeated_quic_trials</w:t>
            </w:r>
          </w:p>
        </w:tc>
      </w:tr>
    </w:tbl>
    <w:p/>
    <w:p>
      <w:pPr>
        <w:spacing w:after="40" w:before="120"/>
      </w:pPr>
      <w:r>
        <w:rPr>
          <w:b/>
          <w:sz w:val="18"/>
        </w:rPr>
        <w:t>Table 23.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includes reviewer-runnable macOS dummynet and Linux tc/netem harnesses, but does not include a completed kernel-emulator or Mininet congestion-control result. The competing-flow and bottleneck results are therefore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24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24.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25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25.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zstd dictionary delta (--patch-from) [26]</w:t>
            </w:r>
          </w:p>
        </w:tc>
        <w:tc>
          <w:tcPr>
            <w:tcW w:type="dxa" w:w="1872"/>
            <w:vAlign w:val="top"/>
            <w:tcMar>
              <w:top w:w="40" w:type="dxa"/>
              <w:left w:w="40" w:type="dxa"/>
              <w:bottom w:w="40" w:type="dxa"/>
              <w:right w:w="40" w:type="dxa"/>
            </w:tcMar>
          </w:tcPr>
          <w:p>
            <w:pPr>
              <w:spacing w:after="0"/>
            </w:pPr>
            <w:r/>
            <w:r>
              <w:rPr>
                <w:b w:val="0"/>
                <w:sz w:val="14"/>
              </w:rPr>
              <w:t>Yes (as payload)</w:t>
            </w:r>
          </w:p>
        </w:tc>
        <w:tc>
          <w:tcPr>
            <w:tcW w:type="dxa" w:w="1440"/>
            <w:vAlign w:val="top"/>
            <w:tcMar>
              <w:top w:w="40" w:type="dxa"/>
              <w:left w:w="40" w:type="dxa"/>
              <w:bottom w:w="40" w:type="dxa"/>
              <w:right w:w="40" w:type="dxa"/>
            </w:tcMar>
          </w:tcPr>
          <w:p>
            <w:pPr>
              <w:spacing w:after="0"/>
            </w:pPr>
            <w:r/>
            <w:r>
              <w:rPr>
                <w:b w:val="0"/>
                <w:sz w:val="14"/>
              </w:rPr>
              <w:t>No (codec trust)</w:t>
            </w:r>
          </w:p>
        </w:tc>
        <w:tc>
          <w:tcPr>
            <w:tcW w:type="dxa" w:w="1440"/>
            <w:vAlign w:val="top"/>
            <w:tcMar>
              <w:top w:w="40" w:type="dxa"/>
              <w:left w:w="40" w:type="dxa"/>
              <w:bottom w:w="40" w:type="dxa"/>
              <w:right w:w="40" w:type="dxa"/>
            </w:tcMar>
          </w:tcPr>
          <w:p>
            <w:pPr>
              <w:spacing w:after="0"/>
            </w:pPr>
            <w:r/>
            <w:r>
              <w:rPr>
                <w:b w:val="0"/>
                <w:sz w:val="14"/>
              </w:rPr>
              <w:t>No</w:t>
            </w:r>
          </w:p>
        </w:tc>
        <w:tc>
          <w:tcPr>
            <w:tcW w:type="dxa" w:w="1584"/>
            <w:vAlign w:val="top"/>
            <w:tcMar>
              <w:top w:w="40" w:type="dxa"/>
              <w:left w:w="40" w:type="dxa"/>
              <w:bottom w:w="40" w:type="dxa"/>
              <w:right w:w="40" w:type="dxa"/>
            </w:tcMar>
          </w:tcPr>
          <w:p>
            <w:pPr>
              <w:spacing w:after="0"/>
            </w:pPr>
            <w:r/>
            <w:r>
              <w:rPr>
                <w:b w:val="0"/>
                <w:sz w:val="14"/>
              </w:rPr>
              <w:t>Exact retained prior stream</w:t>
            </w:r>
          </w:p>
        </w:tc>
        <w:tc>
          <w:tcPr>
            <w:tcW w:type="dxa" w:w="2304"/>
            <w:vAlign w:val="top"/>
            <w:tcMar>
              <w:top w:w="40" w:type="dxa"/>
              <w:left w:w="40" w:type="dxa"/>
              <w:bottom w:w="40" w:type="dxa"/>
              <w:right w:w="40" w:type="dxa"/>
            </w:tcMar>
          </w:tcPr>
          <w:p>
            <w:pPr>
              <w:spacing w:after="0"/>
            </w:pPr>
            <w:r/>
            <w:r>
              <w:rPr>
                <w:b w:val="0"/>
                <w:sz w:val="14"/>
              </w:rPr>
              <w:t>Full prior stream retained; best byte savings (Sec. 7.6)</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20-round competing-flow experiment plus a measured 20-round full-duplex userspace path emulation across a rate/RTT grid on both byte-stable and real repair-heavy payloads (Section 10); userspace shaping is faithful at the studied rates but is not kernel tc/netem or Mininet, and all transport experiments run over localhost. We added macOS pf/dnctl dummynet and Linux tc/netem harnesses and verified their dry-run rules, but we do not report a completed kernel-path aioquic sweep: raw aioquic handshakes timed out intermittently under loopback dummynet on this Mac, and Linux tc/netem must be run on a privileged Linux host. The path-emulation history is a caution in itself: our first single-bucket shaper produced a completion-time finding that a correct full-duplex model reversed, so the completion-time results should be read as emulation-model-dependent until confirmed on a kernel emulator or real path. A stronger transport-performance claim should therefore be deferred until privileged-host kernel emulation, packet capture, and competing production-style flows reproduce the encoded-byte accounting under real congestion control. The miss-rate sweep is a one-path sensitivity check, not a full transport parameter study. Native-QUIC experiments now reach 16 MiB over a single localhost connection, including a demonstrated dictionary-budget overflow and recovery; multi-connection behavior, larger-than-memory dictionaries, and Internet-path dynamics remain out of scope. The independent positive version-pair study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on every path remain future work. Headline byte multipliers are model-framed; the wire-priced values of Section 7.6 are 5 to 28 percent lower, and whole-stream dictionary delta beats both wherever its retention and trust assumptions hold.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completed privileged-host tc/netem or Mininet fairness study with competing real flows, packet capture, larger and live-captured registry or backup traces, a broader miss-rate grid across bandwidth and RTT, a machine-checked security proof, and a direct head-to-head comparison against Compression Dictionary Transport on the same corpora. The current zstd --patch-from baseline is intentionally the closest byte-level CDT analog available in the artifact; an HTTP-level CDT comparison would require serving the same object corpus through a CDT-capable HTTP stack.</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while requirements-lock.txt and the repository Dockerfile provide an exact dependency path for reviewers who want a pinned container run. Every table and figure in this paper is regenerated from the committed result files by scripts/build_manuscript_v3_12.py and scripts/make_journal_figures_v2_8.py. The framing-repricing and dictionary-delta baseline is regenerated by benchmarks/run_framing_dictionary_baseline.py, the miss-rate sensitivity sweep by benchmarks/run_quic_miss_rate_sensitivity.py, the QUIC confidence-interval table by benchmarks/summarize_quic_statistical_evidence.py, and the verifier-hardening properties of Section 4.5 (authentication-first ordering, bounded replay window, context binding under a valid tag) are pinned by dedicated unit tests.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 The repository also includes PUBLIC_REVIEWER_CHECKLIST.md and scripts/verify_public_release.py, which check the unauthenticated latest-release API, tag-level raw files, branch raw files, and exact commit raw files when a cached GitHub HTML or raw view appears stale.</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public-release verifier,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v3.12-journal-submission, GitHub, 2026. https://github.com/pinkysworld/redulink-deduplex-quic/releases/tag/v3.12-journal-submission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v3.12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