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minh.systems | ORCID: 0000-0001-6834-4422</w:t>
      </w:r>
    </w:p>
    <w:p>
      <w:pPr>
        <w:pStyle w:val="Heading1"/>
      </w:pPr>
      <w:r>
        <w:rPr>
          <w:rFonts w:ascii="Arial" w:hAnsi="Arial"/>
        </w:rPr>
        <w:t>Abstract</w:t>
      </w:r>
    </w:p>
    <w:p>
      <w:pPr>
        <w:spacing w:after="80" w:before="0"/>
      </w:pPr>
      <w:r>
        <w:rPr>
          <w:sz w:val="20"/>
        </w:rPr>
        <w:t>ReduLink is an endpoint-controlled representation layer for encrypted WAN transfers. It replaces repeated payload chunks with compact references authenticated against epoch, scope, stream identifier, reconstructed offset, length, nonce, and chunk identity. The contribution is not a new matching algorithm and not a claim of faster physical links. The contribution is authenticated, scoped, QUIC-compatible reference substitution: a way to use redundancy in warm endpoint state while preserving explicit reconstruction, privacy, and fail-closed semantics.</w:t>
      </w:r>
    </w:p>
    <w:p>
      <w:pPr>
        <w:spacing w:after="80" w:before="0"/>
      </w:pPr>
      <w:r>
        <w:rPr>
          <w:sz w:val="20"/>
        </w:rPr>
        <w:t>The artifact maps compact binary ReduLink messages into TLS-protected aioquic QUIC streams, implements semantic MISS/FULL repair, uses an exporter-style key schedule model, and tests replay and tamper rejection. Evaluation includes fixed-block reuse, gzip/zstd, real rsync, negative public source-release pairs, object-aligned public source-release transfers, a public Redis-derived layer-like case, repeated native QUIC trials, block-size sensitivity, component-cost measurements, and conservative fairness accounting. Results show that fixed reuse or rsync often wins for file-tree synchronization, while ReduLink is useful for object-aligned or layer-like warm-state transfers where authenticated stream-compatible references are the desired abstraction.</w:t>
      </w:r>
    </w:p>
    <w:p>
      <w:pPr>
        <w:spacing w:after="80" w:before="0"/>
      </w:pPr>
      <w:r>
        <w:rPr>
          <w:sz w:val="20"/>
        </w:rPr>
        <w:t>Quantitatively, on object-aligned public release transfers ReduLink reaches 1.94x to 9.70x effective stream-payload reduction (and up to 21.37x on a layer-like positive case), within a few percent of an idealized fixed-object-reuse baseline, while the authenticated variant stays within a few additional percent; on ordinary source-tree updates rsync wins by up to 73x, which we report rather than hide. Native aioquic stream experiments confirm byte-exact reconstruction with deterministic stream multipliers under zero and periodic datagram loss.</w:t>
      </w:r>
    </w:p>
    <w:p>
      <w:pPr>
        <w:spacing w:before="40"/>
      </w:pPr>
      <w:r>
        <w:rPr>
          <w:b/>
          <w:sz w:val="18"/>
        </w:rPr>
        <w:t xml:space="preserve">Keywords: </w:t>
      </w:r>
      <w:r>
        <w:rPr>
          <w:sz w:val="18"/>
        </w:rPr>
        <w:t>QUIC; redundancy elimination; data deduplication; content-defined chunking;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w:t>
      </w:r>
    </w:p>
    <w:p>
      <w:pPr>
        <w:spacing w:after="80" w:before="0"/>
      </w:pPr>
      <w:r>
        <w:rPr>
          <w:sz w:val="20"/>
        </w:rPr>
        <w:t>The practical question is therefore not whether repeated bytes can be replaced by references. Fixed-block reuse, rsync, and low-bandwidth file systems already demonstrate that repeated bytes can be avoided [1-5]. The question is whether a reference-substitution mechanism can be made explicit, authenticated, scoped, and compatible with encrypted endpoint streams without claiming a universal accelerator.</w:t>
      </w:r>
    </w:p>
    <w:p>
      <w:pPr>
        <w:spacing w:after="80" w:before="0"/>
      </w:pPr>
      <w:r>
        <w:rPr>
          <w:sz w:val="20"/>
        </w:rPr>
        <w:t>Effective multiplier means reconstructed or input bytes divided by encoded bytes at the stated accounting layer. Stream-payload multipliers exclude UDP/IP/link overhead. UDP-estimated multipliers add a local IPv4/UDP estimate. Congestion fairness, where claimed, applies to encoded bytes, not reconstructed bytes.</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are the native QUIC results across repeated runs?</w:t>
      </w:r>
    </w:p>
    <w:p>
      <w:pPr>
        <w:pStyle w:val="Heading1"/>
      </w:pPr>
      <w:r>
        <w:rPr>
          <w:rFonts w:ascii="Arial" w:hAnsi="Arial"/>
        </w:rPr>
        <w:t>2. Contributions and Claim Boundary</w:t>
      </w:r>
    </w:p>
    <w:p>
      <w:pPr>
        <w:ind w:left="288" w:hanging="288"/>
      </w:pPr>
      <w:r>
        <w:rPr>
          <w:sz w:val="20"/>
        </w:rPr>
        <w:t>- An authenticated ReduLink reference format and validation model for endpoint-controlled encrypted streams.</w:t>
      </w:r>
    </w:p>
    <w:p>
      <w:pPr>
        <w:ind w:left="288" w:hanging="288"/>
      </w:pPr>
      <w:r>
        <w:rPr>
          <w:sz w:val="20"/>
        </w:rPr>
        <w:t>- A compact binary mapping carried inside native aioquic QUIC streams, with byte-exact semantic repair and repeated trials.</w:t>
      </w:r>
    </w:p>
    <w:p>
      <w:pPr>
        <w:ind w:left="288" w:hanging="288"/>
      </w:pPr>
      <w:r>
        <w:rPr>
          <w:sz w:val="20"/>
        </w:rPr>
        <w:t>- An exporter-style artifact key schedule and security tests for wrong secret, scope, epoch, stream id, offset, length, replay, and tampering.</w:t>
      </w:r>
    </w:p>
    <w:p>
      <w:pPr>
        <w:ind w:left="288" w:hanging="288"/>
      </w:pPr>
      <w:r>
        <w:rPr>
          <w:sz w:val="20"/>
        </w:rPr>
        <w:t>- A comparison against fixed-block reuse, gzip/zstd, and real rsync, including cases where these baselines win decisively.</w:t>
      </w:r>
    </w:p>
    <w:p>
      <w:pPr>
        <w:ind w:left="288" w:hanging="288"/>
      </w:pPr>
      <w:r>
        <w:rPr>
          <w:sz w:val="20"/>
        </w:rPr>
        <w:t>- External public source-release negative evidence, object-aligned public source-release workloads, and a public Redis-derived layer-like positive case.</w:t>
      </w:r>
    </w:p>
    <w:p>
      <w:pPr>
        <w:ind w:left="288" w:hanging="288"/>
      </w:pPr>
      <w:r>
        <w:rPr>
          <w:sz w:val="20"/>
        </w:rPr>
        <w:t>- Block-size sensitivity, component-cost measurements,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custom QUIC extension frames.</w:t>
      </w:r>
    </w:p>
    <w:p>
      <w:pPr>
        <w:spacing w:after="80" w:before="0"/>
      </w:pPr>
      <w:r>
        <w:rPr>
          <w:sz w:val="20"/>
        </w:rPr>
        <w:t>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and without asking the application to become a file-tree synchronization protocol. The price paid by ReduLink is authentication and metadata overhead; the benefit is explicit context binding, safe miss repair, and a stream-compatible representation.</w:t>
      </w:r>
    </w:p>
    <w:p>
      <w:pPr>
        <w:pStyle w:val="Heading1"/>
      </w:pPr>
      <w:r>
        <w:rPr>
          <w:rFonts w:ascii="Arial" w:hAnsi="Arial"/>
        </w:rPr>
        <w:t>3. Related Work and Motivation</w:t>
      </w:r>
    </w:p>
    <w:p>
      <w:pPr>
        <w:spacing w:after="80" w:before="0"/>
      </w:pPr>
      <w:r>
        <w:rPr>
          <w:sz w:val="20"/>
        </w:rPr>
        <w:t>Spring and Wetherall introduced protocol-independent redundancy elimination, and later work studied enterprise redundancy, coordinated redundancy elimination, and endpoint redundancy elimination [1-4]. LBFS and rsync-family systems show the value of low-bandwidth file synchronization when both sides operate over file objects [5]. Content-defined chunking and chunking security have a substantial literature [11-13]. Deduplication side channels motivate careful dictionary scoping and avoidance of global cross-user private dictionaries [16,17].</w:t>
      </w:r>
    </w:p>
    <w:p>
      <w:pPr>
        <w:spacing w:after="80" w:before="0"/>
      </w:pPr>
      <w:r>
        <w:rPr>
          <w:sz w:val="20"/>
        </w:rPr>
        <w:t>ReduLink is motivated by a narrower deployment class: encrypted object delivery over QUIC streams, registry or CDN transfers where the receiver has prior same-origin state, backup-like page streams, and administrative domains where per-origin or per-tenant dictionaries are explicit policy. Modern Ethernet line rates continue to increase [14], so the paper avoids physical-rate claims and focuses only on representation-layer savings.</w:t>
      </w:r>
    </w:p>
    <w:p>
      <w:pPr>
        <w:spacing w:after="80" w:before="0"/>
      </w:pPr>
      <w:r>
        <w:rPr>
          <w:sz w:val="20"/>
        </w:rPr>
        <w:t>The system boundary is deliberately endpoint-side. Middlebox WAN optimizers can exploit redundancy only when they see or terminate plaintext. ReduLink instead assumes the cooperating endpoints already control the plaintext before QUIC protection and can decide whether a reference is safe. This difference matters for HTTP/3, CDN edge delivery, update agents, enterprise VPN clients, and backup clients, where the transport can remain encrypted while the application or endpoint stack performs representation substitution.</w:t>
      </w:r>
    </w:p>
    <w:p>
      <w:pPr>
        <w:pStyle w:val="Heading2"/>
      </w:pPr>
      <w:r>
        <w:rPr>
          <w:rFonts w:ascii="Arial" w:hAnsi="Arial"/>
        </w:rPr>
        <w:t>3.1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validate. Otherwise the receiver fails closed or requests semantic FULL repair.</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spacing w:after="80" w:before="0"/>
      </w:pPr>
      <w:r>
        <w:rPr>
          <w:sz w:val="20"/>
        </w:rPr>
        <w:t>The default privacy scope is per connection. Shared per-origin dictionaries are appropriate only for public artifacts or same-tenant administrative domains. The design excludes global cross-user private dictionaries. The artifact binds frames with an HMAC-based model and an exporter-style key schedule; production QUIC integration should use QUIC TLS exporter material and transport-parameter negotiation.</w:t>
      </w:r>
    </w:p>
    <w:p>
      <w:pPr>
        <w:spacing w:after="40" w:before="120"/>
      </w:pPr>
      <w:r>
        <w:rPr>
          <w:b/>
          <w:sz w:val="18"/>
        </w:rPr>
        <w:t>Table 2. Threat model: ReduLink controls and corresponding artifact evidence.</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tcMar>
              <w:top w:w="40" w:type="dxa"/>
              <w:left w:w="40" w:type="dxa"/>
              <w:bottom w:w="40" w:type="dxa"/>
              <w:right w:w="40" w:type="dxa"/>
            </w:tcMar>
          </w:tcPr>
          <w:p>
            <w:pPr>
              <w:spacing w:after="0"/>
            </w:pPr>
            <w:r/>
            <w:r>
              <w:rPr>
                <w:b/>
                <w:sz w:val="16"/>
              </w:rPr>
              <w:t>Threat</w:t>
            </w:r>
          </w:p>
        </w:tc>
        <w:tc>
          <w:tcPr>
            <w:tcW w:type="dxa" w:w="3600"/>
            <w:vAlign w:val="top"/>
            <w:tcMar>
              <w:top w:w="40" w:type="dxa"/>
              <w:left w:w="40" w:type="dxa"/>
              <w:bottom w:w="40" w:type="dxa"/>
              <w:right w:w="40" w:type="dxa"/>
            </w:tcMar>
          </w:tcPr>
          <w:p>
            <w:pPr>
              <w:spacing w:after="0"/>
            </w:pPr>
            <w:r/>
            <w:r>
              <w:rPr>
                <w:b/>
                <w:sz w:val="16"/>
              </w:rPr>
              <w:t>ReduLink control</w:t>
            </w:r>
          </w:p>
        </w:tc>
        <w:tc>
          <w:tcPr>
            <w:tcW w:type="dxa" w:w="3312"/>
            <w:vAlign w:val="top"/>
            <w:tcMar>
              <w:top w:w="40" w:type="dxa"/>
              <w:left w:w="40" w:type="dxa"/>
              <w:bottom w:w="40" w:type="dxa"/>
              <w:right w:w="40" w:type="dxa"/>
            </w:tcMar>
          </w:tcPr>
          <w:p>
            <w:pPr>
              <w:spacing w:after="0"/>
            </w:pPr>
            <w:r/>
            <w:r>
              <w:rPr>
                <w:b/>
                <w:sz w:val="16"/>
              </w:rPr>
              <w:t>Artifact evidence</w:t>
            </w:r>
          </w:p>
        </w:tc>
      </w:tr>
      <w:tr>
        <w:tc>
          <w:tcPr>
            <w:tcW w:type="dxa" w:w="2016"/>
            <w:vAlign w:val="top"/>
            <w:tcMar>
              <w:top w:w="40" w:type="dxa"/>
              <w:left w:w="40" w:type="dxa"/>
              <w:bottom w:w="40" w:type="dxa"/>
              <w:right w:w="40" w:type="dxa"/>
            </w:tcMar>
          </w:tcPr>
          <w:p>
            <w:pPr>
              <w:spacing w:after="0"/>
            </w:pPr>
            <w:r/>
            <w:r>
              <w:rPr>
                <w:b w:val="0"/>
                <w:sz w:val="16"/>
              </w:rPr>
              <w:t>Reference forgery</w:t>
            </w:r>
          </w:p>
        </w:tc>
        <w:tc>
          <w:tcPr>
            <w:tcW w:type="dxa" w:w="3600"/>
            <w:vAlign w:val="top"/>
            <w:tcMar>
              <w:top w:w="40" w:type="dxa"/>
              <w:left w:w="40" w:type="dxa"/>
              <w:bottom w:w="40" w:type="dxa"/>
              <w:right w:w="40" w:type="dxa"/>
            </w:tcMar>
          </w:tcPr>
          <w:p>
            <w:pPr>
              <w:spacing w:after="0"/>
            </w:pPr>
            <w:r/>
            <w:r>
              <w:rPr>
                <w:b w:val="0"/>
                <w:sz w:val="16"/>
              </w:rPr>
              <w:t>HMAC binds epoch, scope, stream, offset, length, nonce, and chunk identity.</w:t>
            </w:r>
          </w:p>
        </w:tc>
        <w:tc>
          <w:tcPr>
            <w:tcW w:type="dxa" w:w="3312"/>
            <w:vAlign w:val="top"/>
            <w:tcMar>
              <w:top w:w="40" w:type="dxa"/>
              <w:left w:w="40" w:type="dxa"/>
              <w:bottom w:w="40" w:type="dxa"/>
              <w:right w:w="40" w:type="dxa"/>
            </w:tcMar>
          </w:tcPr>
          <w:p>
            <w:pPr>
              <w:spacing w:after="0"/>
            </w:pPr>
            <w:r/>
            <w:r>
              <w:rPr>
                <w:b w:val="0"/>
                <w:sz w:val="16"/>
              </w:rPr>
              <w:t>Tamper and wrong-context tests.</w:t>
            </w:r>
          </w:p>
        </w:tc>
      </w:tr>
      <w:tr>
        <w:tc>
          <w:tcPr>
            <w:tcW w:type="dxa" w:w="2016"/>
            <w:vAlign w:val="top"/>
            <w:tcMar>
              <w:top w:w="40" w:type="dxa"/>
              <w:left w:w="40" w:type="dxa"/>
              <w:bottom w:w="40" w:type="dxa"/>
              <w:right w:w="40" w:type="dxa"/>
            </w:tcMar>
          </w:tcPr>
          <w:p>
            <w:pPr>
              <w:spacing w:after="0"/>
            </w:pPr>
            <w:r/>
            <w:r>
              <w:rPr>
                <w:b w:val="0"/>
                <w:sz w:val="16"/>
              </w:rPr>
              <w:t>Replay</w:t>
            </w:r>
          </w:p>
        </w:tc>
        <w:tc>
          <w:tcPr>
            <w:tcW w:type="dxa" w:w="3600"/>
            <w:vAlign w:val="top"/>
            <w:tcMar>
              <w:top w:w="40" w:type="dxa"/>
              <w:left w:w="40" w:type="dxa"/>
              <w:bottom w:w="40" w:type="dxa"/>
              <w:right w:w="40" w:type="dxa"/>
            </w:tcMar>
          </w:tcPr>
          <w:p>
            <w:pPr>
              <w:spacing w:after="0"/>
            </w:pPr>
            <w:r/>
            <w:r>
              <w:rPr>
                <w:b w:val="0"/>
                <w:sz w:val="16"/>
              </w:rPr>
              <w:t>Nonce and context binding reject reused frames.</w:t>
            </w:r>
          </w:p>
        </w:tc>
        <w:tc>
          <w:tcPr>
            <w:tcW w:type="dxa" w:w="3312"/>
            <w:vAlign w:val="top"/>
            <w:tcMar>
              <w:top w:w="40" w:type="dxa"/>
              <w:left w:w="40" w:type="dxa"/>
              <w:bottom w:w="40" w:type="dxa"/>
              <w:right w:w="40" w:type="dxa"/>
            </w:tcMar>
          </w:tcPr>
          <w:p>
            <w:pPr>
              <w:spacing w:after="0"/>
            </w:pPr>
            <w:r/>
            <w:r>
              <w:rPr>
                <w:b w:val="0"/>
                <w:sz w:val="16"/>
              </w:rPr>
              <w:t>Replay rejection tests.</w:t>
            </w:r>
          </w:p>
        </w:tc>
      </w:tr>
      <w:tr>
        <w:tc>
          <w:tcPr>
            <w:tcW w:type="dxa" w:w="2016"/>
            <w:vAlign w:val="top"/>
            <w:tcMar>
              <w:top w:w="40" w:type="dxa"/>
              <w:left w:w="40" w:type="dxa"/>
              <w:bottom w:w="40" w:type="dxa"/>
              <w:right w:w="40" w:type="dxa"/>
            </w:tcMar>
          </w:tcPr>
          <w:p>
            <w:pPr>
              <w:spacing w:after="0"/>
            </w:pPr>
            <w:r/>
            <w:r>
              <w:rPr>
                <w:b w:val="0"/>
                <w:sz w:val="16"/>
              </w:rPr>
              <w:t>Dictionary poisoning</w:t>
            </w:r>
          </w:p>
        </w:tc>
        <w:tc>
          <w:tcPr>
            <w:tcW w:type="dxa" w:w="3600"/>
            <w:vAlign w:val="top"/>
            <w:tcMar>
              <w:top w:w="40" w:type="dxa"/>
              <w:left w:w="40" w:type="dxa"/>
              <w:bottom w:w="40" w:type="dxa"/>
              <w:right w:w="40" w:type="dxa"/>
            </w:tcMar>
          </w:tcPr>
          <w:p>
            <w:pPr>
              <w:spacing w:after="0"/>
            </w:pPr>
            <w:r/>
            <w:r>
              <w:rPr>
                <w:b w:val="0"/>
                <w:sz w:val="16"/>
              </w:rPr>
              <w:t>Receiver admits only authenticated FULL data or policy-controlled warm state.</w:t>
            </w:r>
          </w:p>
        </w:tc>
        <w:tc>
          <w:tcPr>
            <w:tcW w:type="dxa" w:w="3312"/>
            <w:vAlign w:val="top"/>
            <w:tcMar>
              <w:top w:w="40" w:type="dxa"/>
              <w:left w:w="40" w:type="dxa"/>
              <w:bottom w:w="40" w:type="dxa"/>
              <w:right w:w="40" w:type="dxa"/>
            </w:tcMar>
          </w:tcPr>
          <w:p>
            <w:pPr>
              <w:spacing w:after="0"/>
            </w:pPr>
            <w:r/>
            <w:r>
              <w:rPr>
                <w:b w:val="0"/>
                <w:sz w:val="16"/>
              </w:rPr>
              <w:t>Dictionary membership and reconstruction tests.</w:t>
            </w:r>
          </w:p>
        </w:tc>
      </w:tr>
      <w:tr>
        <w:tc>
          <w:tcPr>
            <w:tcW w:type="dxa" w:w="2016"/>
            <w:vAlign w:val="top"/>
            <w:tcMar>
              <w:top w:w="40" w:type="dxa"/>
              <w:left w:w="40" w:type="dxa"/>
              <w:bottom w:w="40" w:type="dxa"/>
              <w:right w:w="40" w:type="dxa"/>
            </w:tcMar>
          </w:tcPr>
          <w:p>
            <w:pPr>
              <w:spacing w:after="0"/>
            </w:pPr>
            <w:r/>
            <w:r>
              <w:rPr>
                <w:b w:val="0"/>
                <w:sz w:val="16"/>
              </w:rPr>
              <w:t>Expansion abuse</w:t>
            </w:r>
          </w:p>
        </w:tc>
        <w:tc>
          <w:tcPr>
            <w:tcW w:type="dxa" w:w="3600"/>
            <w:vAlign w:val="top"/>
            <w:tcMar>
              <w:top w:w="40" w:type="dxa"/>
              <w:left w:w="40" w:type="dxa"/>
              <w:bottom w:w="40" w:type="dxa"/>
              <w:right w:w="40" w:type="dxa"/>
            </w:tcMar>
          </w:tcPr>
          <w:p>
            <w:pPr>
              <w:spacing w:after="0"/>
            </w:pPr>
            <w:r/>
            <w:r>
              <w:rPr>
                <w:b w:val="0"/>
                <w:sz w:val="16"/>
              </w:rPr>
              <w:t>References expand only to negotiated chunk lengths and dictionary entries.</w:t>
            </w:r>
          </w:p>
        </w:tc>
        <w:tc>
          <w:tcPr>
            <w:tcW w:type="dxa" w:w="3312"/>
            <w:vAlign w:val="top"/>
            <w:tcMar>
              <w:top w:w="40" w:type="dxa"/>
              <w:left w:w="40" w:type="dxa"/>
              <w:bottom w:w="40" w:type="dxa"/>
              <w:right w:w="40" w:type="dxa"/>
            </w:tcMar>
          </w:tcPr>
          <w:p>
            <w:pPr>
              <w:spacing w:after="0"/>
            </w:pPr>
            <w:r/>
            <w:r>
              <w:rPr>
                <w:b w:val="0"/>
                <w:sz w:val="16"/>
              </w:rPr>
              <w:t>Accounting and reconstruction checks.</w:t>
            </w:r>
          </w:p>
        </w:tc>
      </w:tr>
      <w:tr>
        <w:tc>
          <w:tcPr>
            <w:tcW w:type="dxa" w:w="2016"/>
            <w:vAlign w:val="top"/>
            <w:tcMar>
              <w:top w:w="40" w:type="dxa"/>
              <w:left w:w="40" w:type="dxa"/>
              <w:bottom w:w="40" w:type="dxa"/>
              <w:right w:w="40" w:type="dxa"/>
            </w:tcMar>
          </w:tcPr>
          <w:p>
            <w:pPr>
              <w:spacing w:after="0"/>
            </w:pPr>
            <w:r/>
            <w:r>
              <w:rPr>
                <w:b w:val="0"/>
                <w:sz w:val="16"/>
              </w:rPr>
              <w:t>Content-existence leakage</w:t>
            </w:r>
          </w:p>
        </w:tc>
        <w:tc>
          <w:tcPr>
            <w:tcW w:type="dxa" w:w="3600"/>
            <w:vAlign w:val="top"/>
            <w:tcMar>
              <w:top w:w="40" w:type="dxa"/>
              <w:left w:w="40" w:type="dxa"/>
              <w:bottom w:w="40" w:type="dxa"/>
              <w:right w:w="40" w:type="dxa"/>
            </w:tcMar>
          </w:tcPr>
          <w:p>
            <w:pPr>
              <w:spacing w:after="0"/>
            </w:pPr>
            <w:r/>
            <w:r>
              <w:rPr>
                <w:b w:val="0"/>
                <w:sz w:val="16"/>
              </w:rPr>
              <w:t>No global private cross-user dictionary; scope is explicit policy.</w:t>
            </w:r>
          </w:p>
        </w:tc>
        <w:tc>
          <w:tcPr>
            <w:tcW w:type="dxa" w:w="3312"/>
            <w:vAlign w:val="top"/>
            <w:tcMar>
              <w:top w:w="40" w:type="dxa"/>
              <w:left w:w="40" w:type="dxa"/>
              <w:bottom w:w="40" w:type="dxa"/>
              <w:right w:w="40" w:type="dxa"/>
            </w:tcMar>
          </w:tcPr>
          <w:p>
            <w:pPr>
              <w:spacing w:after="0"/>
            </w:pPr>
            <w:r/>
            <w:r>
              <w:rPr>
                <w:b w:val="0"/>
                <w:sz w:val="16"/>
              </w:rPr>
              <w:t>Threat model and mode table.</w:t>
            </w:r>
          </w:p>
        </w:tc>
      </w:tr>
    </w:tbl>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real QUIC handshake and encryption, but it does not implement custom QUIC frame types or transport parameters.</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w:t>
      </w:r>
    </w:p>
    <w:p>
      <w:pPr>
        <w:spacing w:after="80" w:before="0"/>
      </w:pPr>
      <w:r>
        <w:rPr>
          <w:sz w:val="20"/>
        </w:rPr>
        <w:t>The compact binary format is included because the JSON baseline was intentionally readable but inflated. The binary format encodes frame type, stream id, reconstructed offset, length, chunk id, nonce, authentication tag, and payload only where required. It is still application-stream data, not QUIC extension-frame data.</w:t>
      </w:r>
    </w:p>
    <w:p>
      <w:pPr>
        <w:spacing w:after="40" w:before="120"/>
      </w:pPr>
      <w:r>
        <w:rPr>
          <w:b/>
          <w:sz w:val="18"/>
        </w:rPr>
        <w:t>Table 3. Evidence hierarchy: what each layer of evidence supports and does not prove.</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isolate predicted positive and negative workload shapes. Second, public source-release pairs test ordinary source-tree updates where ReduLink should not be assumed to help. Third, object-aligned public release experiments use the same public bytes but model registry/CDN object delivery rather than tarball synchronization. Fourth, aioquic stream experiments measure the native encrypted stream mapping on positive and negative cases.</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w:t>
      </w:r>
    </w:p>
    <w:p>
      <w:pPr>
        <w:pStyle w:val="Heading1"/>
      </w:pPr>
      <w:r>
        <w:rPr>
          <w:rFonts w:ascii="Arial" w:hAnsi="Arial"/>
        </w:rPr>
        <w:t>7. Workload Results and Baseline Interpretation</w:t>
      </w:r>
    </w:p>
    <w:p>
      <w:pPr>
        <w:spacing w:after="40" w:before="120"/>
      </w:pPr>
      <w:r>
        <w:rPr>
          <w:b/>
          <w:sz w:val="18"/>
        </w:rPr>
        <w:t>Table 4. Warm-state workload results (effective stream-payload multiplier): ReduLink versus fixed-block reuse and best compression.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60"/>
            <w:vAlign w:val="top"/>
            <w:tcMar>
              <w:top w:w="40" w:type="dxa"/>
              <w:left w:w="40" w:type="dxa"/>
              <w:bottom w:w="40" w:type="dxa"/>
              <w:right w:w="40" w:type="dxa"/>
            </w:tcMar>
          </w:tcPr>
          <w:p>
            <w:pPr>
              <w:spacing w:after="0"/>
            </w:pPr>
            <w:r/>
            <w:r>
              <w:rPr>
                <w:b/>
                <w:sz w:val="16"/>
              </w:rPr>
              <w:t>Workload</w:t>
            </w:r>
          </w:p>
        </w:tc>
        <w:tc>
          <w:tcPr>
            <w:tcW w:type="dxa" w:w="1584"/>
            <w:vAlign w:val="top"/>
            <w:tcMar>
              <w:top w:w="40" w:type="dxa"/>
              <w:left w:w="40" w:type="dxa"/>
              <w:bottom w:w="40" w:type="dxa"/>
              <w:right w:w="40" w:type="dxa"/>
            </w:tcMar>
          </w:tcPr>
          <w:p>
            <w:pPr>
              <w:spacing w:after="0"/>
            </w:pPr>
            <w:r/>
            <w:r>
              <w:rPr>
                <w:b/>
                <w:sz w:val="16"/>
              </w:rPr>
              <w:t>ReduLink</w:t>
            </w:r>
          </w:p>
        </w:tc>
        <w:tc>
          <w:tcPr>
            <w:tcW w:type="dxa" w:w="1584"/>
            <w:vAlign w:val="top"/>
            <w:tcMar>
              <w:top w:w="40" w:type="dxa"/>
              <w:left w:w="40" w:type="dxa"/>
              <w:bottom w:w="40" w:type="dxa"/>
              <w:right w:w="40" w:type="dxa"/>
            </w:tcMar>
          </w:tcPr>
          <w:p>
            <w:pPr>
              <w:spacing w:after="0"/>
            </w:pPr>
            <w:r/>
            <w:r>
              <w:rPr>
                <w:b/>
                <w:sz w:val="16"/>
              </w:rPr>
              <w:t>Fixed reuse</w:t>
            </w:r>
          </w:p>
        </w:tc>
        <w:tc>
          <w:tcPr>
            <w:tcW w:type="dxa" w:w="1872"/>
            <w:vAlign w:val="top"/>
            <w:tcMar>
              <w:top w:w="40" w:type="dxa"/>
              <w:left w:w="40" w:type="dxa"/>
              <w:bottom w:w="40" w:type="dxa"/>
              <w:right w:w="40" w:type="dxa"/>
            </w:tcMar>
          </w:tcPr>
          <w:p>
            <w:pPr>
              <w:spacing w:after="0"/>
            </w:pPr>
            <w:r/>
            <w:r>
              <w:rPr>
                <w:b/>
                <w:sz w:val="16"/>
              </w:rPr>
              <w:t>Best compression</w:t>
            </w:r>
          </w:p>
        </w:tc>
        <w:tc>
          <w:tcPr>
            <w:tcW w:type="dxa" w:w="1584"/>
            <w:vAlign w:val="top"/>
            <w:tcMar>
              <w:top w:w="40" w:type="dxa"/>
              <w:left w:w="40" w:type="dxa"/>
              <w:bottom w:w="40" w:type="dxa"/>
              <w:right w:w="40" w:type="dxa"/>
            </w:tcMar>
          </w:tcPr>
          <w:p>
            <w:pPr>
              <w:spacing w:after="0"/>
            </w:pPr>
            <w:r/>
            <w:r>
              <w:rPr>
                <w:b/>
                <w:sz w:val="16"/>
              </w:rPr>
              <w:t>RL - fixed</w:t>
            </w:r>
          </w:p>
        </w:tc>
      </w:tr>
      <w:tr>
        <w:tc>
          <w:tcPr>
            <w:tcW w:type="dxa" w:w="2160"/>
            <w:vAlign w:val="top"/>
            <w:tcMar>
              <w:top w:w="40" w:type="dxa"/>
              <w:left w:w="40" w:type="dxa"/>
              <w:bottom w:w="40" w:type="dxa"/>
              <w:right w:w="40" w:type="dxa"/>
            </w:tcMar>
          </w:tcPr>
          <w:p>
            <w:pPr>
              <w:spacing w:after="0"/>
            </w:pPr>
            <w:r/>
            <w:r>
              <w:rPr>
                <w:b w:val="0"/>
                <w:sz w:val="16"/>
              </w:rPr>
              <w:t>disk snap</w:t>
            </w:r>
          </w:p>
        </w:tc>
        <w:tc>
          <w:tcPr>
            <w:tcW w:type="dxa" w:w="1584"/>
            <w:vAlign w:val="top"/>
            <w:tcMar>
              <w:top w:w="40" w:type="dxa"/>
              <w:left w:w="40" w:type="dxa"/>
              <w:bottom w:w="40" w:type="dxa"/>
              <w:right w:w="40" w:type="dxa"/>
            </w:tcMar>
          </w:tcPr>
          <w:p>
            <w:pPr>
              <w:spacing w:after="0"/>
            </w:pPr>
            <w:r/>
            <w:r>
              <w:rPr>
                <w:b w:val="0"/>
                <w:sz w:val="16"/>
              </w:rPr>
              <w:t>28.49x</w:t>
            </w:r>
          </w:p>
        </w:tc>
        <w:tc>
          <w:tcPr>
            <w:tcW w:type="dxa" w:w="1584"/>
            <w:vAlign w:val="top"/>
            <w:tcMar>
              <w:top w:w="40" w:type="dxa"/>
              <w:left w:w="40" w:type="dxa"/>
              <w:bottom w:w="40" w:type="dxa"/>
              <w:right w:w="40" w:type="dxa"/>
            </w:tcMar>
          </w:tcPr>
          <w:p>
            <w:pPr>
              <w:spacing w:after="0"/>
            </w:pPr>
            <w:r/>
            <w:r>
              <w:rPr>
                <w:b w:val="0"/>
                <w:sz w:val="16"/>
              </w:rPr>
              <w:t>31.97x</w:t>
            </w:r>
          </w:p>
        </w:tc>
        <w:tc>
          <w:tcPr>
            <w:tcW w:type="dxa" w:w="1872"/>
            <w:vAlign w:val="top"/>
            <w:tcMar>
              <w:top w:w="40" w:type="dxa"/>
              <w:left w:w="40" w:type="dxa"/>
              <w:bottom w:w="40" w:type="dxa"/>
              <w:right w:w="40" w:type="dxa"/>
            </w:tcMar>
          </w:tcPr>
          <w:p>
            <w:pPr>
              <w:spacing w:after="0"/>
            </w:pPr>
            <w:r/>
            <w:r>
              <w:rPr>
                <w:b w:val="0"/>
                <w:sz w:val="16"/>
              </w:rPr>
              <w:t>1.06x</w:t>
            </w:r>
          </w:p>
        </w:tc>
        <w:tc>
          <w:tcPr>
            <w:tcW w:type="dxa" w:w="1584"/>
            <w:vAlign w:val="top"/>
            <w:tcMar>
              <w:top w:w="40" w:type="dxa"/>
              <w:left w:w="40" w:type="dxa"/>
              <w:bottom w:w="40" w:type="dxa"/>
              <w:right w:w="40" w:type="dxa"/>
            </w:tcMar>
          </w:tcPr>
          <w:p>
            <w:pPr>
              <w:spacing w:after="0"/>
            </w:pPr>
            <w:r/>
            <w:r>
              <w:rPr>
                <w:b w:val="0"/>
                <w:sz w:val="16"/>
              </w:rPr>
              <w:t>-3.48x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584"/>
            <w:vAlign w:val="top"/>
            <w:tcMar>
              <w:top w:w="40" w:type="dxa"/>
              <w:left w:w="40" w:type="dxa"/>
              <w:bottom w:w="40" w:type="dxa"/>
              <w:right w:w="40" w:type="dxa"/>
            </w:tcMar>
          </w:tcPr>
          <w:p>
            <w:pPr>
              <w:spacing w:after="0"/>
            </w:pPr>
            <w:r/>
            <w:r>
              <w:rPr>
                <w:b w:val="0"/>
                <w:sz w:val="16"/>
              </w:rPr>
              <w:t>11.05x</w:t>
            </w:r>
          </w:p>
        </w:tc>
        <w:tc>
          <w:tcPr>
            <w:tcW w:type="dxa" w:w="1584"/>
            <w:vAlign w:val="top"/>
            <w:tcMar>
              <w:top w:w="40" w:type="dxa"/>
              <w:left w:w="40" w:type="dxa"/>
              <w:bottom w:w="40" w:type="dxa"/>
              <w:right w:w="40" w:type="dxa"/>
            </w:tcMar>
          </w:tcPr>
          <w:p>
            <w:pPr>
              <w:spacing w:after="0"/>
            </w:pPr>
            <w:r/>
            <w:r>
              <w:rPr>
                <w:b w:val="0"/>
                <w:sz w:val="16"/>
              </w:rPr>
              <w:t>10.68x</w:t>
            </w:r>
          </w:p>
        </w:tc>
        <w:tc>
          <w:tcPr>
            <w:tcW w:type="dxa" w:w="1872"/>
            <w:vAlign w:val="top"/>
            <w:tcMar>
              <w:top w:w="40" w:type="dxa"/>
              <w:left w:w="40" w:type="dxa"/>
              <w:bottom w:w="40" w:type="dxa"/>
              <w:right w:w="40" w:type="dxa"/>
            </w:tcMar>
          </w:tcPr>
          <w:p>
            <w:pPr>
              <w:spacing w:after="0"/>
            </w:pPr>
            <w:r/>
            <w:r>
              <w:rPr>
                <w:b w:val="0"/>
                <w:sz w:val="16"/>
              </w:rPr>
              <w:t>1.50x</w:t>
            </w:r>
          </w:p>
        </w:tc>
        <w:tc>
          <w:tcPr>
            <w:tcW w:type="dxa" w:w="1584"/>
            <w:vAlign w:val="top"/>
            <w:tcMar>
              <w:top w:w="40" w:type="dxa"/>
              <w:left w:w="40" w:type="dxa"/>
              <w:bottom w:w="40" w:type="dxa"/>
              <w:right w:w="40" w:type="dxa"/>
            </w:tcMar>
          </w:tcPr>
          <w:p>
            <w:pPr>
              <w:spacing w:after="0"/>
            </w:pPr>
            <w:r/>
            <w:r>
              <w:rPr>
                <w:b w:val="0"/>
                <w:sz w:val="16"/>
              </w:rPr>
              <w:t>+0.37x</w:t>
            </w:r>
          </w:p>
        </w:tc>
      </w:tr>
      <w:tr>
        <w:tc>
          <w:tcPr>
            <w:tcW w:type="dxa" w:w="2160"/>
            <w:vAlign w:val="top"/>
            <w:tcMar>
              <w:top w:w="40" w:type="dxa"/>
              <w:left w:w="40" w:type="dxa"/>
              <w:bottom w:w="40" w:type="dxa"/>
              <w:right w:w="40" w:type="dxa"/>
            </w:tcMar>
          </w:tcPr>
          <w:p>
            <w:pPr>
              <w:spacing w:after="0"/>
            </w:pPr>
            <w:r/>
            <w:r>
              <w:rPr>
                <w:b w:val="0"/>
                <w:sz w:val="16"/>
              </w:rPr>
              <w:t>package meta</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9.88x</w:t>
            </w:r>
          </w:p>
        </w:tc>
        <w:tc>
          <w:tcPr>
            <w:tcW w:type="dxa" w:w="1872"/>
            <w:vAlign w:val="top"/>
            <w:tcMar>
              <w:top w:w="40" w:type="dxa"/>
              <w:left w:w="40" w:type="dxa"/>
              <w:bottom w:w="40" w:type="dxa"/>
              <w:right w:w="40" w:type="dxa"/>
            </w:tcMar>
          </w:tcPr>
          <w:p>
            <w:pPr>
              <w:spacing w:after="0"/>
            </w:pPr>
            <w:r/>
            <w:r>
              <w:rPr>
                <w:b w:val="0"/>
                <w:sz w:val="16"/>
              </w:rPr>
              <w:t>14.31x</w:t>
            </w:r>
          </w:p>
        </w:tc>
        <w:tc>
          <w:tcPr>
            <w:tcW w:type="dxa" w:w="1584"/>
            <w:vAlign w:val="top"/>
            <w:tcMar>
              <w:top w:w="40" w:type="dxa"/>
              <w:left w:w="40" w:type="dxa"/>
              <w:bottom w:w="40" w:type="dxa"/>
              <w:right w:w="40" w:type="dxa"/>
            </w:tcMar>
          </w:tcPr>
          <w:p>
            <w:pPr>
              <w:spacing w:after="0"/>
            </w:pPr>
            <w:r/>
            <w:r>
              <w:rPr>
                <w:b w:val="0"/>
                <w:sz w:val="16"/>
              </w:rPr>
              <w:t>-8.89x</w:t>
            </w:r>
          </w:p>
        </w:tc>
      </w:tr>
      <w:tr>
        <w:tc>
          <w:tcPr>
            <w:tcW w:type="dxa" w:w="2160"/>
            <w:vAlign w:val="top"/>
            <w:tcMar>
              <w:top w:w="40" w:type="dxa"/>
              <w:left w:w="40" w:type="dxa"/>
              <w:bottom w:w="40" w:type="dxa"/>
              <w:right w:w="40" w:type="dxa"/>
            </w:tcMar>
          </w:tcPr>
          <w:p>
            <w:pPr>
              <w:spacing w:after="0"/>
            </w:pPr>
            <w:r/>
            <w:r>
              <w:rPr>
                <w:b w:val="0"/>
                <w:sz w:val="16"/>
              </w:rPr>
              <w:t>repository snap</w:t>
            </w:r>
          </w:p>
        </w:tc>
        <w:tc>
          <w:tcPr>
            <w:tcW w:type="dxa" w:w="1584"/>
            <w:vAlign w:val="top"/>
            <w:tcMar>
              <w:top w:w="40" w:type="dxa"/>
              <w:left w:w="40" w:type="dxa"/>
              <w:bottom w:w="40" w:type="dxa"/>
              <w:right w:w="40" w:type="dxa"/>
            </w:tcMar>
          </w:tcPr>
          <w:p>
            <w:pPr>
              <w:spacing w:after="0"/>
            </w:pPr>
            <w:r/>
            <w:r>
              <w:rPr>
                <w:b w:val="0"/>
                <w:sz w:val="16"/>
              </w:rPr>
              <w:t>24.73x</w:t>
            </w:r>
          </w:p>
        </w:tc>
        <w:tc>
          <w:tcPr>
            <w:tcW w:type="dxa" w:w="1584"/>
            <w:vAlign w:val="top"/>
            <w:tcMar>
              <w:top w:w="40" w:type="dxa"/>
              <w:left w:w="40" w:type="dxa"/>
              <w:bottom w:w="40" w:type="dxa"/>
              <w:right w:w="40" w:type="dxa"/>
            </w:tcMar>
          </w:tcPr>
          <w:p>
            <w:pPr>
              <w:spacing w:after="0"/>
            </w:pPr>
            <w:r/>
            <w:r>
              <w:rPr>
                <w:b w:val="0"/>
                <w:sz w:val="16"/>
              </w:rPr>
              <w:t>24.60x</w:t>
            </w:r>
          </w:p>
        </w:tc>
        <w:tc>
          <w:tcPr>
            <w:tcW w:type="dxa" w:w="1872"/>
            <w:vAlign w:val="top"/>
            <w:tcMar>
              <w:top w:w="40" w:type="dxa"/>
              <w:left w:w="40" w:type="dxa"/>
              <w:bottom w:w="40" w:type="dxa"/>
              <w:right w:w="40" w:type="dxa"/>
            </w:tcMar>
          </w:tcPr>
          <w:p>
            <w:pPr>
              <w:spacing w:after="0"/>
            </w:pPr>
            <w:r/>
            <w:r>
              <w:rPr>
                <w:b w:val="0"/>
                <w:sz w:val="16"/>
              </w:rPr>
              <w:t>10.37x</w:t>
            </w:r>
          </w:p>
        </w:tc>
        <w:tc>
          <w:tcPr>
            <w:tcW w:type="dxa" w:w="1584"/>
            <w:vAlign w:val="top"/>
            <w:tcMar>
              <w:top w:w="40" w:type="dxa"/>
              <w:left w:w="40" w:type="dxa"/>
              <w:bottom w:w="40" w:type="dxa"/>
              <w:right w:w="40" w:type="dxa"/>
            </w:tcMar>
          </w:tcPr>
          <w:p>
            <w:pPr>
              <w:spacing w:after="0"/>
            </w:pPr>
            <w:r/>
            <w:r>
              <w:rPr>
                <w:b w:val="0"/>
                <w:sz w:val="16"/>
              </w:rPr>
              <w:t>+0.14x</w:t>
            </w:r>
          </w:p>
        </w:tc>
      </w:tr>
      <w:tr>
        <w:tc>
          <w:tcPr>
            <w:tcW w:type="dxa" w:w="2160"/>
            <w:vAlign w:val="top"/>
            <w:tcMar>
              <w:top w:w="40" w:type="dxa"/>
              <w:left w:w="40" w:type="dxa"/>
              <w:bottom w:w="40" w:type="dxa"/>
              <w:right w:w="40" w:type="dxa"/>
            </w:tcMar>
          </w:tcPr>
          <w:p>
            <w:pPr>
              <w:spacing w:after="0"/>
            </w:pPr>
            <w:r/>
            <w:r>
              <w:rPr>
                <w:b w:val="0"/>
                <w:sz w:val="16"/>
              </w:rPr>
              <w:t>logs</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14.89x</w:t>
            </w:r>
          </w:p>
        </w:tc>
        <w:tc>
          <w:tcPr>
            <w:tcW w:type="dxa" w:w="1872"/>
            <w:vAlign w:val="top"/>
            <w:tcMar>
              <w:top w:w="40" w:type="dxa"/>
              <w:left w:w="40" w:type="dxa"/>
              <w:bottom w:w="40" w:type="dxa"/>
              <w:right w:w="40" w:type="dxa"/>
            </w:tcMar>
          </w:tcPr>
          <w:p>
            <w:pPr>
              <w:spacing w:after="0"/>
            </w:pPr>
            <w:r/>
            <w:r>
              <w:rPr>
                <w:b w:val="0"/>
                <w:sz w:val="16"/>
              </w:rPr>
              <w:t>18.01x</w:t>
            </w:r>
          </w:p>
        </w:tc>
        <w:tc>
          <w:tcPr>
            <w:tcW w:type="dxa" w:w="1584"/>
            <w:vAlign w:val="top"/>
            <w:tcMar>
              <w:top w:w="40" w:type="dxa"/>
              <w:left w:w="40" w:type="dxa"/>
              <w:bottom w:w="40" w:type="dxa"/>
              <w:right w:w="40" w:type="dxa"/>
            </w:tcMar>
          </w:tcPr>
          <w:p>
            <w:pPr>
              <w:spacing w:after="0"/>
            </w:pPr>
            <w:r/>
            <w:r>
              <w:rPr>
                <w:b w:val="0"/>
                <w:sz w:val="16"/>
              </w:rPr>
              <w:t>-13.89x</w:t>
            </w:r>
          </w:p>
        </w:tc>
      </w:tr>
      <w:tr>
        <w:tc>
          <w:tcPr>
            <w:tcW w:type="dxa" w:w="2160"/>
            <w:vAlign w:val="top"/>
            <w:tcMar>
              <w:top w:w="40" w:type="dxa"/>
              <w:left w:w="40" w:type="dxa"/>
              <w:bottom w:w="40" w:type="dxa"/>
              <w:right w:w="40" w:type="dxa"/>
            </w:tcMar>
          </w:tcPr>
          <w:p>
            <w:pPr>
              <w:spacing w:after="0"/>
            </w:pPr>
            <w:r/>
            <w:r>
              <w:rPr>
                <w:b w:val="0"/>
                <w:sz w:val="16"/>
              </w:rPr>
              <w:t>compressed neg</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1.00x</w:t>
            </w:r>
          </w:p>
        </w:tc>
        <w:tc>
          <w:tcPr>
            <w:tcW w:type="dxa" w:w="1872"/>
            <w:vAlign w:val="top"/>
            <w:tcMar>
              <w:top w:w="40" w:type="dxa"/>
              <w:left w:w="40" w:type="dxa"/>
              <w:bottom w:w="40" w:type="dxa"/>
              <w:right w:w="40" w:type="dxa"/>
            </w:tcMar>
          </w:tcPr>
          <w:p>
            <w:pPr>
              <w:spacing w:after="0"/>
            </w:pPr>
            <w:r/>
            <w:r>
              <w:rPr>
                <w:b w:val="0"/>
                <w:sz w:val="16"/>
              </w:rPr>
              <w:t>1.00x</w:t>
            </w:r>
          </w:p>
        </w:tc>
        <w:tc>
          <w:tcPr>
            <w:tcW w:type="dxa" w:w="1584"/>
            <w:vAlign w:val="top"/>
            <w:tcMar>
              <w:top w:w="40" w:type="dxa"/>
              <w:left w:w="40" w:type="dxa"/>
              <w:bottom w:w="40" w:type="dxa"/>
              <w:right w:w="40" w:type="dxa"/>
            </w:tcMar>
          </w:tcPr>
          <w:p>
            <w:pPr>
              <w:spacing w:after="0"/>
            </w:pPr>
            <w:r/>
            <w:r>
              <w:rPr>
                <w:b w:val="0"/>
                <w:sz w:val="16"/>
              </w:rPr>
              <w:t>-0.01x</w:t>
            </w:r>
          </w:p>
        </w:tc>
      </w:tr>
    </w:tbl>
    <w:p/>
    <w:p>
      <w:pPr>
        <w:spacing w:after="80" w:before="0"/>
      </w:pPr>
      <w:r>
        <w:rPr>
          <w:sz w:val="20"/>
        </w:rPr>
        <w:t>The table is the interpretation guard. On most byte-stable workloads, fixed-block reuse matches or beats ReduLink. The distinct ReduLink contribution is not superior matching; it is authenticated, scoped, stream-compatible reference substitution with explicit repair and privacy rules.</w:t>
      </w:r>
    </w:p>
    <w:p>
      <w:pPr>
        <w:pStyle w:val="Heading2"/>
      </w:pPr>
      <w:r>
        <w:rPr>
          <w:rFonts w:ascii="Arial" w:hAnsi="Arial"/>
        </w:rPr>
        <w:t>7.1 External Public Source Releases</w:t>
      </w:r>
    </w:p>
    <w:p>
      <w:pPr>
        <w:spacing w:after="40" w:before="120"/>
      </w:pPr>
      <w:r>
        <w:rPr>
          <w:b/>
          <w:sz w:val="18"/>
        </w:rPr>
        <w:t>Table 5.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spacing w:after="80" w:before="0"/>
      </w:pPr>
      <w:r>
        <w:rPr>
          <w:sz w:val="20"/>
        </w:rPr>
        <w:t>The independent source-release pairs are negative for ReduLink and strongly positive for rsync. This is an important result. Ordinary related source trees are better served by file-oriented delta transfer than by stream-level reference substitution.</w:t>
      </w:r>
    </w:p>
    <w:p>
      <w:pPr>
        <w:pStyle w:val="Heading2"/>
      </w:pPr>
      <w:r>
        <w:rPr>
          <w:rFonts w:ascii="Arial" w:hAnsi="Arial"/>
        </w:rPr>
        <w:t>7.2 Object-Aligned Public Release Transfers</w:t>
      </w:r>
    </w:p>
    <w:p>
      <w:pPr>
        <w:spacing w:after="40" w:before="120"/>
      </w:pPr>
      <w:r>
        <w:rPr>
          <w:b/>
          <w:sz w:val="18"/>
        </w:rPr>
        <w:t>Table 6. Object-aligned public release transfers modeling registry/CDN object delivery.</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spacing w:after="80" w:before="0"/>
      </w:pPr>
      <w:r>
        <w:rPr>
          <w:sz w:val="20"/>
        </w:rPr>
        <w:t>This experiment uses the same public release tarballs but changes the transfer abstraction. Files are treated as object records and chunked independently, modeling registry/CDN object delivery rather than raw tarball or source-tree synchronization. Redis and nginx show positive ReduLink results because many public release objects remain byte-identical; Click is weaker because fewer files are unchanged. This is a stronger external positive signal than a purely synthetic corpus, but it is still not a captured production trace.</w:t>
      </w:r>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40" w:before="120"/>
      </w:pPr>
      <w:r>
        <w:rPr>
          <w:b/>
          <w:sz w:val="18"/>
        </w:rPr>
        <w:t>Table 7. Layer-like external-positive case derived from public Redis release bytes.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spacing w:after="80" w:before="0"/>
      </w:pPr>
      <w:r>
        <w:rPr>
          <w:sz w:val="20"/>
        </w:rPr>
        <w:t>The Redis-layered case is derived from included public Redis release bytes and aligned changed blocks. It is not a production trace; its role is to test the predicted positive case for layer-like objects where stable chunks remain aligned.</w:t>
      </w:r>
    </w:p>
    <w:p>
      <w:pPr>
        <w:pStyle w:val="Heading2"/>
      </w:pPr>
      <w:r>
        <w:rPr>
          <w:rFonts w:ascii="Arial" w:hAnsi="Arial"/>
        </w:rPr>
        <w:t>7.4 Block-Size Sensitivity</w:t>
      </w:r>
    </w:p>
    <w:p>
      <w:pPr>
        <w:spacing w:after="40" w:before="120"/>
      </w:pPr>
      <w:r>
        <w:rPr>
          <w:b/>
          <w:sz w:val="18"/>
        </w:rPr>
        <w:t>Table 8. Block-size sensitivity of the effective multiplier (fixed chunking).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spacing w:after="80" w:before="0"/>
      </w:pPr>
      <w:r>
        <w:rPr>
          <w:sz w:val="20"/>
        </w:rPr>
        <w:t>The best block size is workload-dependent. The artifact therefore treats 4 KiB as a reproducible default, not as a universal optimum.</w:t>
      </w:r>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4. Block-size sensitivity of the effective multiplier for fixed chunking across three warm-update fixtures.</w:t>
      </w:r>
    </w:p>
    <w:p>
      <w:pPr>
        <w:pStyle w:val="Heading1"/>
      </w:pPr>
      <w:r>
        <w:rPr>
          <w:rFonts w:ascii="Arial" w:hAnsi="Arial"/>
        </w:rPr>
        <w:t>8. Native QUIC Experiments</w:t>
      </w:r>
    </w:p>
    <w:p>
      <w:pPr>
        <w:spacing w:after="40" w:before="120"/>
      </w:pPr>
      <w:r>
        <w:rPr>
          <w:b/>
          <w:sz w:val="18"/>
        </w:rPr>
        <w:t>Table 9.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10. Native aioquic stream mapping across positive and negative workload cases.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3. Native aioquic stream mapping on positive and negative workload cases.</w:t>
      </w:r>
    </w:p>
    <w:p>
      <w:pPr>
        <w:spacing w:after="40" w:before="120"/>
      </w:pPr>
      <w:r>
        <w:rPr>
          <w:b/>
          <w:sz w:val="18"/>
        </w:rPr>
        <w:t>Table 11. Repeated native QUIC trials (n = 3): run-to-run stability of multipliers and elapsed time.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80" w:before="0"/>
      </w:pPr>
      <w:r>
        <w:rPr>
          <w:sz w:val="20"/>
        </w:rPr>
        <w:t>The repeated-trial table is intentionally small but avoids reporting only one favorable QUIC run. The multiplier is deterministic for fixed bytes, while elapsed times vary across runs.</w:t>
      </w:r>
    </w:p>
    <w:p>
      <w:pPr>
        <w:pStyle w:val="Heading1"/>
      </w:pPr>
      <w:r>
        <w:rPr>
          <w:rFonts w:ascii="Arial" w:hAnsi="Arial"/>
        </w:rPr>
        <w:t>9. Component Costs</w:t>
      </w:r>
    </w:p>
    <w:p>
      <w:pPr>
        <w:spacing w:after="40" w:before="120"/>
      </w:pPr>
      <w:r>
        <w:rPr>
          <w:b/>
          <w:sz w:val="18"/>
        </w:rPr>
        <w:t>Table 12.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spacing w:after="80" w:before="0"/>
      </w:pPr>
      <w:r>
        <w:rPr>
          <w:sz w:val="20"/>
        </w:rPr>
        <w:t>The Python CDC implementation is slow and is not production line-rate evidence. Fixed chunking, HMAC validation, and compact binary encoding are much faster in the local artifact. A production implementation would require optimized native chunking and tighter integration with the transport stack.</w:t>
      </w:r>
    </w:p>
    <w:p>
      <w:pPr>
        <w:pStyle w:val="Heading1"/>
      </w:pPr>
      <w:r>
        <w:rPr>
          <w:rFonts w:ascii="Arial" w:hAnsi="Arial"/>
        </w:rPr>
        <w:t>10. Fairness and Accounting</w:t>
      </w:r>
    </w:p>
    <w:p>
      <w:pPr>
        <w:spacing w:after="80" w:before="0"/>
      </w:pPr>
      <w:r>
        <w:rPr>
          <w:sz w:val="20"/>
        </w:rPr>
        <w:t>ReduLink must not receive congestion credit for reconstructed bytes. Congestion control and bottleneck accounting count encoded bytes. The package includes wire-byte accounting, QUIC smoke experiments, local UDP/IPv4 byte estimates, and bottleneck emulation. It does not include a full tc/netem or Mininet congestion-control study.</w:t>
      </w:r>
    </w:p>
    <w:p>
      <w:pPr>
        <w:spacing w:after="40" w:before="120"/>
      </w:pPr>
      <w:r>
        <w:rPr>
          <w:b/>
          <w:sz w:val="18"/>
        </w:rPr>
        <w:t>Table 13. Fairness and accounting summary.</w:t>
      </w:r>
    </w:p>
    <w:tbl>
      <w:tblPr>
        <w:tblStyle w:val="TableGrid"/>
        <w:tblW w:type="auto" w:w="0"/>
        <w:jc w:val="center"/>
        <w:tblLook w:firstColumn="1" w:firstRow="1" w:lastColumn="0" w:lastRow="0" w:noHBand="0" w:noVBand="1" w:val="04A0"/>
      </w:tblPr>
      <w:tblGrid>
        <w:gridCol w:w="5328"/>
        <w:gridCol w:w="5328"/>
      </w:tblGrid>
      <w:tr>
        <w:tc>
          <w:tcPr>
            <w:tcW w:type="dxa" w:w="5328"/>
            <w:vAlign w:val="top"/>
            <w:tcMar>
              <w:top w:w="40" w:type="dxa"/>
              <w:left w:w="40" w:type="dxa"/>
              <w:bottom w:w="40" w:type="dxa"/>
              <w:right w:w="40" w:type="dxa"/>
            </w:tcMar>
          </w:tcPr>
          <w:p>
            <w:pPr>
              <w:spacing w:after="0"/>
            </w:pPr>
            <w:r/>
            <w:r>
              <w:rPr>
                <w:b/>
                <w:sz w:val="16"/>
              </w:rPr>
              <w:t>Metric</w:t>
            </w:r>
          </w:p>
        </w:tc>
        <w:tc>
          <w:tcPr>
            <w:tcW w:type="dxa" w:w="5328"/>
            <w:vAlign w:val="top"/>
            <w:tcMar>
              <w:top w:w="40" w:type="dxa"/>
              <w:left w:w="40" w:type="dxa"/>
              <w:bottom w:w="40" w:type="dxa"/>
              <w:right w:w="40" w:type="dxa"/>
            </w:tcMar>
          </w:tcPr>
          <w:p>
            <w:pPr>
              <w:spacing w:after="0"/>
            </w:pPr>
            <w:r/>
            <w:r>
              <w:rPr>
                <w:b/>
                <w:sz w:val="16"/>
              </w:rPr>
              <w:t>Value</w:t>
            </w:r>
          </w:p>
        </w:tc>
      </w:tr>
      <w:tr>
        <w:tc>
          <w:tcPr>
            <w:tcW w:type="dxa" w:w="5328"/>
            <w:vAlign w:val="top"/>
            <w:tcMar>
              <w:top w:w="40" w:type="dxa"/>
              <w:left w:w="40" w:type="dxa"/>
              <w:bottom w:w="40" w:type="dxa"/>
              <w:right w:w="40" w:type="dxa"/>
            </w:tcMar>
          </w:tcPr>
          <w:p>
            <w:pPr>
              <w:spacing w:after="0"/>
            </w:pPr>
            <w:r/>
            <w:r>
              <w:rPr>
                <w:b w:val="0"/>
                <w:sz w:val="16"/>
              </w:rPr>
              <w:t>Fairness rule</w:t>
            </w:r>
          </w:p>
        </w:tc>
        <w:tc>
          <w:tcPr>
            <w:tcW w:type="dxa" w:w="5328"/>
            <w:vAlign w:val="top"/>
            <w:tcMar>
              <w:top w:w="40" w:type="dxa"/>
              <w:left w:w="40" w:type="dxa"/>
              <w:bottom w:w="40" w:type="dxa"/>
              <w:right w:w="40" w:type="dxa"/>
            </w:tcMar>
          </w:tcPr>
          <w:p>
            <w:pPr>
              <w:spacing w:after="0"/>
            </w:pPr>
            <w:r/>
            <w:r>
              <w:rPr>
                <w:b w:val="0"/>
                <w:sz w:val="16"/>
              </w:rPr>
              <w:t>Congestion counts encoded bytes, not reconstructed bytes</w:t>
            </w:r>
          </w:p>
        </w:tc>
      </w:tr>
      <w:tr>
        <w:tc>
          <w:tcPr>
            <w:tcW w:type="dxa" w:w="5328"/>
            <w:vAlign w:val="top"/>
            <w:tcMar>
              <w:top w:w="40" w:type="dxa"/>
              <w:left w:w="40" w:type="dxa"/>
              <w:bottom w:w="40" w:type="dxa"/>
              <w:right w:w="40" w:type="dxa"/>
            </w:tcMar>
          </w:tcPr>
          <w:p>
            <w:pPr>
              <w:spacing w:after="0"/>
            </w:pPr>
            <w:r/>
            <w:r>
              <w:rPr>
                <w:b w:val="0"/>
                <w:sz w:val="16"/>
              </w:rPr>
              <w:t>Live congestion-control study</w:t>
            </w:r>
          </w:p>
        </w:tc>
        <w:tc>
          <w:tcPr>
            <w:tcW w:type="dxa" w:w="5328"/>
            <w:vAlign w:val="top"/>
            <w:tcMar>
              <w:top w:w="40" w:type="dxa"/>
              <w:left w:w="40" w:type="dxa"/>
              <w:bottom w:w="40" w:type="dxa"/>
              <w:right w:w="40" w:type="dxa"/>
            </w:tcMar>
          </w:tcPr>
          <w:p>
            <w:pPr>
              <w:spacing w:after="0"/>
            </w:pPr>
            <w:r/>
            <w:r>
              <w:rPr>
                <w:b w:val="0"/>
                <w:sz w:val="16"/>
              </w:rPr>
              <w:t>Not included</w:t>
            </w:r>
          </w:p>
        </w:tc>
      </w:tr>
      <w:tr>
        <w:tc>
          <w:tcPr>
            <w:tcW w:type="dxa" w:w="5328"/>
            <w:vAlign w:val="top"/>
            <w:tcMar>
              <w:top w:w="40" w:type="dxa"/>
              <w:left w:w="40" w:type="dxa"/>
              <w:bottom w:w="40" w:type="dxa"/>
              <w:right w:w="40" w:type="dxa"/>
            </w:tcMar>
          </w:tcPr>
          <w:p>
            <w:pPr>
              <w:spacing w:after="0"/>
            </w:pPr>
            <w:r/>
            <w:r>
              <w:rPr>
                <w:b w:val="0"/>
                <w:sz w:val="16"/>
              </w:rPr>
              <w:t>Accounting layer</w:t>
            </w:r>
          </w:p>
        </w:tc>
        <w:tc>
          <w:tcPr>
            <w:tcW w:type="dxa" w:w="5328"/>
            <w:vAlign w:val="top"/>
            <w:tcMar>
              <w:top w:w="40" w:type="dxa"/>
              <w:left w:w="40" w:type="dxa"/>
              <w:bottom w:w="40" w:type="dxa"/>
              <w:right w:w="40" w:type="dxa"/>
            </w:tcMar>
          </w:tcPr>
          <w:p>
            <w:pPr>
              <w:spacing w:after="0"/>
            </w:pPr>
            <w:r/>
            <w:r>
              <w:rPr>
                <w:b w:val="0"/>
                <w:sz w:val="16"/>
              </w:rPr>
              <w:t>Stream payload and local UDP/IPv4 estimate</w:t>
            </w:r>
          </w:p>
        </w:tc>
      </w:tr>
    </w:tbl>
    <w:p/>
    <w:p>
      <w:pPr>
        <w:pStyle w:val="Heading1"/>
      </w:pPr>
      <w:r>
        <w:rPr>
          <w:rFonts w:ascii="Arial" w:hAnsi="Arial"/>
        </w:rPr>
        <w:t>11. Why Not Just Compress or Use rsync?</w:t>
      </w:r>
    </w:p>
    <w:p>
      <w:pPr>
        <w:spacing w:after="80" w:before="0"/>
      </w:pPr>
      <w:r>
        <w:rPr>
          <w:sz w:val="20"/>
        </w:rPr>
        <w:t>Compression is best when repetition is local to one object. rsync is best when both endpoints share a file tree or file object and can run a delta protocol. The ReduLink use case is different: encrypted endpoint streams where dictionary state is already available at the receiver, but the transfer is not naturally a file-tree synchronization session.</w:t>
      </w:r>
    </w:p>
    <w:p>
      <w:pPr>
        <w:spacing w:after="80" w:before="0"/>
      </w:pPr>
      <w:r>
        <w:rPr>
          <w:sz w:val="20"/>
        </w:rPr>
        <w:t>The evaluation confirms the boundary. On source-release trees, rsync dominates. On package metadata and logs, compression or fixed-block reuse dominates. On object-aligned public releases and layer-like byte-stable objects, ReduLink provides authenticated reference substitution at modest overhead over a simple fixed-reference baseline. The practical motivation is security/context binding and stream compatibility, not beating rsync in rsync-shaped deployments.</w:t>
      </w:r>
    </w:p>
    <w:p>
      <w:pPr>
        <w:spacing w:after="80" w:before="0"/>
      </w:pPr>
      <w:r>
        <w:rPr>
          <w:sz w:val="20"/>
        </w:rPr>
        <w:t>The motivating cases are therefore not arbitrary file synchronization. They are stream-serving cases in which the endpoint already knows that a receiver has a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w:t>
      </w:r>
    </w:p>
    <w:p>
      <w:pPr>
        <w:pStyle w:val="Heading1"/>
      </w:pPr>
      <w:r>
        <w:rPr>
          <w:rFonts w:ascii="Arial" w:hAnsi="Arial"/>
        </w:rPr>
        <w:t>12. Limitations and Future Work</w:t>
      </w:r>
    </w:p>
    <w:p>
      <w:pPr>
        <w:spacing w:after="80" w:before="0"/>
      </w:pPr>
      <w:r>
        <w:rPr>
          <w:sz w:val="20"/>
        </w:rPr>
        <w:t>The implementation maps ReduLink into QUIC streams rather than adding custom QUIC extension frames or transport parameters. It uses an exporter-style key schedule model rather than live QUIC TLS exporter bytes. The public object-sequence workload is derived from real release bytes, but it is still a transfer-model experiment rather than a captured production trace. The fairness evidence remains conservative and does not replace a full network-emulator congestion study.</w:t>
      </w:r>
    </w:p>
    <w:p>
      <w:pPr>
        <w:spacing w:after="80" w:before="0"/>
      </w:pPr>
      <w:r>
        <w:rPr>
          <w:sz w:val="20"/>
        </w:rPr>
        <w:t>Future work should add custom QUIC frame integration, live exporter-derived keys, tc/netem or Mininet fairness experiments, packet capture, and independently captured registry or backup traces.</w:t>
      </w:r>
    </w:p>
    <w:p>
      <w:pPr>
        <w:pStyle w:val="Heading1"/>
      </w:pPr>
      <w:r>
        <w:rPr>
          <w:rFonts w:ascii="Arial" w:hAnsi="Arial"/>
        </w:rPr>
        <w:t>13.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Full validation is: python3 scripts/run_full_validation.py. Aioquic tests skip gracefully when aioquic is unavailable; installing requirements-dev.txt enables complete QUIC stream validation.</w:t>
      </w:r>
    </w:p>
    <w:p>
      <w:pPr>
        <w:pStyle w:val="Heading1"/>
      </w:pPr>
      <w:r>
        <w:rPr>
          <w:rFonts w:ascii="Arial" w:hAnsi="Arial"/>
        </w:rPr>
        <w:t>14. Conclusion</w:t>
      </w:r>
    </w:p>
    <w:p>
      <w:pPr>
        <w:spacing w:after="80" w:before="0"/>
      </w:pPr>
      <w:r>
        <w:rPr>
          <w:sz w:val="20"/>
        </w:rPr>
        <w:t>ReduLink is best understood as authenticated, scoped reference substitution for encrypted endpoint streams. Its byte savings are conditional and often reproduced or exceeded by simpler fixed-block reuse, compression, or rsync. The contribution is to make reference substitution explicit, authenticated, privacy-scoped, repairable, and compatible with native QUIC stream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in this paper is regenerated from the committed result files by the build and validation scripts,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GitHub repository,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v2.8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