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package version-pair study, a formal security analysis of the reference-authentication construction, a measured full-duplex shared-bottleneck path emulation, and a native miss-rate sensitivity sweep. The emulation corrects an earlier half-duplex measurement of ours: on byte-stable content ReduLink's fewer encoded bytes do shorten completion time on a constrained shared link (0.65x of the raw flow at 5 Mbps, converging as the link uncongests), but on a real repair-heavy layered workload the MISS/repair round trips can instead make it slower (up to 1.27x on a low-bandwidth high-RTT path), so the completion-time effect depends on both the link and the miss rate.</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24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three repeated trials of the native demo workload. The multiplier is near-deterministic for fixed bytes (encoded bytes vary by at most one byte across rounds from control-message framing), while elapsed times vary modestly across runs; reporting both avoids cherry-picking a single favorable QUIC run; with only three trials these are run-to-run stability indicators rather than a statistically powered variance estimate.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12 rounds. Across the measured rounds the reconstructed-rate Jain index [25] is 0.923 and the encoded-rate index is 0.722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and Table 21 varies the semantic miss rate on one constrained point. Table 22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twelve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12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0.722</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0.923</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20 adds rate and delay to the same harness as a measured emulation: both flows run concurrently through a full-duplex shared bottleneck (one token bucket per direction plus one-way propagation delay), sweeping 5 and 20 Mbps against 20 and 80 ms RTT with five rounds per point. This corrects a methodological error we reported in an earlier version. Our first shaper used a single half-duplex bucket, which forced ReduLink's reverse MISS/repair traffic to serialize behind the raw flow's forward bulk data and produced a spurious finding that ReduLink completed about 74 percent slower at 5 Mbps. With a correct full-duplex link the result reverses on byte-stable content: ReduLink completes in 0.65 of the raw flow's time at 5 Mbps with 20 ms RTT (1022 versus 1562 ms) because it puts fewer bytes on the constrained link, and the two flows converge to within about one percent as the link uncongests at 20 Mbps. We report this reversal openly because it is the point: emulation topology, not just byte counts, determines completion time.</w:t>
      </w:r>
    </w:p>
    <w:p>
      <w:pPr>
        <w:spacing w:after="80" w:before="0"/>
      </w:pPr>
      <w:r>
        <w:rPr>
          <w:sz w:val="20"/>
        </w:rPr>
        <w:t>The completion-time benefit is nonetheless conditional on the miss rate, which Table 20 also shows by pushing real Redis-layered public bytes through the same path instead of the byte-stable demo. That workload punctures the dictionary heavily (72 semantic misses), so ReduLink's payload-bearing repairs and their reverse round trips erode the byte savings: it runs 1.11x to 1.27x slower than raw on the low-bandwidth rows and only overtakes raw (0.85x) when bandwidth is ample and the path is RTT-bound. Reconstruction is byte-exact in every round; encoded-rate Jain indices stay between 0.69 and 0.89. The honest synthesis is therefore neither the promotional fewer-bytes-so-faster nor our earlier artifactual always-slower: on a fair full-duplex link, ReduLink's byte savings shorten completion time when repair traffic is low and are offset by MISS and repair round trips when the warm dictionary is heavily punctured. Fairness itself is unaffected: both flows use identical NewReno stacks, so ReduLink can never gain congestion credit for reconstructed bytes.</w:t>
      </w:r>
    </w:p>
    <w:p>
      <w:pPr>
        <w:spacing w:after="40" w:before="120"/>
      </w:pPr>
      <w:r>
        <w:rPr>
          <w:b/>
          <w:sz w:val="18"/>
        </w:rPr>
        <w:t>Table 20. Measured full-duplex shared-bottleneck path emulation: mean completion time (ms, +/- s.d.) for competing raw and ReduLink flows on byte-stable demo bytes (five rounds) and real Redis-layered bytes (three rounds).</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1561.6±96.4</w:t>
            </w:r>
          </w:p>
        </w:tc>
        <w:tc>
          <w:tcPr>
            <w:tcW w:type="dxa" w:w="1584"/>
            <w:vAlign w:val="top"/>
            <w:tcMar>
              <w:top w:w="40" w:type="dxa"/>
              <w:left w:w="40" w:type="dxa"/>
              <w:bottom w:w="40" w:type="dxa"/>
              <w:right w:w="40" w:type="dxa"/>
            </w:tcMar>
          </w:tcPr>
          <w:p>
            <w:pPr>
              <w:spacing w:after="0"/>
            </w:pPr>
            <w:r/>
            <w:r>
              <w:rPr>
                <w:b w:val="0"/>
                <w:sz w:val="14"/>
              </w:rPr>
              <w:t>1021.8±23.1</w:t>
            </w:r>
          </w:p>
        </w:tc>
        <w:tc>
          <w:tcPr>
            <w:tcW w:type="dxa" w:w="1008"/>
            <w:vAlign w:val="top"/>
            <w:tcMar>
              <w:top w:w="40" w:type="dxa"/>
              <w:left w:w="40" w:type="dxa"/>
              <w:bottom w:w="40" w:type="dxa"/>
              <w:right w:w="40" w:type="dxa"/>
            </w:tcMar>
          </w:tcPr>
          <w:p>
            <w:pPr>
              <w:spacing w:after="0"/>
            </w:pPr>
            <w:r/>
            <w:r>
              <w:rPr>
                <w:b w:val="0"/>
                <w:sz w:val="14"/>
              </w:rPr>
              <w:t>0.65x</w:t>
            </w:r>
          </w:p>
        </w:tc>
        <w:tc>
          <w:tcPr>
            <w:tcW w:type="dxa" w:w="1152"/>
            <w:vAlign w:val="top"/>
            <w:tcMar>
              <w:top w:w="40" w:type="dxa"/>
              <w:left w:w="40" w:type="dxa"/>
              <w:bottom w:w="40" w:type="dxa"/>
              <w:right w:w="40" w:type="dxa"/>
            </w:tcMar>
          </w:tcPr>
          <w:p>
            <w:pPr>
              <w:spacing w:after="0"/>
            </w:pPr>
            <w:r/>
            <w:r>
              <w:rPr>
                <w:b w:val="0"/>
                <w:sz w:val="14"/>
              </w:rPr>
              <w:t>0.889</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1244.7±19.6</w:t>
            </w:r>
          </w:p>
        </w:tc>
        <w:tc>
          <w:tcPr>
            <w:tcW w:type="dxa" w:w="1584"/>
            <w:vAlign w:val="top"/>
            <w:tcMar>
              <w:top w:w="40" w:type="dxa"/>
              <w:left w:w="40" w:type="dxa"/>
              <w:bottom w:w="40" w:type="dxa"/>
              <w:right w:w="40" w:type="dxa"/>
            </w:tcMar>
          </w:tcPr>
          <w:p>
            <w:pPr>
              <w:spacing w:after="0"/>
            </w:pPr>
            <w:r/>
            <w:r>
              <w:rPr>
                <w:b w:val="0"/>
                <w:sz w:val="14"/>
              </w:rPr>
              <w:t>1048.7±21.8</w:t>
            </w:r>
          </w:p>
        </w:tc>
        <w:tc>
          <w:tcPr>
            <w:tcW w:type="dxa" w:w="1008"/>
            <w:vAlign w:val="top"/>
            <w:tcMar>
              <w:top w:w="40" w:type="dxa"/>
              <w:left w:w="40" w:type="dxa"/>
              <w:bottom w:w="40" w:type="dxa"/>
              <w:right w:w="40" w:type="dxa"/>
            </w:tcMar>
          </w:tcPr>
          <w:p>
            <w:pPr>
              <w:spacing w:after="0"/>
            </w:pPr>
            <w:r/>
            <w:r>
              <w:rPr>
                <w:b w:val="0"/>
                <w:sz w:val="14"/>
              </w:rPr>
              <w:t>0.84x</w:t>
            </w:r>
          </w:p>
        </w:tc>
        <w:tc>
          <w:tcPr>
            <w:tcW w:type="dxa" w:w="1152"/>
            <w:vAlign w:val="top"/>
            <w:tcMar>
              <w:top w:w="40" w:type="dxa"/>
              <w:left w:w="40" w:type="dxa"/>
              <w:bottom w:w="40" w:type="dxa"/>
              <w:right w:w="40" w:type="dxa"/>
            </w:tcMar>
          </w:tcPr>
          <w:p>
            <w:pPr>
              <w:spacing w:after="0"/>
            </w:pPr>
            <w:r/>
            <w:r>
              <w:rPr>
                <w:b w:val="0"/>
                <w:sz w:val="14"/>
              </w:rPr>
              <w:t>0.827</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318.7±16.9</w:t>
            </w:r>
          </w:p>
        </w:tc>
        <w:tc>
          <w:tcPr>
            <w:tcW w:type="dxa" w:w="1584"/>
            <w:vAlign w:val="top"/>
            <w:tcMar>
              <w:top w:w="40" w:type="dxa"/>
              <w:left w:w="40" w:type="dxa"/>
              <w:bottom w:w="40" w:type="dxa"/>
              <w:right w:w="40" w:type="dxa"/>
            </w:tcMar>
          </w:tcPr>
          <w:p>
            <w:pPr>
              <w:spacing w:after="0"/>
            </w:pPr>
            <w:r/>
            <w:r>
              <w:rPr>
                <w:b w:val="0"/>
                <w:sz w:val="14"/>
              </w:rPr>
              <w:t>323.4±10.5</w:t>
            </w:r>
          </w:p>
        </w:tc>
        <w:tc>
          <w:tcPr>
            <w:tcW w:type="dxa" w:w="1008"/>
            <w:vAlign w:val="top"/>
            <w:tcMar>
              <w:top w:w="40" w:type="dxa"/>
              <w:left w:w="40" w:type="dxa"/>
              <w:bottom w:w="40" w:type="dxa"/>
              <w:right w:w="40" w:type="dxa"/>
            </w:tcMar>
          </w:tcPr>
          <w:p>
            <w:pPr>
              <w:spacing w:after="0"/>
            </w:pPr>
            <w:r/>
            <w:r>
              <w:rPr>
                <w:b w:val="0"/>
                <w:sz w:val="14"/>
              </w:rPr>
              <w:t>1.01x</w:t>
            </w:r>
          </w:p>
        </w:tc>
        <w:tc>
          <w:tcPr>
            <w:tcW w:type="dxa" w:w="1152"/>
            <w:vAlign w:val="top"/>
            <w:tcMar>
              <w:top w:w="40" w:type="dxa"/>
              <w:left w:w="40" w:type="dxa"/>
              <w:bottom w:w="40" w:type="dxa"/>
              <w:right w:w="40" w:type="dxa"/>
            </w:tcMar>
          </w:tcPr>
          <w:p>
            <w:pPr>
              <w:spacing w:after="0"/>
            </w:pPr>
            <w:r/>
            <w:r>
              <w:rPr>
                <w:b w:val="0"/>
                <w:sz w:val="14"/>
              </w:rPr>
              <w:t>0.782</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808.0±13.8</w:t>
            </w:r>
          </w:p>
        </w:tc>
        <w:tc>
          <w:tcPr>
            <w:tcW w:type="dxa" w:w="1584"/>
            <w:vAlign w:val="top"/>
            <w:tcMar>
              <w:top w:w="40" w:type="dxa"/>
              <w:left w:w="40" w:type="dxa"/>
              <w:bottom w:w="40" w:type="dxa"/>
              <w:right w:w="40" w:type="dxa"/>
            </w:tcMar>
          </w:tcPr>
          <w:p>
            <w:pPr>
              <w:spacing w:after="0"/>
            </w:pPr>
            <w:r/>
            <w:r>
              <w:rPr>
                <w:b w:val="0"/>
                <w:sz w:val="14"/>
              </w:rPr>
              <w:t>811.1±8.5</w:t>
            </w:r>
          </w:p>
        </w:tc>
        <w:tc>
          <w:tcPr>
            <w:tcW w:type="dxa" w:w="1008"/>
            <w:vAlign w:val="top"/>
            <w:tcMar>
              <w:top w:w="40" w:type="dxa"/>
              <w:left w:w="40" w:type="dxa"/>
              <w:bottom w:w="40" w:type="dxa"/>
              <w:right w:w="40" w:type="dxa"/>
            </w:tcMar>
          </w:tcPr>
          <w:p>
            <w:pPr>
              <w:spacing w:after="0"/>
            </w:pPr>
            <w:r/>
            <w:r>
              <w:rPr>
                <w:b w:val="0"/>
                <w:sz w:val="14"/>
              </w:rPr>
              <w:t>1.00x</w:t>
            </w:r>
          </w:p>
        </w:tc>
        <w:tc>
          <w:tcPr>
            <w:tcW w:type="dxa" w:w="1152"/>
            <w:vAlign w:val="top"/>
            <w:tcMar>
              <w:top w:w="40" w:type="dxa"/>
              <w:left w:w="40" w:type="dxa"/>
              <w:bottom w:w="40" w:type="dxa"/>
              <w:right w:w="40" w:type="dxa"/>
            </w:tcMar>
          </w:tcPr>
          <w:p>
            <w:pPr>
              <w:spacing w:after="0"/>
            </w:pPr>
            <w:r/>
            <w:r>
              <w:rPr>
                <w:b w:val="0"/>
                <w:sz w:val="14"/>
              </w:rPr>
              <w:t>0.785</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1920.2±355.6</w:t>
            </w:r>
          </w:p>
        </w:tc>
        <w:tc>
          <w:tcPr>
            <w:tcW w:type="dxa" w:w="1584"/>
            <w:vAlign w:val="top"/>
            <w:tcMar>
              <w:top w:w="40" w:type="dxa"/>
              <w:left w:w="40" w:type="dxa"/>
              <w:bottom w:w="40" w:type="dxa"/>
              <w:right w:w="40" w:type="dxa"/>
            </w:tcMar>
          </w:tcPr>
          <w:p>
            <w:pPr>
              <w:spacing w:after="0"/>
            </w:pPr>
            <w:r/>
            <w:r>
              <w:rPr>
                <w:b w:val="0"/>
                <w:sz w:val="14"/>
              </w:rPr>
              <w:t>2125.0±51.1</w:t>
            </w:r>
          </w:p>
        </w:tc>
        <w:tc>
          <w:tcPr>
            <w:tcW w:type="dxa" w:w="1008"/>
            <w:vAlign w:val="top"/>
            <w:tcMar>
              <w:top w:w="40" w:type="dxa"/>
              <w:left w:w="40" w:type="dxa"/>
              <w:bottom w:w="40" w:type="dxa"/>
              <w:right w:w="40" w:type="dxa"/>
            </w:tcMar>
          </w:tcPr>
          <w:p>
            <w:pPr>
              <w:spacing w:after="0"/>
            </w:pPr>
            <w:r/>
            <w:r>
              <w:rPr>
                <w:b w:val="0"/>
                <w:sz w:val="14"/>
              </w:rPr>
              <w:t>1.11x</w:t>
            </w:r>
          </w:p>
        </w:tc>
        <w:tc>
          <w:tcPr>
            <w:tcW w:type="dxa" w:w="1152"/>
            <w:vAlign w:val="top"/>
            <w:tcMar>
              <w:top w:w="40" w:type="dxa"/>
              <w:left w:w="40" w:type="dxa"/>
              <w:bottom w:w="40" w:type="dxa"/>
              <w:right w:w="40" w:type="dxa"/>
            </w:tcMar>
          </w:tcPr>
          <w:p>
            <w:pPr>
              <w:spacing w:after="0"/>
            </w:pPr>
            <w:r/>
            <w:r>
              <w:rPr>
                <w:b w:val="0"/>
                <w:sz w:val="14"/>
              </w:rPr>
              <w:t>0.718</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3261.4±825.4</w:t>
            </w:r>
          </w:p>
        </w:tc>
        <w:tc>
          <w:tcPr>
            <w:tcW w:type="dxa" w:w="1584"/>
            <w:vAlign w:val="top"/>
            <w:tcMar>
              <w:top w:w="40" w:type="dxa"/>
              <w:left w:w="40" w:type="dxa"/>
              <w:bottom w:w="40" w:type="dxa"/>
              <w:right w:w="40" w:type="dxa"/>
            </w:tcMar>
          </w:tcPr>
          <w:p>
            <w:pPr>
              <w:spacing w:after="0"/>
            </w:pPr>
            <w:r/>
            <w:r>
              <w:rPr>
                <w:b w:val="0"/>
                <w:sz w:val="14"/>
              </w:rPr>
              <w:t>4137.6±865.0</w:t>
            </w:r>
          </w:p>
        </w:tc>
        <w:tc>
          <w:tcPr>
            <w:tcW w:type="dxa" w:w="1008"/>
            <w:vAlign w:val="top"/>
            <w:tcMar>
              <w:top w:w="40" w:type="dxa"/>
              <w:left w:w="40" w:type="dxa"/>
              <w:bottom w:w="40" w:type="dxa"/>
              <w:right w:w="40" w:type="dxa"/>
            </w:tcMar>
          </w:tcPr>
          <w:p>
            <w:pPr>
              <w:spacing w:after="0"/>
            </w:pPr>
            <w:r/>
            <w:r>
              <w:rPr>
                <w:b w:val="0"/>
                <w:sz w:val="14"/>
              </w:rPr>
              <w:t>1.27x</w:t>
            </w:r>
          </w:p>
        </w:tc>
        <w:tc>
          <w:tcPr>
            <w:tcW w:type="dxa" w:w="1152"/>
            <w:vAlign w:val="top"/>
            <w:tcMar>
              <w:top w:w="40" w:type="dxa"/>
              <w:left w:w="40" w:type="dxa"/>
              <w:bottom w:w="40" w:type="dxa"/>
              <w:right w:w="40" w:type="dxa"/>
            </w:tcMar>
          </w:tcPr>
          <w:p>
            <w:pPr>
              <w:spacing w:after="0"/>
            </w:pPr>
            <w:r/>
            <w:r>
              <w:rPr>
                <w:b w:val="0"/>
                <w:sz w:val="14"/>
              </w:rPr>
              <w:t>0.694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1164.9±61.2</w:t>
            </w:r>
          </w:p>
        </w:tc>
        <w:tc>
          <w:tcPr>
            <w:tcW w:type="dxa" w:w="1584"/>
            <w:vAlign w:val="top"/>
            <w:tcMar>
              <w:top w:w="40" w:type="dxa"/>
              <w:left w:w="40" w:type="dxa"/>
              <w:bottom w:w="40" w:type="dxa"/>
              <w:right w:w="40" w:type="dxa"/>
            </w:tcMar>
          </w:tcPr>
          <w:p>
            <w:pPr>
              <w:spacing w:after="0"/>
            </w:pPr>
            <w:r/>
            <w:r>
              <w:rPr>
                <w:b w:val="0"/>
                <w:sz w:val="14"/>
              </w:rPr>
              <w:t>1243.0±25.4</w:t>
            </w:r>
          </w:p>
        </w:tc>
        <w:tc>
          <w:tcPr>
            <w:tcW w:type="dxa" w:w="1008"/>
            <w:vAlign w:val="top"/>
            <w:tcMar>
              <w:top w:w="40" w:type="dxa"/>
              <w:left w:w="40" w:type="dxa"/>
              <w:bottom w:w="40" w:type="dxa"/>
              <w:right w:w="40" w:type="dxa"/>
            </w:tcMar>
          </w:tcPr>
          <w:p>
            <w:pPr>
              <w:spacing w:after="0"/>
            </w:pPr>
            <w:r/>
            <w:r>
              <w:rPr>
                <w:b w:val="0"/>
                <w:sz w:val="14"/>
              </w:rPr>
              <w:t>1.07x</w:t>
            </w:r>
          </w:p>
        </w:tc>
        <w:tc>
          <w:tcPr>
            <w:tcW w:type="dxa" w:w="1152"/>
            <w:vAlign w:val="top"/>
            <w:tcMar>
              <w:top w:w="40" w:type="dxa"/>
              <w:left w:w="40" w:type="dxa"/>
              <w:bottom w:w="40" w:type="dxa"/>
              <w:right w:w="40" w:type="dxa"/>
            </w:tcMar>
          </w:tcPr>
          <w:p>
            <w:pPr>
              <w:spacing w:after="0"/>
            </w:pPr>
            <w:r/>
            <w:r>
              <w:rPr>
                <w:b w:val="0"/>
                <w:sz w:val="14"/>
              </w:rPr>
              <w:t>0.730</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1325.2±16.1</w:t>
            </w:r>
          </w:p>
        </w:tc>
        <w:tc>
          <w:tcPr>
            <w:tcW w:type="dxa" w:w="1584"/>
            <w:vAlign w:val="top"/>
            <w:tcMar>
              <w:top w:w="40" w:type="dxa"/>
              <w:left w:w="40" w:type="dxa"/>
              <w:bottom w:w="40" w:type="dxa"/>
              <w:right w:w="40" w:type="dxa"/>
            </w:tcMar>
          </w:tcPr>
          <w:p>
            <w:pPr>
              <w:spacing w:after="0"/>
            </w:pPr>
            <w:r/>
            <w:r>
              <w:rPr>
                <w:b w:val="0"/>
                <w:sz w:val="14"/>
              </w:rPr>
              <w:t>1131.5±6.2</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0.779</w:t>
            </w:r>
          </w:p>
        </w:tc>
        <w:tc>
          <w:tcPr>
            <w:tcW w:type="dxa" w:w="864"/>
            <w:vAlign w:val="top"/>
            <w:tcMar>
              <w:top w:w="40" w:type="dxa"/>
              <w:left w:w="40" w:type="dxa"/>
              <w:bottom w:w="40" w:type="dxa"/>
              <w:right w:w="40" w:type="dxa"/>
            </w:tcMar>
          </w:tcPr>
          <w:p>
            <w:pPr>
              <w:spacing w:after="0"/>
            </w:pPr>
            <w:r/>
            <w:r>
              <w:rPr>
                <w:b w:val="0"/>
                <w:sz w:val="14"/>
              </w:rPr>
              <w:t>OK</w:t>
            </w:r>
          </w:p>
        </w:tc>
      </w:tr>
    </w:tbl>
    <w:p/>
    <w:p>
      <w:pPr>
        <w:spacing w:after="80" w:before="0"/>
      </w:pPr>
      <w:r>
        <w:rPr>
          <w:sz w:val="20"/>
        </w:rPr>
        <w:t>Table 21 turns the qualitative miss-rate claim into a sensitivity check. It uses the same native aioquic stream mapping and full-duplex userspace shaper at the constrained 5 Mbps, 20 ms point, but varies receiver dictionary thinning on the byte-stable demo payload. As the semantic miss fraction rises from about 1 percent to about 49 percent, ReduLink's stream multiplier falls from 5.75x to 1.48x and the completion-time advantage narrows from roughly 0.64-0.74x to 0.85x of the raw flow. This does not replace a broader rate/RTT grid, and the first row has high raw-flow timing dispersion, but it directly supports the mechanism-level explanation: repair payloads and reverse MISS/FULL round trips progressively consume the byte-saving advantage while preserving byte-exact reconstruction.</w:t>
      </w:r>
    </w:p>
    <w:p>
      <w:pPr>
        <w:spacing w:after="40" w:before="120"/>
      </w:pPr>
      <w:r>
        <w:rPr>
          <w:b/>
          <w:sz w:val="18"/>
        </w:rPr>
        <w:t>Table 21. Native QUIC miss-rate sensitivity at 5 Mbps and 20 ms RTT on byte-stable demo bytes (three rounds per point).</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84"/>
            <w:vAlign w:val="top"/>
            <w:tcMar>
              <w:top w:w="40" w:type="dxa"/>
              <w:left w:w="40" w:type="dxa"/>
              <w:bottom w:w="40" w:type="dxa"/>
              <w:right w:w="40" w:type="dxa"/>
            </w:tcMar>
          </w:tcPr>
          <w:p>
            <w:pPr>
              <w:spacing w:after="0"/>
            </w:pPr>
            <w:r/>
            <w:r>
              <w:rPr>
                <w:b/>
                <w:sz w:val="14"/>
              </w:rPr>
              <w:t>Dictionary thinning</w:t>
            </w:r>
          </w:p>
        </w:tc>
        <w:tc>
          <w:tcPr>
            <w:tcW w:type="dxa" w:w="1296"/>
            <w:vAlign w:val="top"/>
            <w:tcMar>
              <w:top w:w="40" w:type="dxa"/>
              <w:left w:w="40" w:type="dxa"/>
              <w:bottom w:w="40" w:type="dxa"/>
              <w:right w:w="40" w:type="dxa"/>
            </w:tcMar>
          </w:tcPr>
          <w:p>
            <w:pPr>
              <w:spacing w:after="0"/>
            </w:pPr>
            <w:r/>
            <w:r>
              <w:rPr>
                <w:b/>
                <w:sz w:val="14"/>
              </w:rPr>
              <w:t>Miss fraction</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Stream x</w:t>
            </w:r>
          </w:p>
        </w:tc>
        <w:tc>
          <w:tcPr>
            <w:tcW w:type="dxa" w:w="864"/>
            <w:vAlign w:val="top"/>
            <w:tcMar>
              <w:top w:w="40" w:type="dxa"/>
              <w:left w:w="40" w:type="dxa"/>
              <w:bottom w:w="40" w:type="dxa"/>
              <w:right w:w="40" w:type="dxa"/>
            </w:tcMar>
          </w:tcPr>
          <w:p>
            <w:pPr>
              <w:spacing w:after="0"/>
            </w:pPr>
            <w:r/>
            <w:r>
              <w:rPr>
                <w:b/>
                <w:sz w:val="14"/>
              </w:rPr>
              <w:t>Recon.</w:t>
            </w:r>
          </w:p>
        </w:tc>
      </w:tr>
      <w:tr>
        <w:tc>
          <w:tcPr>
            <w:tcW w:type="dxa" w:w="1584"/>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1.1%</w:t>
            </w:r>
          </w:p>
        </w:tc>
        <w:tc>
          <w:tcPr>
            <w:tcW w:type="dxa" w:w="1584"/>
            <w:vAlign w:val="top"/>
            <w:tcMar>
              <w:top w:w="40" w:type="dxa"/>
              <w:left w:w="40" w:type="dxa"/>
              <w:bottom w:w="40" w:type="dxa"/>
              <w:right w:w="40" w:type="dxa"/>
            </w:tcMar>
          </w:tcPr>
          <w:p>
            <w:pPr>
              <w:spacing w:after="0"/>
            </w:pPr>
            <w:r/>
            <w:r>
              <w:rPr>
                <w:b w:val="0"/>
                <w:sz w:val="14"/>
              </w:rPr>
              <w:t>925.8±289.9</w:t>
            </w:r>
          </w:p>
        </w:tc>
        <w:tc>
          <w:tcPr>
            <w:tcW w:type="dxa" w:w="1584"/>
            <w:vAlign w:val="top"/>
            <w:tcMar>
              <w:top w:w="40" w:type="dxa"/>
              <w:left w:w="40" w:type="dxa"/>
              <w:bottom w:w="40" w:type="dxa"/>
              <w:right w:w="40" w:type="dxa"/>
            </w:tcMar>
          </w:tcPr>
          <w:p>
            <w:pPr>
              <w:spacing w:after="0"/>
            </w:pPr>
            <w:r/>
            <w:r>
              <w:rPr>
                <w:b w:val="0"/>
                <w:sz w:val="14"/>
              </w:rPr>
              <w:t>664.5±76.3</w:t>
            </w:r>
          </w:p>
        </w:tc>
        <w:tc>
          <w:tcPr>
            <w:tcW w:type="dxa" w:w="1008"/>
            <w:vAlign w:val="top"/>
            <w:tcMar>
              <w:top w:w="40" w:type="dxa"/>
              <w:left w:w="40" w:type="dxa"/>
              <w:bottom w:w="40" w:type="dxa"/>
              <w:right w:w="40" w:type="dxa"/>
            </w:tcMar>
          </w:tcPr>
          <w:p>
            <w:pPr>
              <w:spacing w:after="0"/>
            </w:pPr>
            <w:r/>
            <w:r>
              <w:rPr>
                <w:b w:val="0"/>
                <w:sz w:val="14"/>
              </w:rPr>
              <w:t>0.74x</w:t>
            </w:r>
          </w:p>
        </w:tc>
        <w:tc>
          <w:tcPr>
            <w:tcW w:type="dxa" w:w="1152"/>
            <w:vAlign w:val="top"/>
            <w:tcMar>
              <w:top w:w="40" w:type="dxa"/>
              <w:left w:w="40" w:type="dxa"/>
              <w:bottom w:w="40" w:type="dxa"/>
              <w:right w:w="40" w:type="dxa"/>
            </w:tcMar>
          </w:tcPr>
          <w:p>
            <w:pPr>
              <w:spacing w:after="0"/>
            </w:pPr>
            <w:r/>
            <w:r>
              <w:rPr>
                <w:b w:val="0"/>
                <w:sz w:val="14"/>
              </w:rPr>
              <w:t>5.75x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16</w:t>
            </w:r>
          </w:p>
        </w:tc>
        <w:tc>
          <w:tcPr>
            <w:tcW w:type="dxa" w:w="1296"/>
            <w:vAlign w:val="top"/>
            <w:tcMar>
              <w:top w:w="40" w:type="dxa"/>
              <w:left w:w="40" w:type="dxa"/>
              <w:bottom w:w="40" w:type="dxa"/>
              <w:right w:w="40" w:type="dxa"/>
            </w:tcMar>
          </w:tcPr>
          <w:p>
            <w:pPr>
              <w:spacing w:after="0"/>
            </w:pPr>
            <w:r/>
            <w:r>
              <w:rPr>
                <w:b w:val="0"/>
                <w:sz w:val="14"/>
              </w:rPr>
              <w:t>6.7%</w:t>
            </w:r>
          </w:p>
        </w:tc>
        <w:tc>
          <w:tcPr>
            <w:tcW w:type="dxa" w:w="1584"/>
            <w:vAlign w:val="top"/>
            <w:tcMar>
              <w:top w:w="40" w:type="dxa"/>
              <w:left w:w="40" w:type="dxa"/>
              <w:bottom w:w="40" w:type="dxa"/>
              <w:right w:w="40" w:type="dxa"/>
            </w:tcMar>
          </w:tcPr>
          <w:p>
            <w:pPr>
              <w:spacing w:after="0"/>
            </w:pPr>
            <w:r/>
            <w:r>
              <w:rPr>
                <w:b w:val="0"/>
                <w:sz w:val="14"/>
              </w:rPr>
              <w:t>1284.5±3.3</w:t>
            </w:r>
          </w:p>
        </w:tc>
        <w:tc>
          <w:tcPr>
            <w:tcW w:type="dxa" w:w="1584"/>
            <w:vAlign w:val="top"/>
            <w:tcMar>
              <w:top w:w="40" w:type="dxa"/>
              <w:left w:w="40" w:type="dxa"/>
              <w:bottom w:w="40" w:type="dxa"/>
              <w:right w:w="40" w:type="dxa"/>
            </w:tcMar>
          </w:tcPr>
          <w:p>
            <w:pPr>
              <w:spacing w:after="0"/>
            </w:pPr>
            <w:r/>
            <w:r>
              <w:rPr>
                <w:b w:val="0"/>
                <w:sz w:val="14"/>
              </w:rPr>
              <w:t>825.5±5.7</w:t>
            </w:r>
          </w:p>
        </w:tc>
        <w:tc>
          <w:tcPr>
            <w:tcW w:type="dxa" w:w="1008"/>
            <w:vAlign w:val="top"/>
            <w:tcMar>
              <w:top w:w="40" w:type="dxa"/>
              <w:left w:w="40" w:type="dxa"/>
              <w:bottom w:w="40" w:type="dxa"/>
              <w:right w:w="40" w:type="dxa"/>
            </w:tcMar>
          </w:tcPr>
          <w:p>
            <w:pPr>
              <w:spacing w:after="0"/>
            </w:pPr>
            <w:r/>
            <w:r>
              <w:rPr>
                <w:b w:val="0"/>
                <w:sz w:val="14"/>
              </w:rPr>
              <w:t>0.64x</w:t>
            </w:r>
          </w:p>
        </w:tc>
        <w:tc>
          <w:tcPr>
            <w:tcW w:type="dxa" w:w="1152"/>
            <w:vAlign w:val="top"/>
            <w:tcMar>
              <w:top w:w="40" w:type="dxa"/>
              <w:left w:w="40" w:type="dxa"/>
              <w:bottom w:w="40" w:type="dxa"/>
              <w:right w:w="40" w:type="dxa"/>
            </w:tcMar>
          </w:tcPr>
          <w:p>
            <w:pPr>
              <w:spacing w:after="0"/>
            </w:pPr>
            <w:r/>
            <w:r>
              <w:rPr>
                <w:b w:val="0"/>
                <w:sz w:val="14"/>
              </w:rPr>
              <w:t>4.31x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8</w:t>
            </w:r>
          </w:p>
        </w:tc>
        <w:tc>
          <w:tcPr>
            <w:tcW w:type="dxa" w:w="1296"/>
            <w:vAlign w:val="top"/>
            <w:tcMar>
              <w:top w:w="40" w:type="dxa"/>
              <w:left w:w="40" w:type="dxa"/>
              <w:bottom w:w="40" w:type="dxa"/>
              <w:right w:w="40" w:type="dxa"/>
            </w:tcMar>
          </w:tcPr>
          <w:p>
            <w:pPr>
              <w:spacing w:after="0"/>
            </w:pPr>
            <w:r/>
            <w:r>
              <w:rPr>
                <w:b w:val="0"/>
                <w:sz w:val="14"/>
              </w:rPr>
              <w:t>13.3%</w:t>
            </w:r>
          </w:p>
        </w:tc>
        <w:tc>
          <w:tcPr>
            <w:tcW w:type="dxa" w:w="1584"/>
            <w:vAlign w:val="top"/>
            <w:tcMar>
              <w:top w:w="40" w:type="dxa"/>
              <w:left w:w="40" w:type="dxa"/>
              <w:bottom w:w="40" w:type="dxa"/>
              <w:right w:w="40" w:type="dxa"/>
            </w:tcMar>
          </w:tcPr>
          <w:p>
            <w:pPr>
              <w:spacing w:after="0"/>
            </w:pPr>
            <w:r/>
            <w:r>
              <w:rPr>
                <w:b w:val="0"/>
                <w:sz w:val="14"/>
              </w:rPr>
              <w:t>1319.5±1.8</w:t>
            </w:r>
          </w:p>
        </w:tc>
        <w:tc>
          <w:tcPr>
            <w:tcW w:type="dxa" w:w="1584"/>
            <w:vAlign w:val="top"/>
            <w:tcMar>
              <w:top w:w="40" w:type="dxa"/>
              <w:left w:w="40" w:type="dxa"/>
              <w:bottom w:w="40" w:type="dxa"/>
              <w:right w:w="40" w:type="dxa"/>
            </w:tcMar>
          </w:tcPr>
          <w:p>
            <w:pPr>
              <w:spacing w:after="0"/>
            </w:pPr>
            <w:r/>
            <w:r>
              <w:rPr>
                <w:b w:val="0"/>
                <w:sz w:val="14"/>
              </w:rPr>
              <w:t>968.2±12.5</w:t>
            </w:r>
          </w:p>
        </w:tc>
        <w:tc>
          <w:tcPr>
            <w:tcW w:type="dxa" w:w="1008"/>
            <w:vAlign w:val="top"/>
            <w:tcMar>
              <w:top w:w="40" w:type="dxa"/>
              <w:left w:w="40" w:type="dxa"/>
              <w:bottom w:w="40" w:type="dxa"/>
              <w:right w:w="40" w:type="dxa"/>
            </w:tcMar>
          </w:tcPr>
          <w:p>
            <w:pPr>
              <w:spacing w:after="0"/>
            </w:pPr>
            <w:r/>
            <w:r>
              <w:rPr>
                <w:b w:val="0"/>
                <w:sz w:val="14"/>
              </w:rPr>
              <w:t>0.73x</w:t>
            </w:r>
          </w:p>
        </w:tc>
        <w:tc>
          <w:tcPr>
            <w:tcW w:type="dxa" w:w="1152"/>
            <w:vAlign w:val="top"/>
            <w:tcMar>
              <w:top w:w="40" w:type="dxa"/>
              <w:left w:w="40" w:type="dxa"/>
              <w:bottom w:w="40" w:type="dxa"/>
              <w:right w:w="40" w:type="dxa"/>
            </w:tcMar>
          </w:tcPr>
          <w:p>
            <w:pPr>
              <w:spacing w:after="0"/>
            </w:pPr>
            <w:r/>
            <w:r>
              <w:rPr>
                <w:b w:val="0"/>
                <w:sz w:val="14"/>
              </w:rPr>
              <w:t>3.31x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4</w:t>
            </w:r>
          </w:p>
        </w:tc>
        <w:tc>
          <w:tcPr>
            <w:tcW w:type="dxa" w:w="1296"/>
            <w:vAlign w:val="top"/>
            <w:tcMar>
              <w:top w:w="40" w:type="dxa"/>
              <w:left w:w="40" w:type="dxa"/>
              <w:bottom w:w="40" w:type="dxa"/>
              <w:right w:w="40" w:type="dxa"/>
            </w:tcMar>
          </w:tcPr>
          <w:p>
            <w:pPr>
              <w:spacing w:after="0"/>
            </w:pPr>
            <w:r/>
            <w:r>
              <w:rPr>
                <w:b w:val="0"/>
                <w:sz w:val="14"/>
              </w:rPr>
              <w:t>26.7%</w:t>
            </w:r>
          </w:p>
        </w:tc>
        <w:tc>
          <w:tcPr>
            <w:tcW w:type="dxa" w:w="1584"/>
            <w:vAlign w:val="top"/>
            <w:tcMar>
              <w:top w:w="40" w:type="dxa"/>
              <w:left w:w="40" w:type="dxa"/>
              <w:bottom w:w="40" w:type="dxa"/>
              <w:right w:w="40" w:type="dxa"/>
            </w:tcMar>
          </w:tcPr>
          <w:p>
            <w:pPr>
              <w:spacing w:after="0"/>
            </w:pPr>
            <w:r/>
            <w:r>
              <w:rPr>
                <w:b w:val="0"/>
                <w:sz w:val="14"/>
              </w:rPr>
              <w:t>1662.4±11.7</w:t>
            </w:r>
          </w:p>
        </w:tc>
        <w:tc>
          <w:tcPr>
            <w:tcW w:type="dxa" w:w="1584"/>
            <w:vAlign w:val="top"/>
            <w:tcMar>
              <w:top w:w="40" w:type="dxa"/>
              <w:left w:w="40" w:type="dxa"/>
              <w:bottom w:w="40" w:type="dxa"/>
              <w:right w:w="40" w:type="dxa"/>
            </w:tcMar>
          </w:tcPr>
          <w:p>
            <w:pPr>
              <w:spacing w:after="0"/>
            </w:pPr>
            <w:r/>
            <w:r>
              <w:rPr>
                <w:b w:val="0"/>
                <w:sz w:val="14"/>
              </w:rPr>
              <w:t>1322.3±1.3</w:t>
            </w:r>
          </w:p>
        </w:tc>
        <w:tc>
          <w:tcPr>
            <w:tcW w:type="dxa" w:w="1008"/>
            <w:vAlign w:val="top"/>
            <w:tcMar>
              <w:top w:w="40" w:type="dxa"/>
              <w:left w:w="40" w:type="dxa"/>
              <w:bottom w:w="40" w:type="dxa"/>
              <w:right w:w="40" w:type="dxa"/>
            </w:tcMar>
          </w:tcPr>
          <w:p>
            <w:pPr>
              <w:spacing w:after="0"/>
            </w:pPr>
            <w:r/>
            <w:r>
              <w:rPr>
                <w:b w:val="0"/>
                <w:sz w:val="14"/>
              </w:rPr>
              <w:t>0.80x</w:t>
            </w:r>
          </w:p>
        </w:tc>
        <w:tc>
          <w:tcPr>
            <w:tcW w:type="dxa" w:w="1152"/>
            <w:vAlign w:val="top"/>
            <w:tcMar>
              <w:top w:w="40" w:type="dxa"/>
              <w:left w:w="40" w:type="dxa"/>
              <w:bottom w:w="40" w:type="dxa"/>
              <w:right w:w="40" w:type="dxa"/>
            </w:tcMar>
          </w:tcPr>
          <w:p>
            <w:pPr>
              <w:spacing w:after="0"/>
            </w:pPr>
            <w:r/>
            <w:r>
              <w:rPr>
                <w:b w:val="0"/>
                <w:sz w:val="14"/>
              </w:rPr>
              <w:t>2.27x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2</w:t>
            </w:r>
          </w:p>
        </w:tc>
        <w:tc>
          <w:tcPr>
            <w:tcW w:type="dxa" w:w="1296"/>
            <w:vAlign w:val="top"/>
            <w:tcMar>
              <w:top w:w="40" w:type="dxa"/>
              <w:left w:w="40" w:type="dxa"/>
              <w:bottom w:w="40" w:type="dxa"/>
              <w:right w:w="40" w:type="dxa"/>
            </w:tcMar>
          </w:tcPr>
          <w:p>
            <w:pPr>
              <w:spacing w:after="0"/>
            </w:pPr>
            <w:r/>
            <w:r>
              <w:rPr>
                <w:b w:val="0"/>
                <w:sz w:val="14"/>
              </w:rPr>
              <w:t>48.9%</w:t>
            </w:r>
          </w:p>
        </w:tc>
        <w:tc>
          <w:tcPr>
            <w:tcW w:type="dxa" w:w="1584"/>
            <w:vAlign w:val="top"/>
            <w:tcMar>
              <w:top w:w="40" w:type="dxa"/>
              <w:left w:w="40" w:type="dxa"/>
              <w:bottom w:w="40" w:type="dxa"/>
              <w:right w:w="40" w:type="dxa"/>
            </w:tcMar>
          </w:tcPr>
          <w:p>
            <w:pPr>
              <w:spacing w:after="0"/>
            </w:pPr>
            <w:r/>
            <w:r>
              <w:rPr>
                <w:b w:val="0"/>
                <w:sz w:val="14"/>
              </w:rPr>
              <w:t>2018.9±11.1</w:t>
            </w:r>
          </w:p>
        </w:tc>
        <w:tc>
          <w:tcPr>
            <w:tcW w:type="dxa" w:w="1584"/>
            <w:vAlign w:val="top"/>
            <w:tcMar>
              <w:top w:w="40" w:type="dxa"/>
              <w:left w:w="40" w:type="dxa"/>
              <w:bottom w:w="40" w:type="dxa"/>
              <w:right w:w="40" w:type="dxa"/>
            </w:tcMar>
          </w:tcPr>
          <w:p>
            <w:pPr>
              <w:spacing w:after="0"/>
            </w:pPr>
            <w:r/>
            <w:r>
              <w:rPr>
                <w:b w:val="0"/>
                <w:sz w:val="14"/>
              </w:rPr>
              <w:t>1722.8±12.5</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1.48x</w:t>
            </w:r>
          </w:p>
        </w:tc>
        <w:tc>
          <w:tcPr>
            <w:tcW w:type="dxa" w:w="864"/>
            <w:vAlign w:val="top"/>
            <w:tcMar>
              <w:top w:w="40" w:type="dxa"/>
              <w:left w:w="40" w:type="dxa"/>
              <w:bottom w:w="40" w:type="dxa"/>
              <w:right w:w="40" w:type="dxa"/>
            </w:tcMar>
          </w:tcPr>
          <w:p>
            <w:pPr>
              <w:spacing w:after="0"/>
            </w:pPr>
            <w:r/>
            <w:r>
              <w:rPr>
                <w:b w:val="0"/>
                <w:sz w:val="14"/>
              </w:rPr>
              <w:t>OK</w:t>
            </w:r>
          </w:p>
        </w:tc>
      </w:tr>
    </w:tbl>
    <w:p/>
    <w:p>
      <w:pPr>
        <w:spacing w:after="40" w:before="120"/>
      </w:pPr>
      <w:r>
        <w:rPr>
          <w:b/>
          <w:sz w:val="18"/>
        </w:rPr>
        <w:t>Table 22.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23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23.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24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24.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twelve-round competing-flow experiment plus a measured full-duplex userspace path emulation across a rate/RTT grid on both byte-stable and real repair-heavy payloads (Section 10); userspace shaping is faithful at the studied rates but is not kernel tc/netem or Mininet, which requires a privileged host and remains future work, and all transport experiments run over localhost. The path-emulation history is a caution in itself: our first single-bucket shaper produced a completion-time finding that a correct full-duplex model reversed, so the completion-time results should be read as emulation-model-dependent until confirmed on a kernel emulator or real path. The miss-rate sweep is a one-path sensitivity check, not a full transport parameter study. Native-QUIC experiments now reach 16 MiB over a single localhost connection, including a demonstrated dictionary-budget overflow and recovery; multi-connection behavior, larger-than-memory dictionaries, and Internet-path dynamics remain out of scope. The independent positive version-pair study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privileged-host tc/netem or Mininet fairness study with competing real flows, packet capture, larger and live-captured registry or backup traces, a broader miss-rate grid across bandwidth and RTT,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scripts/build_manuscript_v3_8.py and scripts/make_journal_figures_v2_8.py. The framing-repricing and dictionary-delta baseline is regenerated by benchmarks/run_framing_dictionary_baseline.py, the miss-rate sensitivity sweep by benchmarks/run_quic_miss_rate_sensitivity.py,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v3.8-journal-submission, GitHub, 2026. https://github.com/pinkysworld/redulink-deduplex-quic/releases/tag/v3.8-journal-submission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v3.8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