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minh.systems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w:t>
      </w:r>
    </w:p>
    <w:p>
      <w:pPr>
        <w:spacing w:after="80" w:before="0"/>
      </w:pPr>
      <w:r>
        <w:rPr>
          <w:sz w:val="20"/>
        </w:rPr>
        <w:t>Quantitatively, on object-aligned public release transfers ReduLink reaches 1.94x to 9.70x effective stream-payload reduction (and 21.37x on a layer-like positive case), within a few percent of an idealized fixed-object-reuse baseline, while the authenticated variant stays within a few additional percent; on ordinary source-tree updates rsync wins by up to 73x, which we report rather than hide.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artifact uses conservative accounting overheads of 24 bytes for FULL metadata and 32 bytes for REF metadata; these are accounting inputs, not a final QUIC wire encoding, which would recompute overhead from varint lengths and authentication-tag choice.</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Chunk identifiers are computed with domain separation over the active epoch, dictionary scope, stream context where applicable, a canonical length encoding, and the chunk bytes, so the same bytes in a different context yield a different identifier. The artifact derives inner authentication keys with an HKDF exporter-style schedule keyed by an explicit experiment secret plus ALPN, epoch, scope, connection, and stream context; tests confirm that the derived secret changes when any of these inputs changes. A production profile should instead key this schedule from QUIC TLS exporter bytes.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w:t>
      </w:r>
    </w:p>
    <w:p>
      <w:pPr>
        <w:spacing w:after="40" w:before="120"/>
      </w:pPr>
      <w:r>
        <w:rPr>
          <w:b/>
          <w:sz w:val="18"/>
        </w:rPr>
        <w:t>Table 6. Warm-state workload results (effective stream-payload multiplier): ReduLink versus fixed-block reuse and best compression.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60"/>
            <w:vAlign w:val="top"/>
            <w:tcMar>
              <w:top w:w="40" w:type="dxa"/>
              <w:left w:w="40" w:type="dxa"/>
              <w:bottom w:w="40" w:type="dxa"/>
              <w:right w:w="40" w:type="dxa"/>
            </w:tcMar>
          </w:tcPr>
          <w:p>
            <w:pPr>
              <w:spacing w:after="0"/>
            </w:pPr>
            <w:r/>
            <w:r>
              <w:rPr>
                <w:b/>
                <w:sz w:val="16"/>
              </w:rPr>
              <w:t>Workload</w:t>
            </w:r>
          </w:p>
        </w:tc>
        <w:tc>
          <w:tcPr>
            <w:tcW w:type="dxa" w:w="1584"/>
            <w:vAlign w:val="top"/>
            <w:tcMar>
              <w:top w:w="40" w:type="dxa"/>
              <w:left w:w="40" w:type="dxa"/>
              <w:bottom w:w="40" w:type="dxa"/>
              <w:right w:w="40" w:type="dxa"/>
            </w:tcMar>
          </w:tcPr>
          <w:p>
            <w:pPr>
              <w:spacing w:after="0"/>
            </w:pPr>
            <w:r/>
            <w:r>
              <w:rPr>
                <w:b/>
                <w:sz w:val="16"/>
              </w:rPr>
              <w:t>ReduLink</w:t>
            </w:r>
          </w:p>
        </w:tc>
        <w:tc>
          <w:tcPr>
            <w:tcW w:type="dxa" w:w="1584"/>
            <w:vAlign w:val="top"/>
            <w:tcMar>
              <w:top w:w="40" w:type="dxa"/>
              <w:left w:w="40" w:type="dxa"/>
              <w:bottom w:w="40" w:type="dxa"/>
              <w:right w:w="40" w:type="dxa"/>
            </w:tcMar>
          </w:tcPr>
          <w:p>
            <w:pPr>
              <w:spacing w:after="0"/>
            </w:pPr>
            <w:r/>
            <w:r>
              <w:rPr>
                <w:b/>
                <w:sz w:val="16"/>
              </w:rPr>
              <w:t>Fixed reuse</w:t>
            </w:r>
          </w:p>
        </w:tc>
        <w:tc>
          <w:tcPr>
            <w:tcW w:type="dxa" w:w="1872"/>
            <w:vAlign w:val="top"/>
            <w:tcMar>
              <w:top w:w="40" w:type="dxa"/>
              <w:left w:w="40" w:type="dxa"/>
              <w:bottom w:w="40" w:type="dxa"/>
              <w:right w:w="40" w:type="dxa"/>
            </w:tcMar>
          </w:tcPr>
          <w:p>
            <w:pPr>
              <w:spacing w:after="0"/>
            </w:pPr>
            <w:r/>
            <w:r>
              <w:rPr>
                <w:b/>
                <w:sz w:val="16"/>
              </w:rPr>
              <w:t>Best compression</w:t>
            </w:r>
          </w:p>
        </w:tc>
        <w:tc>
          <w:tcPr>
            <w:tcW w:type="dxa" w:w="1584"/>
            <w:vAlign w:val="top"/>
            <w:tcMar>
              <w:top w:w="40" w:type="dxa"/>
              <w:left w:w="40" w:type="dxa"/>
              <w:bottom w:w="40" w:type="dxa"/>
              <w:right w:w="40" w:type="dxa"/>
            </w:tcMar>
          </w:tcPr>
          <w:p>
            <w:pPr>
              <w:spacing w:after="0"/>
            </w:pPr>
            <w:r/>
            <w:r>
              <w:rPr>
                <w:b/>
                <w:sz w:val="16"/>
              </w:rPr>
              <w:t>RL - fixed</w:t>
            </w:r>
          </w:p>
        </w:tc>
      </w:tr>
      <w:tr>
        <w:tc>
          <w:tcPr>
            <w:tcW w:type="dxa" w:w="2160"/>
            <w:vAlign w:val="top"/>
            <w:tcMar>
              <w:top w:w="40" w:type="dxa"/>
              <w:left w:w="40" w:type="dxa"/>
              <w:bottom w:w="40" w:type="dxa"/>
              <w:right w:w="40" w:type="dxa"/>
            </w:tcMar>
          </w:tcPr>
          <w:p>
            <w:pPr>
              <w:spacing w:after="0"/>
            </w:pPr>
            <w:r/>
            <w:r>
              <w:rPr>
                <w:b w:val="0"/>
                <w:sz w:val="16"/>
              </w:rPr>
              <w:t>disk snap</w:t>
            </w:r>
          </w:p>
        </w:tc>
        <w:tc>
          <w:tcPr>
            <w:tcW w:type="dxa" w:w="1584"/>
            <w:vAlign w:val="top"/>
            <w:tcMar>
              <w:top w:w="40" w:type="dxa"/>
              <w:left w:w="40" w:type="dxa"/>
              <w:bottom w:w="40" w:type="dxa"/>
              <w:right w:w="40" w:type="dxa"/>
            </w:tcMar>
          </w:tcPr>
          <w:p>
            <w:pPr>
              <w:spacing w:after="0"/>
            </w:pPr>
            <w:r/>
            <w:r>
              <w:rPr>
                <w:b w:val="0"/>
                <w:sz w:val="16"/>
              </w:rPr>
              <w:t>28.49x</w:t>
            </w:r>
          </w:p>
        </w:tc>
        <w:tc>
          <w:tcPr>
            <w:tcW w:type="dxa" w:w="1584"/>
            <w:vAlign w:val="top"/>
            <w:tcMar>
              <w:top w:w="40" w:type="dxa"/>
              <w:left w:w="40" w:type="dxa"/>
              <w:bottom w:w="40" w:type="dxa"/>
              <w:right w:w="40" w:type="dxa"/>
            </w:tcMar>
          </w:tcPr>
          <w:p>
            <w:pPr>
              <w:spacing w:after="0"/>
            </w:pPr>
            <w:r/>
            <w:r>
              <w:rPr>
                <w:b w:val="0"/>
                <w:sz w:val="16"/>
              </w:rPr>
              <w:t>31.97x</w:t>
            </w:r>
          </w:p>
        </w:tc>
        <w:tc>
          <w:tcPr>
            <w:tcW w:type="dxa" w:w="1872"/>
            <w:vAlign w:val="top"/>
            <w:tcMar>
              <w:top w:w="40" w:type="dxa"/>
              <w:left w:w="40" w:type="dxa"/>
              <w:bottom w:w="40" w:type="dxa"/>
              <w:right w:w="40" w:type="dxa"/>
            </w:tcMar>
          </w:tcPr>
          <w:p>
            <w:pPr>
              <w:spacing w:after="0"/>
            </w:pPr>
            <w:r/>
            <w:r>
              <w:rPr>
                <w:b w:val="0"/>
                <w:sz w:val="16"/>
              </w:rPr>
              <w:t>1.06x</w:t>
            </w:r>
          </w:p>
        </w:tc>
        <w:tc>
          <w:tcPr>
            <w:tcW w:type="dxa" w:w="1584"/>
            <w:vAlign w:val="top"/>
            <w:tcMar>
              <w:top w:w="40" w:type="dxa"/>
              <w:left w:w="40" w:type="dxa"/>
              <w:bottom w:w="40" w:type="dxa"/>
              <w:right w:w="40" w:type="dxa"/>
            </w:tcMar>
          </w:tcPr>
          <w:p>
            <w:pPr>
              <w:spacing w:after="0"/>
            </w:pPr>
            <w:r/>
            <w:r>
              <w:rPr>
                <w:b w:val="0"/>
                <w:sz w:val="16"/>
              </w:rPr>
              <w:t>-3.48x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584"/>
            <w:vAlign w:val="top"/>
            <w:tcMar>
              <w:top w:w="40" w:type="dxa"/>
              <w:left w:w="40" w:type="dxa"/>
              <w:bottom w:w="40" w:type="dxa"/>
              <w:right w:w="40" w:type="dxa"/>
            </w:tcMar>
          </w:tcPr>
          <w:p>
            <w:pPr>
              <w:spacing w:after="0"/>
            </w:pPr>
            <w:r/>
            <w:r>
              <w:rPr>
                <w:b w:val="0"/>
                <w:sz w:val="16"/>
              </w:rPr>
              <w:t>11.05x</w:t>
            </w:r>
          </w:p>
        </w:tc>
        <w:tc>
          <w:tcPr>
            <w:tcW w:type="dxa" w:w="1584"/>
            <w:vAlign w:val="top"/>
            <w:tcMar>
              <w:top w:w="40" w:type="dxa"/>
              <w:left w:w="40" w:type="dxa"/>
              <w:bottom w:w="40" w:type="dxa"/>
              <w:right w:w="40" w:type="dxa"/>
            </w:tcMar>
          </w:tcPr>
          <w:p>
            <w:pPr>
              <w:spacing w:after="0"/>
            </w:pPr>
            <w:r/>
            <w:r>
              <w:rPr>
                <w:b w:val="0"/>
                <w:sz w:val="16"/>
              </w:rPr>
              <w:t>10.68x</w:t>
            </w:r>
          </w:p>
        </w:tc>
        <w:tc>
          <w:tcPr>
            <w:tcW w:type="dxa" w:w="1872"/>
            <w:vAlign w:val="top"/>
            <w:tcMar>
              <w:top w:w="40" w:type="dxa"/>
              <w:left w:w="40" w:type="dxa"/>
              <w:bottom w:w="40" w:type="dxa"/>
              <w:right w:w="40" w:type="dxa"/>
            </w:tcMar>
          </w:tcPr>
          <w:p>
            <w:pPr>
              <w:spacing w:after="0"/>
            </w:pPr>
            <w:r/>
            <w:r>
              <w:rPr>
                <w:b w:val="0"/>
                <w:sz w:val="16"/>
              </w:rPr>
              <w:t>1.50x</w:t>
            </w:r>
          </w:p>
        </w:tc>
        <w:tc>
          <w:tcPr>
            <w:tcW w:type="dxa" w:w="1584"/>
            <w:vAlign w:val="top"/>
            <w:tcMar>
              <w:top w:w="40" w:type="dxa"/>
              <w:left w:w="40" w:type="dxa"/>
              <w:bottom w:w="40" w:type="dxa"/>
              <w:right w:w="40" w:type="dxa"/>
            </w:tcMar>
          </w:tcPr>
          <w:p>
            <w:pPr>
              <w:spacing w:after="0"/>
            </w:pPr>
            <w:r/>
            <w:r>
              <w:rPr>
                <w:b w:val="0"/>
                <w:sz w:val="16"/>
              </w:rPr>
              <w:t>+0.37x</w:t>
            </w:r>
          </w:p>
        </w:tc>
      </w:tr>
      <w:tr>
        <w:tc>
          <w:tcPr>
            <w:tcW w:type="dxa" w:w="2160"/>
            <w:vAlign w:val="top"/>
            <w:tcMar>
              <w:top w:w="40" w:type="dxa"/>
              <w:left w:w="40" w:type="dxa"/>
              <w:bottom w:w="40" w:type="dxa"/>
              <w:right w:w="40" w:type="dxa"/>
            </w:tcMar>
          </w:tcPr>
          <w:p>
            <w:pPr>
              <w:spacing w:after="0"/>
            </w:pPr>
            <w:r/>
            <w:r>
              <w:rPr>
                <w:b w:val="0"/>
                <w:sz w:val="16"/>
              </w:rPr>
              <w:t>package meta</w:t>
            </w:r>
          </w:p>
        </w:tc>
        <w:tc>
          <w:tcPr>
            <w:tcW w:type="dxa" w:w="1584"/>
            <w:vAlign w:val="top"/>
            <w:tcMar>
              <w:top w:w="40" w:type="dxa"/>
              <w:left w:w="40" w:type="dxa"/>
              <w:bottom w:w="40" w:type="dxa"/>
              <w:right w:w="40" w:type="dxa"/>
            </w:tcMar>
          </w:tcPr>
          <w:p>
            <w:pPr>
              <w:spacing w:after="0"/>
            </w:pPr>
            <w:r/>
            <w:r>
              <w:rPr>
                <w:b w:val="0"/>
                <w:sz w:val="16"/>
              </w:rPr>
              <w:t>0.99x</w:t>
            </w:r>
          </w:p>
        </w:tc>
        <w:tc>
          <w:tcPr>
            <w:tcW w:type="dxa" w:w="1584"/>
            <w:vAlign w:val="top"/>
            <w:tcMar>
              <w:top w:w="40" w:type="dxa"/>
              <w:left w:w="40" w:type="dxa"/>
              <w:bottom w:w="40" w:type="dxa"/>
              <w:right w:w="40" w:type="dxa"/>
            </w:tcMar>
          </w:tcPr>
          <w:p>
            <w:pPr>
              <w:spacing w:after="0"/>
            </w:pPr>
            <w:r/>
            <w:r>
              <w:rPr>
                <w:b w:val="0"/>
                <w:sz w:val="16"/>
              </w:rPr>
              <w:t>9.88x</w:t>
            </w:r>
          </w:p>
        </w:tc>
        <w:tc>
          <w:tcPr>
            <w:tcW w:type="dxa" w:w="1872"/>
            <w:vAlign w:val="top"/>
            <w:tcMar>
              <w:top w:w="40" w:type="dxa"/>
              <w:left w:w="40" w:type="dxa"/>
              <w:bottom w:w="40" w:type="dxa"/>
              <w:right w:w="40" w:type="dxa"/>
            </w:tcMar>
          </w:tcPr>
          <w:p>
            <w:pPr>
              <w:spacing w:after="0"/>
            </w:pPr>
            <w:r/>
            <w:r>
              <w:rPr>
                <w:b w:val="0"/>
                <w:sz w:val="16"/>
              </w:rPr>
              <w:t>14.31x</w:t>
            </w:r>
          </w:p>
        </w:tc>
        <w:tc>
          <w:tcPr>
            <w:tcW w:type="dxa" w:w="1584"/>
            <w:vAlign w:val="top"/>
            <w:tcMar>
              <w:top w:w="40" w:type="dxa"/>
              <w:left w:w="40" w:type="dxa"/>
              <w:bottom w:w="40" w:type="dxa"/>
              <w:right w:w="40" w:type="dxa"/>
            </w:tcMar>
          </w:tcPr>
          <w:p>
            <w:pPr>
              <w:spacing w:after="0"/>
            </w:pPr>
            <w:r/>
            <w:r>
              <w:rPr>
                <w:b w:val="0"/>
                <w:sz w:val="16"/>
              </w:rPr>
              <w:t>-8.89x</w:t>
            </w:r>
          </w:p>
        </w:tc>
      </w:tr>
      <w:tr>
        <w:tc>
          <w:tcPr>
            <w:tcW w:type="dxa" w:w="2160"/>
            <w:vAlign w:val="top"/>
            <w:tcMar>
              <w:top w:w="40" w:type="dxa"/>
              <w:left w:w="40" w:type="dxa"/>
              <w:bottom w:w="40" w:type="dxa"/>
              <w:right w:w="40" w:type="dxa"/>
            </w:tcMar>
          </w:tcPr>
          <w:p>
            <w:pPr>
              <w:spacing w:after="0"/>
            </w:pPr>
            <w:r/>
            <w:r>
              <w:rPr>
                <w:b w:val="0"/>
                <w:sz w:val="16"/>
              </w:rPr>
              <w:t>repository snap</w:t>
            </w:r>
          </w:p>
        </w:tc>
        <w:tc>
          <w:tcPr>
            <w:tcW w:type="dxa" w:w="1584"/>
            <w:vAlign w:val="top"/>
            <w:tcMar>
              <w:top w:w="40" w:type="dxa"/>
              <w:left w:w="40" w:type="dxa"/>
              <w:bottom w:w="40" w:type="dxa"/>
              <w:right w:w="40" w:type="dxa"/>
            </w:tcMar>
          </w:tcPr>
          <w:p>
            <w:pPr>
              <w:spacing w:after="0"/>
            </w:pPr>
            <w:r/>
            <w:r>
              <w:rPr>
                <w:b w:val="0"/>
                <w:sz w:val="16"/>
              </w:rPr>
              <w:t>24.73x</w:t>
            </w:r>
          </w:p>
        </w:tc>
        <w:tc>
          <w:tcPr>
            <w:tcW w:type="dxa" w:w="1584"/>
            <w:vAlign w:val="top"/>
            <w:tcMar>
              <w:top w:w="40" w:type="dxa"/>
              <w:left w:w="40" w:type="dxa"/>
              <w:bottom w:w="40" w:type="dxa"/>
              <w:right w:w="40" w:type="dxa"/>
            </w:tcMar>
          </w:tcPr>
          <w:p>
            <w:pPr>
              <w:spacing w:after="0"/>
            </w:pPr>
            <w:r/>
            <w:r>
              <w:rPr>
                <w:b w:val="0"/>
                <w:sz w:val="16"/>
              </w:rPr>
              <w:t>24.60x</w:t>
            </w:r>
          </w:p>
        </w:tc>
        <w:tc>
          <w:tcPr>
            <w:tcW w:type="dxa" w:w="1872"/>
            <w:vAlign w:val="top"/>
            <w:tcMar>
              <w:top w:w="40" w:type="dxa"/>
              <w:left w:w="40" w:type="dxa"/>
              <w:bottom w:w="40" w:type="dxa"/>
              <w:right w:w="40" w:type="dxa"/>
            </w:tcMar>
          </w:tcPr>
          <w:p>
            <w:pPr>
              <w:spacing w:after="0"/>
            </w:pPr>
            <w:r/>
            <w:r>
              <w:rPr>
                <w:b w:val="0"/>
                <w:sz w:val="16"/>
              </w:rPr>
              <w:t>10.37x</w:t>
            </w:r>
          </w:p>
        </w:tc>
        <w:tc>
          <w:tcPr>
            <w:tcW w:type="dxa" w:w="1584"/>
            <w:vAlign w:val="top"/>
            <w:tcMar>
              <w:top w:w="40" w:type="dxa"/>
              <w:left w:w="40" w:type="dxa"/>
              <w:bottom w:w="40" w:type="dxa"/>
              <w:right w:w="40" w:type="dxa"/>
            </w:tcMar>
          </w:tcPr>
          <w:p>
            <w:pPr>
              <w:spacing w:after="0"/>
            </w:pPr>
            <w:r/>
            <w:r>
              <w:rPr>
                <w:b w:val="0"/>
                <w:sz w:val="16"/>
              </w:rPr>
              <w:t>+0.14x</w:t>
            </w:r>
          </w:p>
        </w:tc>
      </w:tr>
      <w:tr>
        <w:tc>
          <w:tcPr>
            <w:tcW w:type="dxa" w:w="2160"/>
            <w:vAlign w:val="top"/>
            <w:tcMar>
              <w:top w:w="40" w:type="dxa"/>
              <w:left w:w="40" w:type="dxa"/>
              <w:bottom w:w="40" w:type="dxa"/>
              <w:right w:w="40" w:type="dxa"/>
            </w:tcMar>
          </w:tcPr>
          <w:p>
            <w:pPr>
              <w:spacing w:after="0"/>
            </w:pPr>
            <w:r/>
            <w:r>
              <w:rPr>
                <w:b w:val="0"/>
                <w:sz w:val="16"/>
              </w:rPr>
              <w:t>logs</w:t>
            </w:r>
          </w:p>
        </w:tc>
        <w:tc>
          <w:tcPr>
            <w:tcW w:type="dxa" w:w="1584"/>
            <w:vAlign w:val="top"/>
            <w:tcMar>
              <w:top w:w="40" w:type="dxa"/>
              <w:left w:w="40" w:type="dxa"/>
              <w:bottom w:w="40" w:type="dxa"/>
              <w:right w:w="40" w:type="dxa"/>
            </w:tcMar>
          </w:tcPr>
          <w:p>
            <w:pPr>
              <w:spacing w:after="0"/>
            </w:pPr>
            <w:r/>
            <w:r>
              <w:rPr>
                <w:b w:val="0"/>
                <w:sz w:val="16"/>
              </w:rPr>
              <w:t>0.99x</w:t>
            </w:r>
          </w:p>
        </w:tc>
        <w:tc>
          <w:tcPr>
            <w:tcW w:type="dxa" w:w="1584"/>
            <w:vAlign w:val="top"/>
            <w:tcMar>
              <w:top w:w="40" w:type="dxa"/>
              <w:left w:w="40" w:type="dxa"/>
              <w:bottom w:w="40" w:type="dxa"/>
              <w:right w:w="40" w:type="dxa"/>
            </w:tcMar>
          </w:tcPr>
          <w:p>
            <w:pPr>
              <w:spacing w:after="0"/>
            </w:pPr>
            <w:r/>
            <w:r>
              <w:rPr>
                <w:b w:val="0"/>
                <w:sz w:val="16"/>
              </w:rPr>
              <w:t>14.89x</w:t>
            </w:r>
          </w:p>
        </w:tc>
        <w:tc>
          <w:tcPr>
            <w:tcW w:type="dxa" w:w="1872"/>
            <w:vAlign w:val="top"/>
            <w:tcMar>
              <w:top w:w="40" w:type="dxa"/>
              <w:left w:w="40" w:type="dxa"/>
              <w:bottom w:w="40" w:type="dxa"/>
              <w:right w:w="40" w:type="dxa"/>
            </w:tcMar>
          </w:tcPr>
          <w:p>
            <w:pPr>
              <w:spacing w:after="0"/>
            </w:pPr>
            <w:r/>
            <w:r>
              <w:rPr>
                <w:b w:val="0"/>
                <w:sz w:val="16"/>
              </w:rPr>
              <w:t>18.01x</w:t>
            </w:r>
          </w:p>
        </w:tc>
        <w:tc>
          <w:tcPr>
            <w:tcW w:type="dxa" w:w="1584"/>
            <w:vAlign w:val="top"/>
            <w:tcMar>
              <w:top w:w="40" w:type="dxa"/>
              <w:left w:w="40" w:type="dxa"/>
              <w:bottom w:w="40" w:type="dxa"/>
              <w:right w:w="40" w:type="dxa"/>
            </w:tcMar>
          </w:tcPr>
          <w:p>
            <w:pPr>
              <w:spacing w:after="0"/>
            </w:pPr>
            <w:r/>
            <w:r>
              <w:rPr>
                <w:b w:val="0"/>
                <w:sz w:val="16"/>
              </w:rPr>
              <w:t>-13.89x</w:t>
            </w:r>
          </w:p>
        </w:tc>
      </w:tr>
      <w:tr>
        <w:tc>
          <w:tcPr>
            <w:tcW w:type="dxa" w:w="2160"/>
            <w:vAlign w:val="top"/>
            <w:tcMar>
              <w:top w:w="40" w:type="dxa"/>
              <w:left w:w="40" w:type="dxa"/>
              <w:bottom w:w="40" w:type="dxa"/>
              <w:right w:w="40" w:type="dxa"/>
            </w:tcMar>
          </w:tcPr>
          <w:p>
            <w:pPr>
              <w:spacing w:after="0"/>
            </w:pPr>
            <w:r/>
            <w:r>
              <w:rPr>
                <w:b w:val="0"/>
                <w:sz w:val="16"/>
              </w:rPr>
              <w:t>compressed neg</w:t>
            </w:r>
          </w:p>
        </w:tc>
        <w:tc>
          <w:tcPr>
            <w:tcW w:type="dxa" w:w="1584"/>
            <w:vAlign w:val="top"/>
            <w:tcMar>
              <w:top w:w="40" w:type="dxa"/>
              <w:left w:w="40" w:type="dxa"/>
              <w:bottom w:w="40" w:type="dxa"/>
              <w:right w:w="40" w:type="dxa"/>
            </w:tcMar>
          </w:tcPr>
          <w:p>
            <w:pPr>
              <w:spacing w:after="0"/>
            </w:pPr>
            <w:r/>
            <w:r>
              <w:rPr>
                <w:b w:val="0"/>
                <w:sz w:val="16"/>
              </w:rPr>
              <w:t>0.99x</w:t>
            </w:r>
          </w:p>
        </w:tc>
        <w:tc>
          <w:tcPr>
            <w:tcW w:type="dxa" w:w="1584"/>
            <w:vAlign w:val="top"/>
            <w:tcMar>
              <w:top w:w="40" w:type="dxa"/>
              <w:left w:w="40" w:type="dxa"/>
              <w:bottom w:w="40" w:type="dxa"/>
              <w:right w:w="40" w:type="dxa"/>
            </w:tcMar>
          </w:tcPr>
          <w:p>
            <w:pPr>
              <w:spacing w:after="0"/>
            </w:pPr>
            <w:r/>
            <w:r>
              <w:rPr>
                <w:b w:val="0"/>
                <w:sz w:val="16"/>
              </w:rPr>
              <w:t>1.00x</w:t>
            </w:r>
          </w:p>
        </w:tc>
        <w:tc>
          <w:tcPr>
            <w:tcW w:type="dxa" w:w="1872"/>
            <w:vAlign w:val="top"/>
            <w:tcMar>
              <w:top w:w="40" w:type="dxa"/>
              <w:left w:w="40" w:type="dxa"/>
              <w:bottom w:w="40" w:type="dxa"/>
              <w:right w:w="40" w:type="dxa"/>
            </w:tcMar>
          </w:tcPr>
          <w:p>
            <w:pPr>
              <w:spacing w:after="0"/>
            </w:pPr>
            <w:r/>
            <w:r>
              <w:rPr>
                <w:b w:val="0"/>
                <w:sz w:val="16"/>
              </w:rPr>
              <w:t>1.00x</w:t>
            </w:r>
          </w:p>
        </w:tc>
        <w:tc>
          <w:tcPr>
            <w:tcW w:type="dxa" w:w="1584"/>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only a few additional percent.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11 compares raw and ReduLink stream mapping at zero and periodic datagram loss, and Table 12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w:t>
      </w:r>
    </w:p>
    <w:p>
      <w:pPr>
        <w:spacing w:after="40" w:before="120"/>
      </w:pPr>
      <w:r>
        <w:rPr>
          <w:b/>
          <w:sz w:val="18"/>
        </w:rPr>
        <w:t>Table 11.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12.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13 reports three repeated trials of the native demo workload. The multiplier is deterministic for fixed bytes, while elapsed times vary modestly across runs; reporting both avoids cherry-picking a single favorable QUIC run. Table 14 then scales the payload from 96 to 1024 blocks: the stream multiplier rises from 3.19x to 3.87x as more reusable chunks accumulate, the miss count grows proportionally with the dictionary warm-up, and reconstruction remains byte-exact at every scale.</w:t>
      </w:r>
    </w:p>
    <w:p>
      <w:pPr>
        <w:spacing w:after="40" w:before="120"/>
      </w:pPr>
      <w:r>
        <w:rPr>
          <w:b/>
          <w:sz w:val="18"/>
        </w:rPr>
        <w:t>Table 13.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40" w:before="120"/>
      </w:pPr>
      <w:r>
        <w:rPr>
          <w:b/>
          <w:sz w:val="18"/>
        </w:rPr>
        <w:t>Table 14. Payload scaling of the native aioquic stream mapping.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440"/>
            <w:vAlign w:val="top"/>
            <w:tcMar>
              <w:top w:w="40" w:type="dxa"/>
              <w:left w:w="40" w:type="dxa"/>
              <w:bottom w:w="40" w:type="dxa"/>
              <w:right w:w="40" w:type="dxa"/>
            </w:tcMar>
          </w:tcPr>
          <w:p>
            <w:pPr>
              <w:spacing w:after="0"/>
            </w:pPr>
            <w:r/>
            <w:r>
              <w:rPr>
                <w:b/>
                <w:sz w:val="16"/>
              </w:rPr>
              <w:t>Blocks</w:t>
            </w:r>
          </w:p>
        </w:tc>
        <w:tc>
          <w:tcPr>
            <w:tcW w:type="dxa" w:w="1728"/>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Misses</w:t>
            </w:r>
          </w:p>
        </w:tc>
        <w:tc>
          <w:tcPr>
            <w:tcW w:type="dxa" w:w="1440"/>
            <w:vAlign w:val="top"/>
            <w:tcMar>
              <w:top w:w="40" w:type="dxa"/>
              <w:left w:w="40" w:type="dxa"/>
              <w:bottom w:w="40" w:type="dxa"/>
              <w:right w:w="40" w:type="dxa"/>
            </w:tcMar>
          </w:tcPr>
          <w:p>
            <w:pPr>
              <w:spacing w:after="0"/>
            </w:pPr>
            <w:r/>
            <w:r>
              <w:rPr>
                <w:b/>
                <w:sz w:val="16"/>
              </w:rPr>
              <w:t>Client ms</w:t>
            </w:r>
          </w:p>
        </w:tc>
        <w:tc>
          <w:tcPr>
            <w:tcW w:type="dxa" w:w="1152"/>
            <w:vAlign w:val="top"/>
            <w:tcMar>
              <w:top w:w="40" w:type="dxa"/>
              <w:left w:w="40" w:type="dxa"/>
              <w:bottom w:w="40" w:type="dxa"/>
              <w:right w:w="40" w:type="dxa"/>
            </w:tcMar>
          </w:tcPr>
          <w:p>
            <w:pPr>
              <w:spacing w:after="0"/>
            </w:pPr>
            <w:r/>
            <w:r>
              <w:rPr>
                <w:b/>
                <w:sz w:val="16"/>
              </w:rPr>
              <w:t>Recon.</w:t>
            </w:r>
          </w:p>
        </w:tc>
      </w:tr>
      <w:tr>
        <w:tc>
          <w:tcPr>
            <w:tcW w:type="dxa" w:w="1440"/>
            <w:vAlign w:val="top"/>
            <w:tcMar>
              <w:top w:w="40" w:type="dxa"/>
              <w:left w:w="40" w:type="dxa"/>
              <w:bottom w:w="40" w:type="dxa"/>
              <w:right w:w="40" w:type="dxa"/>
            </w:tcMar>
          </w:tcPr>
          <w:p>
            <w:pPr>
              <w:spacing w:after="0"/>
            </w:pPr>
            <w:r/>
            <w:r>
              <w:rPr>
                <w:b w:val="0"/>
                <w:sz w:val="16"/>
              </w:rPr>
              <w:t>96</w:t>
            </w:r>
          </w:p>
        </w:tc>
        <w:tc>
          <w:tcPr>
            <w:tcW w:type="dxa" w:w="1728"/>
            <w:vAlign w:val="top"/>
            <w:tcMar>
              <w:top w:w="40" w:type="dxa"/>
              <w:left w:w="40" w:type="dxa"/>
              <w:bottom w:w="40" w:type="dxa"/>
              <w:right w:w="40" w:type="dxa"/>
            </w:tcMar>
          </w:tcPr>
          <w:p>
            <w:pPr>
              <w:spacing w:after="0"/>
            </w:pPr>
            <w:r/>
            <w:r>
              <w:rPr>
                <w:b w:val="0"/>
                <w:sz w:val="16"/>
              </w:rPr>
              <w:t>98,304</w:t>
            </w:r>
          </w:p>
        </w:tc>
        <w:tc>
          <w:tcPr>
            <w:tcW w:type="dxa" w:w="1440"/>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13</w:t>
            </w:r>
          </w:p>
        </w:tc>
        <w:tc>
          <w:tcPr>
            <w:tcW w:type="dxa" w:w="1440"/>
            <w:vAlign w:val="top"/>
            <w:tcMar>
              <w:top w:w="40" w:type="dxa"/>
              <w:left w:w="40" w:type="dxa"/>
              <w:bottom w:w="40" w:type="dxa"/>
              <w:right w:w="40" w:type="dxa"/>
            </w:tcMar>
          </w:tcPr>
          <w:p>
            <w:pPr>
              <w:spacing w:after="0"/>
            </w:pPr>
            <w:r/>
            <w:r>
              <w:rPr>
                <w:b w:val="0"/>
                <w:sz w:val="16"/>
              </w:rPr>
              <w:t>124.0</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512</w:t>
            </w:r>
          </w:p>
        </w:tc>
        <w:tc>
          <w:tcPr>
            <w:tcW w:type="dxa" w:w="1728"/>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3.77x</w:t>
            </w:r>
          </w:p>
        </w:tc>
        <w:tc>
          <w:tcPr>
            <w:tcW w:type="dxa" w:w="1296"/>
            <w:vAlign w:val="top"/>
            <w:tcMar>
              <w:top w:w="40" w:type="dxa"/>
              <w:left w:w="40" w:type="dxa"/>
              <w:bottom w:w="40" w:type="dxa"/>
              <w:right w:w="40" w:type="dxa"/>
            </w:tcMar>
          </w:tcPr>
          <w:p>
            <w:pPr>
              <w:spacing w:after="0"/>
            </w:pPr>
            <w:r/>
            <w:r>
              <w:rPr>
                <w:b w:val="0"/>
                <w:sz w:val="16"/>
              </w:rPr>
              <w:t>73</w:t>
            </w:r>
          </w:p>
        </w:tc>
        <w:tc>
          <w:tcPr>
            <w:tcW w:type="dxa" w:w="1440"/>
            <w:vAlign w:val="top"/>
            <w:tcMar>
              <w:top w:w="40" w:type="dxa"/>
              <w:left w:w="40" w:type="dxa"/>
              <w:bottom w:w="40" w:type="dxa"/>
              <w:right w:w="40" w:type="dxa"/>
            </w:tcMar>
          </w:tcPr>
          <w:p>
            <w:pPr>
              <w:spacing w:after="0"/>
            </w:pPr>
            <w:r/>
            <w:r>
              <w:rPr>
                <w:b w:val="0"/>
                <w:sz w:val="16"/>
              </w:rPr>
              <w:t>192.9</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1024</w:t>
            </w:r>
          </w:p>
        </w:tc>
        <w:tc>
          <w:tcPr>
            <w:tcW w:type="dxa" w:w="1728"/>
            <w:vAlign w:val="top"/>
            <w:tcMar>
              <w:top w:w="40" w:type="dxa"/>
              <w:left w:w="40" w:type="dxa"/>
              <w:bottom w:w="40" w:type="dxa"/>
              <w:right w:w="40" w:type="dxa"/>
            </w:tcMar>
          </w:tcPr>
          <w:p>
            <w:pPr>
              <w:spacing w:after="0"/>
            </w:pPr>
            <w:r/>
            <w:r>
              <w:rPr>
                <w:b w:val="0"/>
                <w:sz w:val="16"/>
              </w:rPr>
              <w:t>1,048,576</w:t>
            </w:r>
          </w:p>
        </w:tc>
        <w:tc>
          <w:tcPr>
            <w:tcW w:type="dxa" w:w="1440"/>
            <w:vAlign w:val="top"/>
            <w:tcMar>
              <w:top w:w="40" w:type="dxa"/>
              <w:left w:w="40" w:type="dxa"/>
              <w:bottom w:w="40" w:type="dxa"/>
              <w:right w:w="40" w:type="dxa"/>
            </w:tcMar>
          </w:tcPr>
          <w:p>
            <w:pPr>
              <w:spacing w:after="0"/>
            </w:pPr>
            <w:r/>
            <w:r>
              <w:rPr>
                <w:b w:val="0"/>
                <w:sz w:val="16"/>
              </w:rPr>
              <w:t>3.87x</w:t>
            </w:r>
          </w:p>
        </w:tc>
        <w:tc>
          <w:tcPr>
            <w:tcW w:type="dxa" w:w="1296"/>
            <w:vAlign w:val="top"/>
            <w:tcMar>
              <w:top w:w="40" w:type="dxa"/>
              <w:left w:w="40" w:type="dxa"/>
              <w:bottom w:w="40" w:type="dxa"/>
              <w:right w:w="40" w:type="dxa"/>
            </w:tcMar>
          </w:tcPr>
          <w:p>
            <w:pPr>
              <w:spacing w:after="0"/>
            </w:pPr>
            <w:r/>
            <w:r>
              <w:rPr>
                <w:b w:val="0"/>
                <w:sz w:val="16"/>
              </w:rPr>
              <w:t>146</w:t>
            </w:r>
          </w:p>
        </w:tc>
        <w:tc>
          <w:tcPr>
            <w:tcW w:type="dxa" w:w="1440"/>
            <w:vAlign w:val="top"/>
            <w:tcMar>
              <w:top w:w="40" w:type="dxa"/>
              <w:left w:w="40" w:type="dxa"/>
              <w:bottom w:w="40" w:type="dxa"/>
              <w:right w:w="40" w:type="dxa"/>
            </w:tcMar>
          </w:tcPr>
          <w:p>
            <w:pPr>
              <w:spacing w:after="0"/>
            </w:pPr>
            <w:r/>
            <w:r>
              <w:rPr>
                <w:b w:val="0"/>
                <w:sz w:val="16"/>
              </w:rPr>
              <w:t>260.4</w:t>
            </w:r>
          </w:p>
        </w:tc>
        <w:tc>
          <w:tcPr>
            <w:tcW w:type="dxa" w:w="1152"/>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9. Component Costs</w:t>
      </w:r>
    </w:p>
    <w:p>
      <w:pPr>
        <w:spacing w:after="80" w:before="0"/>
      </w:pPr>
      <w:r>
        <w:rPr>
          <w:sz w:val="20"/>
        </w:rPr>
        <w:t>Table 15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15.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16 reports the wire-byte accounting experiment, in which ReduLink's encoded wire share is 0.083 against the raw stream's 0.917 over 16 rounds, while still reconstructing the same application bytes; the effective application multiplier is 10.72x. This confirms that the savings appear as fewer encoded bytes, which is the only place a fair transport should credit them.</w:t>
      </w:r>
    </w:p>
    <w:p>
      <w:pPr>
        <w:spacing w:after="40" w:before="120"/>
      </w:pPr>
      <w:r>
        <w:rPr>
          <w:b/>
          <w:sz w:val="18"/>
        </w:rPr>
        <w:t>Table 16.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17 reports a concurrent competing-flow smoke test in which a raw QUIC flow and a ReduLink flow share a localhost schedule. Jain's fairness index on encoded rates is 0.919 and on reconstructed rates is 0.914, with all flows reconstructing correctly; this is a smoke test, not a full congestion-control study. Table 18 then emulates a fluid fair-share bottleneck across rate and RTT points using the measured encoded stream bytes. Because ReduLink transmits fewer encoded bytes, it completes sooner and delivers higher reconstructed goodput at the same encoded fair share; for example at 25 Mbps and 10 ms it completes in 29.7 ms versus 51.3 ms for raw, delivering 26.5 Mbps of reconstructed goodput. The benefit narrows as the path becomes RTT-bound, as the 50 ms rows show, because latency rather than encoded volume then dominates completion time.</w:t>
      </w:r>
    </w:p>
    <w:p>
      <w:pPr>
        <w:spacing w:after="40" w:before="120"/>
      </w:pPr>
      <w:r>
        <w:rPr>
          <w:b/>
          <w:sz w:val="18"/>
        </w:rPr>
        <w:t>Table 17. Concurrent competing-flow smoke test (Jain fairness index).</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2 concurrent rounds, ~25.0 Mbps hint,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0.919</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0.914</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concurrent smoke test, not a full congestion-control study</w:t>
            </w:r>
          </w:p>
        </w:tc>
      </w:tr>
    </w:tbl>
    <w:p/>
    <w:p>
      <w:pPr>
        <w:spacing w:after="40" w:before="120"/>
      </w:pPr>
      <w:r>
        <w:rPr>
          <w:b/>
          <w:sz w:val="18"/>
        </w:rPr>
        <w:t>Table 18. Fluid fair-share bottleneck emulation over measured encoded stream bytes (raw versus ReduLink).</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440"/>
            <w:vAlign w:val="top"/>
            <w:tcMar>
              <w:top w:w="40" w:type="dxa"/>
              <w:left w:w="40" w:type="dxa"/>
              <w:bottom w:w="40" w:type="dxa"/>
              <w:right w:w="40" w:type="dxa"/>
            </w:tcMar>
          </w:tcPr>
          <w:p>
            <w:pPr>
              <w:spacing w:after="0"/>
            </w:pPr>
            <w:r/>
            <w:r>
              <w:rPr>
                <w:b/>
                <w:sz w:val="14"/>
              </w:rPr>
              <w:t>Rate Mbps</w:t>
            </w:r>
          </w:p>
        </w:tc>
        <w:tc>
          <w:tcPr>
            <w:tcW w:type="dxa" w:w="1152"/>
            <w:vAlign w:val="top"/>
            <w:tcMar>
              <w:top w:w="40" w:type="dxa"/>
              <w:left w:w="40" w:type="dxa"/>
              <w:bottom w:w="40" w:type="dxa"/>
              <w:right w:w="40" w:type="dxa"/>
            </w:tcMar>
          </w:tcPr>
          <w:p>
            <w:pPr>
              <w:spacing w:after="0"/>
            </w:pPr>
            <w:r/>
            <w:r>
              <w:rPr>
                <w:b/>
                <w:sz w:val="14"/>
              </w:rPr>
              <w:t>RTT ms</w:t>
            </w:r>
          </w:p>
        </w:tc>
        <w:tc>
          <w:tcPr>
            <w:tcW w:type="dxa" w:w="1584"/>
            <w:vAlign w:val="top"/>
            <w:tcMar>
              <w:top w:w="40" w:type="dxa"/>
              <w:left w:w="40" w:type="dxa"/>
              <w:bottom w:w="40" w:type="dxa"/>
              <w:right w:w="40" w:type="dxa"/>
            </w:tcMar>
          </w:tcPr>
          <w:p>
            <w:pPr>
              <w:spacing w:after="0"/>
            </w:pPr>
            <w:r/>
            <w:r>
              <w:rPr>
                <w:b/>
                <w:sz w:val="14"/>
              </w:rPr>
              <w:t>Raw compl. ms</w:t>
            </w:r>
          </w:p>
        </w:tc>
        <w:tc>
          <w:tcPr>
            <w:tcW w:type="dxa" w:w="1584"/>
            <w:vAlign w:val="top"/>
            <w:tcMar>
              <w:top w:w="40" w:type="dxa"/>
              <w:left w:w="40" w:type="dxa"/>
              <w:bottom w:w="40" w:type="dxa"/>
              <w:right w:w="40" w:type="dxa"/>
            </w:tcMar>
          </w:tcPr>
          <w:p>
            <w:pPr>
              <w:spacing w:after="0"/>
            </w:pPr>
            <w:r/>
            <w:r>
              <w:rPr>
                <w:b/>
                <w:sz w:val="14"/>
              </w:rPr>
              <w:t>RL compl. ms</w:t>
            </w:r>
          </w:p>
        </w:tc>
        <w:tc>
          <w:tcPr>
            <w:tcW w:type="dxa" w:w="1728"/>
            <w:vAlign w:val="top"/>
            <w:tcMar>
              <w:top w:w="40" w:type="dxa"/>
              <w:left w:w="40" w:type="dxa"/>
              <w:bottom w:w="40" w:type="dxa"/>
              <w:right w:w="40" w:type="dxa"/>
            </w:tcMar>
          </w:tcPr>
          <w:p>
            <w:pPr>
              <w:spacing w:after="0"/>
            </w:pPr>
            <w:r/>
            <w:r>
              <w:rPr>
                <w:b/>
                <w:sz w:val="14"/>
              </w:rPr>
              <w:t>Raw goodput Mbps</w:t>
            </w:r>
          </w:p>
        </w:tc>
        <w:tc>
          <w:tcPr>
            <w:tcW w:type="dxa" w:w="2016"/>
            <w:vAlign w:val="top"/>
            <w:tcMar>
              <w:top w:w="40" w:type="dxa"/>
              <w:left w:w="40" w:type="dxa"/>
              <w:bottom w:w="40" w:type="dxa"/>
              <w:right w:w="40" w:type="dxa"/>
            </w:tcMar>
          </w:tcPr>
          <w:p>
            <w:pPr>
              <w:spacing w:after="0"/>
            </w:pPr>
            <w:r/>
            <w:r>
              <w:rPr>
                <w:b/>
                <w:sz w:val="14"/>
              </w:rPr>
              <w:t>RL recon goodput Mbps</w:t>
            </w:r>
          </w:p>
        </w:tc>
      </w:tr>
      <w:tr>
        <w:tc>
          <w:tcPr>
            <w:tcW w:type="dxa" w:w="1440"/>
            <w:vAlign w:val="top"/>
            <w:tcMar>
              <w:top w:w="40" w:type="dxa"/>
              <w:left w:w="40" w:type="dxa"/>
              <w:bottom w:w="40" w:type="dxa"/>
              <w:right w:w="40" w:type="dxa"/>
            </w:tcMar>
          </w:tcPr>
          <w:p>
            <w:pPr>
              <w:spacing w:after="0"/>
            </w:pPr>
            <w:r/>
            <w:r>
              <w:rPr>
                <w:b w:val="0"/>
                <w:sz w:val="14"/>
              </w:rPr>
              <w:t>10.0</w:t>
            </w:r>
          </w:p>
        </w:tc>
        <w:tc>
          <w:tcPr>
            <w:tcW w:type="dxa" w:w="1152"/>
            <w:vAlign w:val="top"/>
            <w:tcMar>
              <w:top w:w="40" w:type="dxa"/>
              <w:left w:w="40" w:type="dxa"/>
              <w:bottom w:w="40" w:type="dxa"/>
              <w:right w:w="40" w:type="dxa"/>
            </w:tcMar>
          </w:tcPr>
          <w:p>
            <w:pPr>
              <w:spacing w:after="0"/>
            </w:pPr>
            <w:r/>
            <w:r>
              <w:rPr>
                <w:b w:val="0"/>
                <w:sz w:val="14"/>
              </w:rPr>
              <w:t>10.0</w:t>
            </w:r>
          </w:p>
        </w:tc>
        <w:tc>
          <w:tcPr>
            <w:tcW w:type="dxa" w:w="1584"/>
            <w:vAlign w:val="top"/>
            <w:tcMar>
              <w:top w:w="40" w:type="dxa"/>
              <w:left w:w="40" w:type="dxa"/>
              <w:bottom w:w="40" w:type="dxa"/>
              <w:right w:w="40" w:type="dxa"/>
            </w:tcMar>
          </w:tcPr>
          <w:p>
            <w:pPr>
              <w:spacing w:after="0"/>
            </w:pPr>
            <w:r/>
            <w:r>
              <w:rPr>
                <w:b w:val="0"/>
                <w:sz w:val="14"/>
              </w:rPr>
              <w:t>113.3</w:t>
            </w:r>
          </w:p>
        </w:tc>
        <w:tc>
          <w:tcPr>
            <w:tcW w:type="dxa" w:w="1584"/>
            <w:vAlign w:val="top"/>
            <w:tcMar>
              <w:top w:w="40" w:type="dxa"/>
              <w:left w:w="40" w:type="dxa"/>
              <w:bottom w:w="40" w:type="dxa"/>
              <w:right w:w="40" w:type="dxa"/>
            </w:tcMar>
          </w:tcPr>
          <w:p>
            <w:pPr>
              <w:spacing w:after="0"/>
            </w:pPr>
            <w:r/>
            <w:r>
              <w:rPr>
                <w:b w:val="0"/>
                <w:sz w:val="14"/>
              </w:rPr>
              <w:t>59.3</w:t>
            </w:r>
          </w:p>
        </w:tc>
        <w:tc>
          <w:tcPr>
            <w:tcW w:type="dxa" w:w="1728"/>
            <w:vAlign w:val="top"/>
            <w:tcMar>
              <w:top w:w="40" w:type="dxa"/>
              <w:left w:w="40" w:type="dxa"/>
              <w:bottom w:w="40" w:type="dxa"/>
              <w:right w:w="40" w:type="dxa"/>
            </w:tcMar>
          </w:tcPr>
          <w:p>
            <w:pPr>
              <w:spacing w:after="0"/>
            </w:pPr>
            <w:r/>
            <w:r>
              <w:rPr>
                <w:b w:val="0"/>
                <w:sz w:val="14"/>
              </w:rPr>
              <w:t>6.9</w:t>
            </w:r>
          </w:p>
        </w:tc>
        <w:tc>
          <w:tcPr>
            <w:tcW w:type="dxa" w:w="2016"/>
            <w:vAlign w:val="top"/>
            <w:tcMar>
              <w:top w:w="40" w:type="dxa"/>
              <w:left w:w="40" w:type="dxa"/>
              <w:bottom w:w="40" w:type="dxa"/>
              <w:right w:w="40" w:type="dxa"/>
            </w:tcMar>
          </w:tcPr>
          <w:p>
            <w:pPr>
              <w:spacing w:after="0"/>
            </w:pPr>
            <w:r/>
            <w:r>
              <w:rPr>
                <w:b w:val="0"/>
                <w:sz w:val="14"/>
              </w:rPr>
              <w:t>13.3</w:t>
            </w:r>
          </w:p>
        </w:tc>
      </w:tr>
      <w:tr>
        <w:tc>
          <w:tcPr>
            <w:tcW w:type="dxa" w:w="1440"/>
            <w:vAlign w:val="top"/>
            <w:tcMar>
              <w:top w:w="40" w:type="dxa"/>
              <w:left w:w="40" w:type="dxa"/>
              <w:bottom w:w="40" w:type="dxa"/>
              <w:right w:w="40" w:type="dxa"/>
            </w:tcMar>
          </w:tcPr>
          <w:p>
            <w:pPr>
              <w:spacing w:after="0"/>
            </w:pPr>
            <w:r/>
            <w:r>
              <w:rPr>
                <w:b w:val="0"/>
                <w:sz w:val="14"/>
              </w:rPr>
              <w:t>10.0</w:t>
            </w:r>
          </w:p>
        </w:tc>
        <w:tc>
          <w:tcPr>
            <w:tcW w:type="dxa" w:w="1152"/>
            <w:vAlign w:val="top"/>
            <w:tcMar>
              <w:top w:w="40" w:type="dxa"/>
              <w:left w:w="40" w:type="dxa"/>
              <w:bottom w:w="40" w:type="dxa"/>
              <w:right w:w="40" w:type="dxa"/>
            </w:tcMar>
          </w:tcPr>
          <w:p>
            <w:pPr>
              <w:spacing w:after="0"/>
            </w:pPr>
            <w:r/>
            <w:r>
              <w:rPr>
                <w:b w:val="0"/>
                <w:sz w:val="14"/>
              </w:rPr>
              <w:t>50.0</w:t>
            </w:r>
          </w:p>
        </w:tc>
        <w:tc>
          <w:tcPr>
            <w:tcW w:type="dxa" w:w="1584"/>
            <w:vAlign w:val="top"/>
            <w:tcMar>
              <w:top w:w="40" w:type="dxa"/>
              <w:left w:w="40" w:type="dxa"/>
              <w:bottom w:w="40" w:type="dxa"/>
              <w:right w:w="40" w:type="dxa"/>
            </w:tcMar>
          </w:tcPr>
          <w:p>
            <w:pPr>
              <w:spacing w:after="0"/>
            </w:pPr>
            <w:r/>
            <w:r>
              <w:rPr>
                <w:b w:val="0"/>
                <w:sz w:val="14"/>
              </w:rPr>
              <w:t>153.3</w:t>
            </w:r>
          </w:p>
        </w:tc>
        <w:tc>
          <w:tcPr>
            <w:tcW w:type="dxa" w:w="1584"/>
            <w:vAlign w:val="top"/>
            <w:tcMar>
              <w:top w:w="40" w:type="dxa"/>
              <w:left w:w="40" w:type="dxa"/>
              <w:bottom w:w="40" w:type="dxa"/>
              <w:right w:w="40" w:type="dxa"/>
            </w:tcMar>
          </w:tcPr>
          <w:p>
            <w:pPr>
              <w:spacing w:after="0"/>
            </w:pPr>
            <w:r/>
            <w:r>
              <w:rPr>
                <w:b w:val="0"/>
                <w:sz w:val="14"/>
              </w:rPr>
              <w:t>99.3</w:t>
            </w:r>
          </w:p>
        </w:tc>
        <w:tc>
          <w:tcPr>
            <w:tcW w:type="dxa" w:w="1728"/>
            <w:vAlign w:val="top"/>
            <w:tcMar>
              <w:top w:w="40" w:type="dxa"/>
              <w:left w:w="40" w:type="dxa"/>
              <w:bottom w:w="40" w:type="dxa"/>
              <w:right w:w="40" w:type="dxa"/>
            </w:tcMar>
          </w:tcPr>
          <w:p>
            <w:pPr>
              <w:spacing w:after="0"/>
            </w:pPr>
            <w:r/>
            <w:r>
              <w:rPr>
                <w:b w:val="0"/>
                <w:sz w:val="14"/>
              </w:rPr>
              <w:t>5.1</w:t>
            </w:r>
          </w:p>
        </w:tc>
        <w:tc>
          <w:tcPr>
            <w:tcW w:type="dxa" w:w="2016"/>
            <w:vAlign w:val="top"/>
            <w:tcMar>
              <w:top w:w="40" w:type="dxa"/>
              <w:left w:w="40" w:type="dxa"/>
              <w:bottom w:w="40" w:type="dxa"/>
              <w:right w:w="40" w:type="dxa"/>
            </w:tcMar>
          </w:tcPr>
          <w:p>
            <w:pPr>
              <w:spacing w:after="0"/>
            </w:pPr>
            <w:r/>
            <w:r>
              <w:rPr>
                <w:b w:val="0"/>
                <w:sz w:val="14"/>
              </w:rPr>
              <w:t>7.9</w:t>
            </w:r>
          </w:p>
        </w:tc>
      </w:tr>
      <w:tr>
        <w:tc>
          <w:tcPr>
            <w:tcW w:type="dxa" w:w="1440"/>
            <w:vAlign w:val="top"/>
            <w:tcMar>
              <w:top w:w="40" w:type="dxa"/>
              <w:left w:w="40" w:type="dxa"/>
              <w:bottom w:w="40" w:type="dxa"/>
              <w:right w:w="40" w:type="dxa"/>
            </w:tcMar>
          </w:tcPr>
          <w:p>
            <w:pPr>
              <w:spacing w:after="0"/>
            </w:pPr>
            <w:r/>
            <w:r>
              <w:rPr>
                <w:b w:val="0"/>
                <w:sz w:val="14"/>
              </w:rPr>
              <w:t>25.0</w:t>
            </w:r>
          </w:p>
        </w:tc>
        <w:tc>
          <w:tcPr>
            <w:tcW w:type="dxa" w:w="1152"/>
            <w:vAlign w:val="top"/>
            <w:tcMar>
              <w:top w:w="40" w:type="dxa"/>
              <w:left w:w="40" w:type="dxa"/>
              <w:bottom w:w="40" w:type="dxa"/>
              <w:right w:w="40" w:type="dxa"/>
            </w:tcMar>
          </w:tcPr>
          <w:p>
            <w:pPr>
              <w:spacing w:after="0"/>
            </w:pPr>
            <w:r/>
            <w:r>
              <w:rPr>
                <w:b w:val="0"/>
                <w:sz w:val="14"/>
              </w:rPr>
              <w:t>10.0</w:t>
            </w:r>
          </w:p>
        </w:tc>
        <w:tc>
          <w:tcPr>
            <w:tcW w:type="dxa" w:w="1584"/>
            <w:vAlign w:val="top"/>
            <w:tcMar>
              <w:top w:w="40" w:type="dxa"/>
              <w:left w:w="40" w:type="dxa"/>
              <w:bottom w:w="40" w:type="dxa"/>
              <w:right w:w="40" w:type="dxa"/>
            </w:tcMar>
          </w:tcPr>
          <w:p>
            <w:pPr>
              <w:spacing w:after="0"/>
            </w:pPr>
            <w:r/>
            <w:r>
              <w:rPr>
                <w:b w:val="0"/>
                <w:sz w:val="14"/>
              </w:rPr>
              <w:t>51.3</w:t>
            </w:r>
          </w:p>
        </w:tc>
        <w:tc>
          <w:tcPr>
            <w:tcW w:type="dxa" w:w="1584"/>
            <w:vAlign w:val="top"/>
            <w:tcMar>
              <w:top w:w="40" w:type="dxa"/>
              <w:left w:w="40" w:type="dxa"/>
              <w:bottom w:w="40" w:type="dxa"/>
              <w:right w:w="40" w:type="dxa"/>
            </w:tcMar>
          </w:tcPr>
          <w:p>
            <w:pPr>
              <w:spacing w:after="0"/>
            </w:pPr>
            <w:r/>
            <w:r>
              <w:rPr>
                <w:b w:val="0"/>
                <w:sz w:val="14"/>
              </w:rPr>
              <w:t>29.7</w:t>
            </w:r>
          </w:p>
        </w:tc>
        <w:tc>
          <w:tcPr>
            <w:tcW w:type="dxa" w:w="1728"/>
            <w:vAlign w:val="top"/>
            <w:tcMar>
              <w:top w:w="40" w:type="dxa"/>
              <w:left w:w="40" w:type="dxa"/>
              <w:bottom w:w="40" w:type="dxa"/>
              <w:right w:w="40" w:type="dxa"/>
            </w:tcMar>
          </w:tcPr>
          <w:p>
            <w:pPr>
              <w:spacing w:after="0"/>
            </w:pPr>
            <w:r/>
            <w:r>
              <w:rPr>
                <w:b w:val="0"/>
                <w:sz w:val="14"/>
              </w:rPr>
              <w:t>15.3</w:t>
            </w:r>
          </w:p>
        </w:tc>
        <w:tc>
          <w:tcPr>
            <w:tcW w:type="dxa" w:w="2016"/>
            <w:vAlign w:val="top"/>
            <w:tcMar>
              <w:top w:w="40" w:type="dxa"/>
              <w:left w:w="40" w:type="dxa"/>
              <w:bottom w:w="40" w:type="dxa"/>
              <w:right w:w="40" w:type="dxa"/>
            </w:tcMar>
          </w:tcPr>
          <w:p>
            <w:pPr>
              <w:spacing w:after="0"/>
            </w:pPr>
            <w:r/>
            <w:r>
              <w:rPr>
                <w:b w:val="0"/>
                <w:sz w:val="14"/>
              </w:rPr>
              <w:t>26.5</w:t>
            </w:r>
          </w:p>
        </w:tc>
      </w:tr>
      <w:tr>
        <w:tc>
          <w:tcPr>
            <w:tcW w:type="dxa" w:w="1440"/>
            <w:vAlign w:val="top"/>
            <w:tcMar>
              <w:top w:w="40" w:type="dxa"/>
              <w:left w:w="40" w:type="dxa"/>
              <w:bottom w:w="40" w:type="dxa"/>
              <w:right w:w="40" w:type="dxa"/>
            </w:tcMar>
          </w:tcPr>
          <w:p>
            <w:pPr>
              <w:spacing w:after="0"/>
            </w:pPr>
            <w:r/>
            <w:r>
              <w:rPr>
                <w:b w:val="0"/>
                <w:sz w:val="14"/>
              </w:rPr>
              <w:t>25.0</w:t>
            </w:r>
          </w:p>
        </w:tc>
        <w:tc>
          <w:tcPr>
            <w:tcW w:type="dxa" w:w="1152"/>
            <w:vAlign w:val="top"/>
            <w:tcMar>
              <w:top w:w="40" w:type="dxa"/>
              <w:left w:w="40" w:type="dxa"/>
              <w:bottom w:w="40" w:type="dxa"/>
              <w:right w:w="40" w:type="dxa"/>
            </w:tcMar>
          </w:tcPr>
          <w:p>
            <w:pPr>
              <w:spacing w:after="0"/>
            </w:pPr>
            <w:r/>
            <w:r>
              <w:rPr>
                <w:b w:val="0"/>
                <w:sz w:val="14"/>
              </w:rPr>
              <w:t>50.0</w:t>
            </w:r>
          </w:p>
        </w:tc>
        <w:tc>
          <w:tcPr>
            <w:tcW w:type="dxa" w:w="1584"/>
            <w:vAlign w:val="top"/>
            <w:tcMar>
              <w:top w:w="40" w:type="dxa"/>
              <w:left w:w="40" w:type="dxa"/>
              <w:bottom w:w="40" w:type="dxa"/>
              <w:right w:w="40" w:type="dxa"/>
            </w:tcMar>
          </w:tcPr>
          <w:p>
            <w:pPr>
              <w:spacing w:after="0"/>
            </w:pPr>
            <w:r/>
            <w:r>
              <w:rPr>
                <w:b w:val="0"/>
                <w:sz w:val="14"/>
              </w:rPr>
              <w:t>91.3</w:t>
            </w:r>
          </w:p>
        </w:tc>
        <w:tc>
          <w:tcPr>
            <w:tcW w:type="dxa" w:w="1584"/>
            <w:vAlign w:val="top"/>
            <w:tcMar>
              <w:top w:w="40" w:type="dxa"/>
              <w:left w:w="40" w:type="dxa"/>
              <w:bottom w:w="40" w:type="dxa"/>
              <w:right w:w="40" w:type="dxa"/>
            </w:tcMar>
          </w:tcPr>
          <w:p>
            <w:pPr>
              <w:spacing w:after="0"/>
            </w:pPr>
            <w:r/>
            <w:r>
              <w:rPr>
                <w:b w:val="0"/>
                <w:sz w:val="14"/>
              </w:rPr>
              <w:t>69.7</w:t>
            </w:r>
          </w:p>
        </w:tc>
        <w:tc>
          <w:tcPr>
            <w:tcW w:type="dxa" w:w="1728"/>
            <w:vAlign w:val="top"/>
            <w:tcMar>
              <w:top w:w="40" w:type="dxa"/>
              <w:left w:w="40" w:type="dxa"/>
              <w:bottom w:w="40" w:type="dxa"/>
              <w:right w:w="40" w:type="dxa"/>
            </w:tcMar>
          </w:tcPr>
          <w:p>
            <w:pPr>
              <w:spacing w:after="0"/>
            </w:pPr>
            <w:r/>
            <w:r>
              <w:rPr>
                <w:b w:val="0"/>
                <w:sz w:val="14"/>
              </w:rPr>
              <w:t>8.6</w:t>
            </w:r>
          </w:p>
        </w:tc>
        <w:tc>
          <w:tcPr>
            <w:tcW w:type="dxa" w:w="2016"/>
            <w:vAlign w:val="top"/>
            <w:tcMar>
              <w:top w:w="40" w:type="dxa"/>
              <w:left w:w="40" w:type="dxa"/>
              <w:bottom w:w="40" w:type="dxa"/>
              <w:right w:w="40" w:type="dxa"/>
            </w:tcMar>
          </w:tcPr>
          <w:p>
            <w:pPr>
              <w:spacing w:after="0"/>
            </w:pPr>
            <w:r/>
            <w:r>
              <w:rPr>
                <w:b w:val="0"/>
                <w:sz w:val="14"/>
              </w:rPr>
              <w:t>11.3</w:t>
            </w:r>
          </w:p>
        </w:tc>
      </w:tr>
      <w:tr>
        <w:tc>
          <w:tcPr>
            <w:tcW w:type="dxa" w:w="1440"/>
            <w:vAlign w:val="top"/>
            <w:tcMar>
              <w:top w:w="40" w:type="dxa"/>
              <w:left w:w="40" w:type="dxa"/>
              <w:bottom w:w="40" w:type="dxa"/>
              <w:right w:w="40" w:type="dxa"/>
            </w:tcMar>
          </w:tcPr>
          <w:p>
            <w:pPr>
              <w:spacing w:after="0"/>
            </w:pPr>
            <w:r/>
            <w:r>
              <w:rPr>
                <w:b w:val="0"/>
                <w:sz w:val="14"/>
              </w:rPr>
              <w:t>100.0</w:t>
            </w:r>
          </w:p>
        </w:tc>
        <w:tc>
          <w:tcPr>
            <w:tcW w:type="dxa" w:w="1152"/>
            <w:vAlign w:val="top"/>
            <w:tcMar>
              <w:top w:w="40" w:type="dxa"/>
              <w:left w:w="40" w:type="dxa"/>
              <w:bottom w:w="40" w:type="dxa"/>
              <w:right w:w="40" w:type="dxa"/>
            </w:tcMar>
          </w:tcPr>
          <w:p>
            <w:pPr>
              <w:spacing w:after="0"/>
            </w:pPr>
            <w:r/>
            <w:r>
              <w:rPr>
                <w:b w:val="0"/>
                <w:sz w:val="14"/>
              </w:rPr>
              <w:t>10.0</w:t>
            </w:r>
          </w:p>
        </w:tc>
        <w:tc>
          <w:tcPr>
            <w:tcW w:type="dxa" w:w="1584"/>
            <w:vAlign w:val="top"/>
            <w:tcMar>
              <w:top w:w="40" w:type="dxa"/>
              <w:left w:w="40" w:type="dxa"/>
              <w:bottom w:w="40" w:type="dxa"/>
              <w:right w:w="40" w:type="dxa"/>
            </w:tcMar>
          </w:tcPr>
          <w:p>
            <w:pPr>
              <w:spacing w:after="0"/>
            </w:pPr>
            <w:r/>
            <w:r>
              <w:rPr>
                <w:b w:val="0"/>
                <w:sz w:val="14"/>
              </w:rPr>
              <w:t>20.3</w:t>
            </w:r>
          </w:p>
        </w:tc>
        <w:tc>
          <w:tcPr>
            <w:tcW w:type="dxa" w:w="1584"/>
            <w:vAlign w:val="top"/>
            <w:tcMar>
              <w:top w:w="40" w:type="dxa"/>
              <w:left w:w="40" w:type="dxa"/>
              <w:bottom w:w="40" w:type="dxa"/>
              <w:right w:w="40" w:type="dxa"/>
            </w:tcMar>
          </w:tcPr>
          <w:p>
            <w:pPr>
              <w:spacing w:after="0"/>
            </w:pPr>
            <w:r/>
            <w:r>
              <w:rPr>
                <w:b w:val="0"/>
                <w:sz w:val="14"/>
              </w:rPr>
              <w:t>14.9</w:t>
            </w:r>
          </w:p>
        </w:tc>
        <w:tc>
          <w:tcPr>
            <w:tcW w:type="dxa" w:w="1728"/>
            <w:vAlign w:val="top"/>
            <w:tcMar>
              <w:top w:w="40" w:type="dxa"/>
              <w:left w:w="40" w:type="dxa"/>
              <w:bottom w:w="40" w:type="dxa"/>
              <w:right w:w="40" w:type="dxa"/>
            </w:tcMar>
          </w:tcPr>
          <w:p>
            <w:pPr>
              <w:spacing w:after="0"/>
            </w:pPr>
            <w:r/>
            <w:r>
              <w:rPr>
                <w:b w:val="0"/>
                <w:sz w:val="14"/>
              </w:rPr>
              <w:t>38.7</w:t>
            </w:r>
          </w:p>
        </w:tc>
        <w:tc>
          <w:tcPr>
            <w:tcW w:type="dxa" w:w="2016"/>
            <w:vAlign w:val="top"/>
            <w:tcMar>
              <w:top w:w="40" w:type="dxa"/>
              <w:left w:w="40" w:type="dxa"/>
              <w:bottom w:w="40" w:type="dxa"/>
              <w:right w:w="40" w:type="dxa"/>
            </w:tcMar>
          </w:tcPr>
          <w:p>
            <w:pPr>
              <w:spacing w:after="0"/>
            </w:pPr>
            <w:r/>
            <w:r>
              <w:rPr>
                <w:b w:val="0"/>
                <w:sz w:val="14"/>
              </w:rPr>
              <w:t>52.7</w:t>
            </w:r>
          </w:p>
        </w:tc>
      </w:tr>
      <w:tr>
        <w:tc>
          <w:tcPr>
            <w:tcW w:type="dxa" w:w="1440"/>
            <w:vAlign w:val="top"/>
            <w:tcMar>
              <w:top w:w="40" w:type="dxa"/>
              <w:left w:w="40" w:type="dxa"/>
              <w:bottom w:w="40" w:type="dxa"/>
              <w:right w:w="40" w:type="dxa"/>
            </w:tcMar>
          </w:tcPr>
          <w:p>
            <w:pPr>
              <w:spacing w:after="0"/>
            </w:pPr>
            <w:r/>
            <w:r>
              <w:rPr>
                <w:b w:val="0"/>
                <w:sz w:val="14"/>
              </w:rPr>
              <w:t>100.0</w:t>
            </w:r>
          </w:p>
        </w:tc>
        <w:tc>
          <w:tcPr>
            <w:tcW w:type="dxa" w:w="1152"/>
            <w:vAlign w:val="top"/>
            <w:tcMar>
              <w:top w:w="40" w:type="dxa"/>
              <w:left w:w="40" w:type="dxa"/>
              <w:bottom w:w="40" w:type="dxa"/>
              <w:right w:w="40" w:type="dxa"/>
            </w:tcMar>
          </w:tcPr>
          <w:p>
            <w:pPr>
              <w:spacing w:after="0"/>
            </w:pPr>
            <w:r/>
            <w:r>
              <w:rPr>
                <w:b w:val="0"/>
                <w:sz w:val="14"/>
              </w:rPr>
              <w:t>50.0</w:t>
            </w:r>
          </w:p>
        </w:tc>
        <w:tc>
          <w:tcPr>
            <w:tcW w:type="dxa" w:w="1584"/>
            <w:vAlign w:val="top"/>
            <w:tcMar>
              <w:top w:w="40" w:type="dxa"/>
              <w:left w:w="40" w:type="dxa"/>
              <w:bottom w:w="40" w:type="dxa"/>
              <w:right w:w="40" w:type="dxa"/>
            </w:tcMar>
          </w:tcPr>
          <w:p>
            <w:pPr>
              <w:spacing w:after="0"/>
            </w:pPr>
            <w:r/>
            <w:r>
              <w:rPr>
                <w:b w:val="0"/>
                <w:sz w:val="14"/>
              </w:rPr>
              <w:t>60.3</w:t>
            </w:r>
          </w:p>
        </w:tc>
        <w:tc>
          <w:tcPr>
            <w:tcW w:type="dxa" w:w="1584"/>
            <w:vAlign w:val="top"/>
            <w:tcMar>
              <w:top w:w="40" w:type="dxa"/>
              <w:left w:w="40" w:type="dxa"/>
              <w:bottom w:w="40" w:type="dxa"/>
              <w:right w:w="40" w:type="dxa"/>
            </w:tcMar>
          </w:tcPr>
          <w:p>
            <w:pPr>
              <w:spacing w:after="0"/>
            </w:pPr>
            <w:r/>
            <w:r>
              <w:rPr>
                <w:b w:val="0"/>
                <w:sz w:val="14"/>
              </w:rPr>
              <w:t>54.9</w:t>
            </w:r>
          </w:p>
        </w:tc>
        <w:tc>
          <w:tcPr>
            <w:tcW w:type="dxa" w:w="1728"/>
            <w:vAlign w:val="top"/>
            <w:tcMar>
              <w:top w:w="40" w:type="dxa"/>
              <w:left w:w="40" w:type="dxa"/>
              <w:bottom w:w="40" w:type="dxa"/>
              <w:right w:w="40" w:type="dxa"/>
            </w:tcMar>
          </w:tcPr>
          <w:p>
            <w:pPr>
              <w:spacing w:after="0"/>
            </w:pPr>
            <w:r/>
            <w:r>
              <w:rPr>
                <w:b w:val="0"/>
                <w:sz w:val="14"/>
              </w:rPr>
              <w:t>13.0</w:t>
            </w:r>
          </w:p>
        </w:tc>
        <w:tc>
          <w:tcPr>
            <w:tcW w:type="dxa" w:w="2016"/>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does not include a full tc/netem or Mininet congestion-control study; the competing-flow and bottleneck results are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19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19.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or file object and can run a delta protocol; and HTTP delta or shared-dictionary transport is best when the application is HTTP and a codec-level dictionary suffices.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(competing-flow Jain indices and fluid bottleneck emulation in Section 10) is conservative and does not replace a full network-emulator congestion-control study, and all transport experiments run over localhost with a deterministic loss proxy rather than over a real path with diverse RTT, bandwidth, and loss.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tc/netem or Mininet fairness experiments with competing real flows, packet capture, larger and independently captured registry or backup traces,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scripts/build_manuscript_v2_9.py and scripts/make_journal_figures_v2_8.py.</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GitHub repository, 2026. https://github.com/pinkysworld/redulink-deduplex-quic</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v2.9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