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MemberCube</w:t>
      </w:r>
    </w:p>
    <w:p>
      <w:pPr>
        <w:spacing w:after="60"/>
      </w:pPr>
      <w:r>
        <w:rPr>
          <w:color w:val="2E5395"/>
          <w:sz w:val="26"/>
          <w:szCs w:val="26"/>
        </w:rPr>
        <w:t xml:space="preserve">SSAS Tabular Model — Design Reference</w:t>
      </w:r>
    </w:p>
    <w:p>
      <w:pPr>
        <w:spacing w:after="300"/>
      </w:pPr>
      <w:r>
        <w:rPr>
          <w:i/>
          <w:iCs/>
          <w:color w:val="595959"/>
          <w:sz w:val="19"/>
          <w:szCs w:val="19"/>
        </w:rPr>
        <w:t xml:space="preserve">Compatibility level 1500  ·  Data source: DRSVETLPSQL01 → CHC_STAR  ·  Culture: en-US</w:t>
      </w: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sz w:val="21"/>
          <w:szCs w:val="21"/>
        </w:rPr>
        <w:t xml:space="preserve">MemberCube is a SQL Server Analysis Services Tabular model (compatibility level 1500) built from a single relational source, CHC_STAR on DRSVETLPSQL01. It is a healthcare claims and utilization data warehouse: 38 tables, 40 relationships, and 27 DAX measures covering member eligibility, medical and pharmacy claims, provider/PCP assignment, authorizations, case management, lab results, and member services call activity.</w:t>
      </w:r>
    </w:p>
    <w:p>
      <w:pPr>
        <w:spacing w:after="160" w:line="276"/>
      </w:pPr>
      <w:r>
        <w:rPr>
          <w:sz w:val="21"/>
          <w:szCs w:val="21"/>
        </w:rPr>
        <w:t xml:space="preserve">Unlike a single-fact star schema, this model is a fact constellation (galaxy schema): several fact-grain tables — Claim, ClaimDetail, Enrollment, EnrollmentMonths, MemberMonth, Calls, CaseManagement, MemberAuths, ClaimAuths, and LabResults — each carry their own dimensions, and several of those fact tables also relate to each other.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Schema Type: Fact Constellation (Galaxy Schema)</w:t>
      </w:r>
    </w:p>
    <w:p>
      <w:pPr>
        <w:spacing w:after="160" w:line="276"/>
      </w:pPr>
      <w:r>
        <w:rPr>
          <w:sz w:val="21"/>
          <w:szCs w:val="21"/>
        </w:rPr>
        <w:t xml:space="preserve">All 38 tables grouped by role: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0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  <w:tc>
          <w:tcPr>
            <w:tcW w:type="dxa" w:w="4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 / bridge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MemberMonth, Claim, ClaimDetail, Enrollment, EnrollmentMonths, Calls, CaseManagement, MemberAuths, ClaimAuths, LabResults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Transactional / event-grain tables: claims, enrollment segments, member-month bridge, member services calls, case management activity, authorizations, lab results.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1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Member, CurrentPCP, MemberRateCode, MemberCRG</w:t>
            </w:r>
          </w:p>
        </w:tc>
        <w:tc>
          <w:tcPr>
            <w:tcW w:type="dxa" w:w="4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member attributes, current PCP assignment, rate code and clinical risk group (CRG) lookups.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/ network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ClaimProvider, CallsProvider, ClaimPCP, EnrollmentPCP, ClaimTaxonomy, Contract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identity and taxonomy, plus point-in-time PCP-of-record captured separately for claims and for enrollment segments.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Clinical / code reference</w:t>
            </w:r>
          </w:p>
        </w:tc>
        <w:tc>
          <w:tcPr>
            <w:tcW w:type="dxa" w:w="31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CPT, LabCPT, NDC, REV, ICD, ICD2, ICD3, POS, ClaimDRG, MemberCRG, EnrollMonthCRG, LabLOINC</w:t>
            </w:r>
          </w:p>
        </w:tc>
        <w:tc>
          <w:tcPr>
            <w:tcW w:type="dxa" w:w="4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Procedure, drug, revenue, diagnosis, place-of-service, DRG, and risk-group code tables. ICD is role-played three times for primary/secondary/tertiary diagnosis.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code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ClaimRateCode, EnrollRateCode, MemberMonth_RateCode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Rate/benefit code lookups joined at claim, enrollment, and member-month grain respectively.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(role-playing)</w:t>
            </w:r>
          </w:p>
        </w:tc>
        <w:tc>
          <w:tcPr>
            <w:tcW w:type="dxa" w:w="31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MemberMonth, ClaimPaidDate, ClaimStartDate, CallDate, LabDate</w:t>
            </w:r>
          </w:p>
        </w:tc>
        <w:tc>
          <w:tcPr>
            <w:tcW w:type="dxa" w:w="4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Five independent Year → Quarter → Month → Date calendars — one per fact table's relevant date — rather than one shared date dimension.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Relationships</w:t>
      </w:r>
    </w:p>
    <w:p>
      <w:pPr>
        <w:spacing w:after="160" w:line="276"/>
      </w:pPr>
      <w:r>
        <w:rPr>
          <w:sz w:val="21"/>
          <w:szCs w:val="21"/>
        </w:rPr>
        <w:t xml:space="preserve">40 relationships in total. 37 are single-direction (dimension filters the fact); three are bidirectional; one is stored inactive.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Table</w:t>
            </w:r>
          </w:p>
        </w:tc>
        <w:tc>
          <w:tcPr>
            <w:tcW w:type="dxa" w:w="23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3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Table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PK_ICD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PK_ICD2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ICD2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PK_ICD3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ICD3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PK_ContractID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PK_ProviderID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ClaimProvider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PK_MemberMonth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paiddate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ClaimPaidDate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startdate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ClaimStartDate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PK_RateCode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ClaimRateCode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ProviderTaxonomyCode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ClaimTaxonomy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PK_MemberMonth_RateCode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MemberMonth_RateCode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PK_EnrollID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ClaimPCP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PK_DRG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ClaimDRG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PK_AuthorizationID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ClaimAuths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NDC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NDC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 (active)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ClaimDetail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ProcedureCode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ClaimDetail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RevCode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ClaimDetail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ClaimDetail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PK_ClaimID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Bi-directional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ClaimDetail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NDC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NDC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Inactive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RateCode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EnrollRateCode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PK_EnrollID2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EnrollmentPCP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PK_EnrollID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PK_MemberMonth_RateCode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MemberMonth_RateCode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PK_MemberMonth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CRG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EnrollMonthCRG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RateCode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MemberRateCode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PK_MemberID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CurrentPCP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Bi-directional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CRG_Code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MemberCRG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Calls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PK_ProviderID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CallsProvider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PK_EnrollID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Calls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CallDate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CallDate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MemberAuths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CaseManagement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PK_MemberID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Bi-directional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LabResults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PK_MemberID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LabResults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ProcedureCode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LabCPT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LabResults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LOINC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LabLOINC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  <w:tr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LabResults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ServiceDate</w:t>
            </w:r>
          </w:p>
        </w:tc>
        <w:tc>
          <w:tcPr>
            <w:tcW w:type="dxa" w:w="23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LabDate</w:t>
            </w:r>
          </w:p>
        </w:tc>
        <w:tc>
          <w:tcPr>
            <w:tcW w:type="dxa" w:w="2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1-way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Key Design Patterns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Duplicated hidden key columns for extra active relationships — </w:t>
      </w:r>
      <w:r>
        <w:rPr>
          <w:sz w:val="21"/>
          <w:szCs w:val="21"/>
        </w:rPr>
        <w:t xml:space="preserve">Tabular allows only one active relationship per column pair. To attach a table via two different paths simultaneously, the model duplicates the key as a second hidden column — Member.PK_MemberID2 (for CurrentPCP), MemberMonth.PK_MemberMonth2 (for EnrollmentMonths), and Enrollment.PK_EnrollID2 (for EnrollmentPCP) — rather than relying on an inactive relationship plus USERELATIONSHIP.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One true role-playing relationship: NDC — </w:t>
      </w:r>
      <w:r>
        <w:rPr>
          <w:sz w:val="21"/>
          <w:szCs w:val="21"/>
        </w:rPr>
        <w:t xml:space="preserve">ClaimDetail.NDC → NDC is stored inactive because Claim.NDC → NDC is already active on the same table. Any measure that needs the ClaimDetail-side NDC relationship must wrap the calculation in USERELATIONSHIP(ClaimDetail[NDC], NDC[NDC]).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Diagnosis codes are role-played three times — </w:t>
      </w:r>
      <w:r>
        <w:rPr>
          <w:sz w:val="21"/>
          <w:szCs w:val="21"/>
        </w:rPr>
        <w:t xml:space="preserve">Claim carries PK_ICD, PK_ICD2, and PK_ICD3, each relating to its own copy of the ICD table (ICD, ICD2, ICD3) — modeling primary, secondary, and tertiary diagnosis without a single shared ICD dimension.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PCP is tracked three separate ways — </w:t>
      </w:r>
      <w:r>
        <w:rPr>
          <w:sz w:val="21"/>
          <w:szCs w:val="21"/>
        </w:rPr>
        <w:t xml:space="preserve">CurrentPCP (bidirectional, off Member — today's assignment), ClaimPCP (off Claim via PK_EnrollID — PCP of record at time of claim), and EnrollmentPCP (off Enrollment via PK_EnrollID2 — PCP of record for the enrollment segment). This preserves point-in-time PCP history instead of only the current assignment.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Five independent date dimensions — </w:t>
      </w:r>
      <w:r>
        <w:rPr>
          <w:sz w:val="21"/>
          <w:szCs w:val="21"/>
        </w:rPr>
        <w:t xml:space="preserve">MemberMonth, ClaimPaidDate, ClaimStartDate, CallDate, and LabDate are each separate Year → Quarter → Month → Date hierarchies, rather than one shared calendar table joined multiple times. Time intelligence (TOTALYTD, SAMEPERIODLASTYEAR) is written per-table rather than centrally.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Claim is snowflaked to ClaimDetail — </w:t>
      </w:r>
      <w:r>
        <w:rPr>
          <w:sz w:val="21"/>
          <w:szCs w:val="21"/>
        </w:rPr>
        <w:t xml:space="preserve">ClaimDetail → Claim is the only fact-to-fact relationship besides the MemberMonth bridge, modeling claim header vs. claim line detail (bidirectional, so filters propagate either way).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MemberMonth is the enrollment/claims bridge — </w:t>
      </w:r>
      <w:r>
        <w:rPr>
          <w:sz w:val="21"/>
          <w:szCs w:val="21"/>
        </w:rPr>
        <w:t xml:space="preserve">Both Claim and EnrollmentMonths relate to MemberMonth on a member+period key, making it the common grain that lets PMPM/MLR measures combine claims paid with premium and member-month counts from two otherwise-unrelated fact tables.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b/>
          <w:bCs/>
          <w:sz w:val="21"/>
          <w:szCs w:val="21"/>
        </w:rPr>
        <w:t xml:space="preserve">Self-contained data source — </w:t>
      </w:r>
      <w:r>
        <w:rPr>
          <w:sz w:val="21"/>
          <w:szCs w:val="21"/>
        </w:rPr>
        <w:t xml:space="preserve">Every partition query reads only from CHC_STAR — no cross-server or linked-server references were found in this model (unlike some sibling models in this environment that reach across servers).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Measures (27 total)</w:t>
      </w:r>
    </w:p>
    <w:p>
      <w:pPr>
        <w:spacing w:after="160" w:line="276"/>
      </w:pPr>
      <w:r>
        <w:rPr>
          <w:sz w:val="21"/>
          <w:szCs w:val="21"/>
        </w:rPr>
        <w:t xml:space="preserve">Grouped by hosting table. MemberMonth carries the bulk of the model's KPIs — standard health-plan metrics: MLR, PMPM, ALOS, utilization per 1,000, and YTD/prior-year variance.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2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Measure(s)</w:t>
            </w:r>
          </w:p>
        </w:tc>
        <w:tc>
          <w:tcPr>
            <w:tcW w:type="dxa" w:w="4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computes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Member_MLR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Medical loss ratio: DIVIDE(SUM(Claim[ClaimPaid]), SUM(EnrollmentMonths[Premium]))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Member_PMPM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per member per month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Claim_GenericRate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 of Navitus pharmacy claims filled with a generic NDC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ClaimDetail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UnitCost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paid ÷ line quantity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EnrollmentPremium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SUM(EnrollmentMonths[Premium])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EnrollmentMonths_MemberMonths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SUM(EnrollmentMonths[MemberMonth])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EnrollmentMonths_TotalPremium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SUM(EnrollmentMonths[Premium])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MLR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Medical loss ratio incl. UHRIP paid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PMPM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 per member per month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PaidDaysPerK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Inpatient paid days per 1,000 member months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ALOS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length of stay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TotalPremium / TotalPaid / TotalPaidDays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sums used by the ratio measures above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Encounters / EncountersPerK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Distinct encounter count and rate per 1,000 member months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EncountersPerK_ER / EncountersPerK_Inpatient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Utilization rate filtered to ER / Inpatient claim type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AvgClaimPaid / AvgPaidPerDay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paid per claim and per paid day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MemberMonth</w:t>
            </w:r>
          </w:p>
        </w:tc>
        <w:tc>
          <w:tcPr>
            <w:tcW w:type="dxa" w:w="2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PMPM_YTD / PMPM_YTD_SPLY / PMPM_YTD_Variance</w:t>
            </w:r>
          </w:p>
        </w:tc>
        <w:tc>
          <w:tcPr>
            <w:tcW w:type="dxa" w:w="4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Year-to-date PMPM, same-period-last-year, and the variance between them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ClaimStartDate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ClaimStartDate_ClaimPaid_YTD (+ SPLY, Variance)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Year-to-date paid claims by service date, with prior-year comparison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Calculated Columns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Claim.AgeOnDOS — INT(YEARFRAC(RELATED(Member[DOB]), Claim[startdate])) — member's age on the claim's date of service.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ClaimDetail.CostPerDay — IFERROR(LinePaid / DaysSupply, 0) — per-day cost for scripts/supplies with a days-supply quantity.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Security Roles</w:t>
      </w:r>
    </w:p>
    <w:p>
      <w:pPr>
        <w:spacing w:after="160" w:line="276"/>
      </w:pPr>
      <w:r>
        <w:rPr>
          <w:sz w:val="21"/>
          <w:szCs w:val="21"/>
        </w:rPr>
        <w:t xml:space="preserve">Same three-role pattern as the sibling Membership_Dashboard model — no row-level security expressions are defined anywhere in this model either.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200"/>
        <w:gridCol w:w="30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Member(s)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ReadAll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Everyone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read access — no row-level security filter defined.</w:t>
            </w:r>
          </w:p>
        </w:tc>
      </w:tr>
      <w:tr>
        <w:tc>
          <w:tcPr>
            <w:tcW w:type="dxa" w:w="15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</w:t>
            </w:r>
          </w:p>
        </w:tc>
        <w:tc>
          <w:tcPr>
            <w:tcW w:type="dxa" w:w="19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+ Refresh</w:t>
            </w:r>
          </w:p>
        </w:tc>
        <w:tc>
          <w:tcPr>
            <w:tcW w:type="dxa" w:w="22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CHCHEALTH\DB-FDP-ANA</w:t>
            </w:r>
          </w:p>
        </w:tc>
        <w:tc>
          <w:tcPr>
            <w:tcW w:type="dxa" w:w="3000"/>
            <w:shd w:fill="EDF2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account used for scheduled processing.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db_owner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CHCHEALTH\DB-FDP-ANA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model administration.</w:t>
            </w:r>
          </w:p>
        </w:tc>
      </w:tr>
    </w:tbl>
    <w:p>
      <w:pPr>
        <w:spacing w:before="20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E8A33D" w:sz="6"/>
              <w:left w:val="single" w:color="E8A33D" w:sz="6"/>
              <w:bottom w:val="single" w:color="E8A33D" w:sz="6"/>
              <w:right w:val="single" w:color="E8A33D" w:sz="6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Security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6"/>
            </w:pPr>
            <w:r>
              <w:rPr>
                <w:sz w:val="20"/>
                <w:szCs w:val="20"/>
              </w:rPr>
              <w:t xml:space="preserve">ReadAll grants read access to Everyone with no RLS filter. Member, MemberAuths, CaseManagement, and LabResults contain clinical/PHI-adjacent data (diagnosis, authorizations, case management notes, lab results) visible to any reader of this model.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Quick Reference Summary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Model type: SSAS Tabular, compatibility level 1500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Pattern: Fact constellation / galaxy schema — 10 fact-grain tables, 28 dimension/reference tables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Relationships: 40 total — 37 one-way, 3 bidirectional, 1 stored inactive (NDC role-play)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Measures: 27, concentrated on MemberMonth (MLR, PMPM, utilization, YTD variance)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Calculated columns: 2 (AgeOnDOS, CostPerDay)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Date dimensions: 5 independent calendars (no shared date table)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Data source: single source, CHC_STAR — no cross-server dependencies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sz w:val="21"/>
          <w:szCs w:val="21"/>
        </w:rPr>
        <w:t xml:space="preserve">Security: role-based only, no RLS — ReadAll is open to Everyone</w:t>
      </w:r>
    </w:p>
    <w:sectPr>
      <w:pgSz w:w="12240" w:h="15840" w:orient="portrait"/>
      <w:pgMar w:top="1000" w:right="950" w:bottom="10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2026-08-30T03:24:21.338Z</dcterms:created>
  <dcterms:modified xsi:type="dcterms:W3CDTF">2026-08-30T03:24:21.338Z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