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Membership_Dashboard</w:t>
      </w:r>
    </w:p>
    <w:p>
      <w:pPr>
        <w:spacing w:after="60"/>
      </w:pPr>
      <w:r>
        <w:rPr>
          <w:color w:val="2E5395"/>
          <w:sz w:val="26"/>
          <w:szCs w:val="26"/>
        </w:rPr>
        <w:t xml:space="preserve">SSAS Tabular Model — Design Reference</w:t>
      </w:r>
    </w:p>
    <w:p>
      <w:pPr>
        <w:spacing w:after="300"/>
      </w:pPr>
      <w:r>
        <w:rPr>
          <w:i/>
          <w:iCs/>
          <w:color w:val="595959"/>
          <w:sz w:val="19"/>
          <w:szCs w:val="19"/>
        </w:rPr>
        <w:t xml:space="preserve">Compatibility level 1200  ·  Data source: SqlServer EADWGOLD,1103 → EADW  ·  Culture: en-US</w:t>
      </w:r>
    </w:p>
    <w:p>
      <w:pPr>
        <w:spacing w:after="200"/>
      </w:pPr>
      <w:r>
        <w:rPr>
          <w:b/>
          <w:bCs/>
          <w:color w:val="1F3864"/>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Overview</w:t>
      </w:r>
    </w:p>
    <w:p>
      <w:pPr>
        <w:spacing w:after="160" w:line="276"/>
      </w:pPr>
      <w:r>
        <w:rPr>
          <w:sz w:val="21"/>
          <w:szCs w:val="21"/>
        </w:rPr>
        <w:t xml:space="preserve">Membership_Dashboard is a SQL Server Analysis Services Tabular model (compatibility level 1200), not a multidimensional OLAP cube. It follows a classic star schema: a single fact table, MemberEnrollmentFact, sits at the center with eight dimension tables connected directly to it — no snowflaking and no dimension-to-dimension relationships.</w:t>
      </w:r>
    </w:p>
    <w:p>
      <w:pPr>
        <w:spacing w:after="160" w:line="276"/>
      </w:pPr>
      <w:r>
        <w:rPr>
          <w:sz w:val="21"/>
          <w:szCs w:val="21"/>
        </w:rPr>
        <w:t xml:space="preserve">The model is sourced from a single declared connection (SqlServer EADWGOLD,1103 → EADW), though two partitions reach across linked servers inside their SQL text (see Section 5).</w:t>
      </w:r>
    </w:p>
    <w:p>
      <w:pPr>
        <w:pStyle w:val="Heading1"/>
        <w:pBdr>
          <w:bottom w:val="single" w:color="1F3864" w:sz="8" w:space="4"/>
        </w:pBdr>
        <w:spacing w:after="160" w:before="360"/>
      </w:pPr>
      <w:r>
        <w:rPr>
          <w:b/>
          <w:bCs/>
          <w:color w:val="1F3864"/>
          <w:sz w:val="30"/>
          <w:szCs w:val="30"/>
        </w:rPr>
        <w:t xml:space="preserve">2. Schema Type: Star Schema</w:t>
      </w:r>
    </w:p>
    <w:p>
      <w:pPr>
        <w:spacing w:after="160" w:line="276"/>
      </w:pPr>
      <w:r>
        <w:rPr>
          <w:sz w:val="21"/>
          <w:szCs w:val="21"/>
        </w:rPr>
        <w:t xml:space="preserve">Fact table: MemberEnrollmentFact — grain is one row per member enrollment segment.</w:t>
      </w:r>
    </w:p>
    <w:p>
      <w:pPr>
        <w:spacing w:after="160" w:line="276"/>
      </w:pPr>
      <w:r>
        <w:rPr>
          <w:sz w:val="21"/>
          <w:szCs w:val="21"/>
        </w:rPr>
        <w:t xml:space="preserve">All eight dimensions attach only to the fact table (hub-and-spoke). Table roles and contents: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300"/>
      </w:tblGrid>
      <w:tr>
        <w:trPr>
          <w:tblHeader/>
        </w:trPr>
        <w:tc>
          <w:tcPr>
            <w:tcW w:type="dxa" w:w="2100"/>
            <w:shd w:fill="1F3864" w:val="clear"/>
            <w:tcMar>
              <w:top w:type="dxa" w:w="80"/>
              <w:left w:type="dxa" w:w="100"/>
              <w:bottom w:type="dxa" w:w="80"/>
              <w:right w:type="dxa" w:w="100"/>
            </w:tcMar>
          </w:tcPr>
          <w:p>
            <w:pPr>
              <w:jc w:val="left"/>
            </w:pPr>
            <w:r>
              <w:rPr>
                <w:b/>
                <w:bCs/>
                <w:color w:val="FFFFFF"/>
                <w:sz w:val="19"/>
                <w:szCs w:val="19"/>
              </w:rPr>
              <w:t xml:space="preserve">Table</w:t>
            </w:r>
          </w:p>
        </w:tc>
        <w:tc>
          <w:tcPr>
            <w:tcW w:type="dxa" w:w="1500"/>
            <w:shd w:fill="1F3864" w:val="clear"/>
            <w:tcMar>
              <w:top w:type="dxa" w:w="80"/>
              <w:left w:type="dxa" w:w="100"/>
              <w:bottom w:type="dxa" w:w="80"/>
              <w:right w:type="dxa" w:w="100"/>
            </w:tcMar>
          </w:tcPr>
          <w:p>
            <w:pPr>
              <w:jc w:val="left"/>
            </w:pPr>
            <w:r>
              <w:rPr>
                <w:b/>
                <w:bCs/>
                <w:color w:val="FFFFFF"/>
                <w:sz w:val="19"/>
                <w:szCs w:val="19"/>
              </w:rPr>
              <w:t xml:space="preserve">Role</w:t>
            </w:r>
          </w:p>
        </w:tc>
        <w:tc>
          <w:tcPr>
            <w:tcW w:type="dxa" w:w="4300"/>
            <w:shd w:fill="1F3864" w:val="clear"/>
            <w:tcMar>
              <w:top w:type="dxa" w:w="80"/>
              <w:left w:type="dxa" w:w="100"/>
              <w:bottom w:type="dxa" w:w="80"/>
              <w:right w:type="dxa" w:w="100"/>
            </w:tcMar>
          </w:tcPr>
          <w:p>
            <w:pPr>
              <w:jc w:val="left"/>
            </w:pPr>
            <w:r>
              <w:rPr>
                <w:b/>
                <w:bCs/>
                <w:color w:val="FFFFFF"/>
                <w:sz w:val="19"/>
                <w:szCs w:val="19"/>
              </w:rPr>
              <w:t xml:space="preserve">Contents</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FACT</w:t>
            </w:r>
          </w:p>
        </w:tc>
        <w:tc>
          <w:tcPr>
            <w:tcW w:type="dxa" w:w="4300"/>
            <w:shd w:fill="FFFFFF" w:val="clear"/>
            <w:tcMar>
              <w:top w:type="dxa" w:w="80"/>
              <w:left w:type="dxa" w:w="100"/>
              <w:bottom w:type="dxa" w:w="80"/>
              <w:right w:type="dxa" w:w="100"/>
            </w:tcMar>
          </w:tcPr>
          <w:p>
            <w:pPr>
              <w:jc w:val="left"/>
            </w:pPr>
            <w:r>
              <w:rPr>
                <w:b w:val="false"/>
                <w:bCs w:val="false"/>
                <w:color w:val="000000"/>
                <w:sz w:val="19"/>
                <w:szCs w:val="19"/>
              </w:rPr>
              <w:t xml:space="preserve">Grain: one row per member enrollment segment. Carries FKs to all 8 dimensions plus MemberMonths, coverage/rate codes, and a calculated Year column.</w:t>
            </w:r>
          </w:p>
        </w:tc>
      </w:tr>
      <w:tr>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MemberContact</w:t>
            </w:r>
          </w:p>
        </w:tc>
        <w:tc>
          <w:tcPr>
            <w:tcW w:type="dxa" w:w="1500"/>
            <w:shd w:fill="EDF2FA"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EDF2FA" w:val="clear"/>
            <w:tcMar>
              <w:top w:type="dxa" w:w="80"/>
              <w:left w:type="dxa" w:w="100"/>
              <w:bottom w:type="dxa" w:w="80"/>
              <w:right w:type="dxa" w:w="100"/>
            </w:tcMar>
          </w:tcPr>
          <w:p>
            <w:pPr>
              <w:jc w:val="left"/>
            </w:pPr>
            <w:r>
              <w:rPr>
                <w:b w:val="false"/>
                <w:bCs w:val="false"/>
                <w:color w:val="000000"/>
                <w:sz w:val="19"/>
                <w:szCs w:val="19"/>
              </w:rPr>
              <w:t xml:space="preserve">Mailing/physical address, phone, email. Computed Top20CountyFlag (Houston-area service region flag).</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MemberDemographics</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FFFFFF" w:val="clear"/>
            <w:tcMar>
              <w:top w:type="dxa" w:w="80"/>
              <w:left w:type="dxa" w:w="100"/>
              <w:bottom w:type="dxa" w:w="80"/>
              <w:right w:type="dxa" w:w="100"/>
            </w:tcMar>
          </w:tcPr>
          <w:p>
            <w:pPr>
              <w:jc w:val="left"/>
            </w:pPr>
            <w:r>
              <w:rPr>
                <w:b w:val="false"/>
                <w:bCs w:val="false"/>
                <w:color w:val="000000"/>
                <w:sz w:val="19"/>
                <w:szCs w:val="19"/>
              </w:rPr>
              <w:t xml:space="preserve">Name, DOB/DOD, gender, ethnicity, deceased flag. Computed MemberAge, Age_Cat age bands, and 65/26 aging countdowns.</w:t>
            </w:r>
          </w:p>
        </w:tc>
      </w:tr>
      <w:tr>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MemberHeader</w:t>
            </w:r>
          </w:p>
        </w:tc>
        <w:tc>
          <w:tcPr>
            <w:tcW w:type="dxa" w:w="1500"/>
            <w:shd w:fill="EDF2FA"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EDF2FA" w:val="clear"/>
            <w:tcMar>
              <w:top w:type="dxa" w:w="80"/>
              <w:left w:type="dxa" w:w="100"/>
              <w:bottom w:type="dxa" w:w="80"/>
              <w:right w:type="dxa" w:w="100"/>
            </w:tcMar>
          </w:tcPr>
          <w:p>
            <w:pPr>
              <w:jc w:val="left"/>
            </w:pPr>
            <w:r>
              <w:rPr>
                <w:b w:val="false"/>
                <w:bCs w:val="false"/>
                <w:color w:val="000000"/>
                <w:sz w:val="19"/>
                <w:szCs w:val="19"/>
              </w:rPr>
              <w:t xml:space="preserve">Cross-system member identifiers: QNXT, Salesforce Contact ID, SSN, MBI, HIC.</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MemberEligibility</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Dimension + Measures</w:t>
            </w:r>
          </w:p>
        </w:tc>
        <w:tc>
          <w:tcPr>
            <w:tcW w:type="dxa" w:w="4300"/>
            <w:shd w:fill="FFFFFF" w:val="clear"/>
            <w:tcMar>
              <w:top w:type="dxa" w:w="80"/>
              <w:left w:type="dxa" w:w="100"/>
              <w:bottom w:type="dxa" w:w="80"/>
              <w:right w:type="dxa" w:w="100"/>
            </w:tcMar>
          </w:tcPr>
          <w:p>
            <w:pPr>
              <w:jc w:val="left"/>
            </w:pPr>
            <w:r>
              <w:rPr>
                <w:b w:val="false"/>
                <w:bCs w:val="false"/>
                <w:color w:val="000000"/>
                <w:sz w:val="19"/>
                <w:szCs w:val="19"/>
              </w:rPr>
              <w:t xml:space="preserve">Enrollment effective/termination dates, rate/coverage codes. Computed TenureGroup, ActivEnroll, PlanExpires90. Hosts the model's only DAX measures (member-movement waterfall).</w:t>
            </w:r>
          </w:p>
        </w:tc>
      </w:tr>
      <w:tr>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MemberProduct</w:t>
            </w:r>
          </w:p>
        </w:tc>
        <w:tc>
          <w:tcPr>
            <w:tcW w:type="dxa" w:w="1500"/>
            <w:shd w:fill="EDF2FA"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EDF2FA" w:val="clear"/>
            <w:tcMar>
              <w:top w:type="dxa" w:w="80"/>
              <w:left w:type="dxa" w:w="100"/>
              <w:bottom w:type="dxa" w:w="80"/>
              <w:right w:type="dxa" w:w="100"/>
            </w:tcMar>
          </w:tcPr>
          <w:p>
            <w:pPr>
              <w:jc w:val="left"/>
            </w:pPr>
            <w:r>
              <w:rPr>
                <w:b w:val="false"/>
                <w:bCs w:val="false"/>
                <w:color w:val="000000"/>
                <w:sz w:val="19"/>
                <w:szCs w:val="19"/>
              </w:rPr>
              <w:t xml:space="preserve">Plan/product attributes: Line of Business, Company, Metal Tier, ACA plan/network type, HHSC rate code hierarchy, subsidy flags.</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PremiumHHSC</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FFFFFF" w:val="clear"/>
            <w:tcMar>
              <w:top w:type="dxa" w:w="80"/>
              <w:left w:type="dxa" w:w="100"/>
              <w:bottom w:type="dxa" w:w="80"/>
              <w:right w:type="dxa" w:w="100"/>
            </w:tcMar>
          </w:tcPr>
          <w:p>
            <w:pPr>
              <w:jc w:val="left"/>
            </w:pPr>
            <w:r>
              <w:rPr>
                <w:b w:val="false"/>
                <w:bCs w:val="false"/>
                <w:color w:val="000000"/>
                <w:sz w:val="19"/>
                <w:szCs w:val="19"/>
              </w:rPr>
              <w:t xml:space="preserve">Premium amounts and HHSC delivery/payment program (DPP) breakdowns, current and prior period.</w:t>
            </w:r>
          </w:p>
        </w:tc>
      </w:tr>
      <w:tr>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Softheon</w:t>
            </w:r>
          </w:p>
        </w:tc>
        <w:tc>
          <w:tcPr>
            <w:tcW w:type="dxa" w:w="1500"/>
            <w:shd w:fill="EDF2FA"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EDF2FA" w:val="clear"/>
            <w:tcMar>
              <w:top w:type="dxa" w:w="80"/>
              <w:left w:type="dxa" w:w="100"/>
              <w:bottom w:type="dxa" w:w="80"/>
              <w:right w:type="dxa" w:w="100"/>
            </w:tcMar>
          </w:tcPr>
          <w:p>
            <w:pPr>
              <w:jc w:val="left"/>
            </w:pPr>
            <w:r>
              <w:rPr>
                <w:b w:val="false"/>
                <w:bCs w:val="false"/>
                <w:color w:val="000000"/>
                <w:sz w:val="19"/>
                <w:szCs w:val="19"/>
              </w:rPr>
              <w:t xml:space="preserve">ACA marketplace/exchange enrollment detail: APTC, broker info, SEP, transaction/termination reasons.</w:t>
            </w:r>
          </w:p>
        </w:tc>
      </w:tr>
      <w:tr>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CareMgtFlags</w:t>
            </w:r>
          </w:p>
        </w:tc>
        <w:tc>
          <w:tcPr>
            <w:tcW w:type="dxa" w:w="1500"/>
            <w:shd w:fill="FFFFFF" w:val="clear"/>
            <w:tcMar>
              <w:top w:type="dxa" w:w="80"/>
              <w:left w:type="dxa" w:w="100"/>
              <w:bottom w:type="dxa" w:w="80"/>
              <w:right w:type="dxa" w:w="100"/>
            </w:tcMar>
          </w:tcPr>
          <w:p>
            <w:pPr>
              <w:jc w:val="left"/>
            </w:pPr>
            <w:r>
              <w:rPr>
                <w:b w:val="false"/>
                <w:bCs w:val="false"/>
                <w:color w:val="000000"/>
                <w:sz w:val="19"/>
                <w:szCs w:val="19"/>
              </w:rPr>
              <w:t xml:space="preserve">Dimension</w:t>
            </w:r>
          </w:p>
        </w:tc>
        <w:tc>
          <w:tcPr>
            <w:tcW w:type="dxa" w:w="4300"/>
            <w:shd w:fill="FFFFFF" w:val="clear"/>
            <w:tcMar>
              <w:top w:type="dxa" w:w="80"/>
              <w:left w:type="dxa" w:w="100"/>
              <w:bottom w:type="dxa" w:w="80"/>
              <w:right w:type="dxa" w:w="100"/>
            </w:tcMar>
          </w:tcPr>
          <w:p>
            <w:pPr>
              <w:jc w:val="left"/>
            </w:pPr>
            <w:r>
              <w:rPr>
                <w:b w:val="false"/>
                <w:bCs w:val="false"/>
                <w:color w:val="000000"/>
                <w:sz w:val="19"/>
                <w:szCs w:val="19"/>
              </w:rPr>
              <w:t xml:space="preserve">Diabetes/ESRD/CHF condition flags, pivoted per member from a care-management source.</w:t>
            </w:r>
          </w:p>
        </w:tc>
      </w:tr>
    </w:tbl>
    <w:p>
      <w:pPr>
        <w:pStyle w:val="Heading1"/>
        <w:pBdr>
          <w:bottom w:val="single" w:color="1F3864" w:sz="8" w:space="4"/>
        </w:pBdr>
        <w:spacing w:after="160" w:before="360"/>
      </w:pPr>
      <w:r>
        <w:rPr>
          <w:b/>
          <w:bCs/>
          <w:color w:val="1F3864"/>
          <w:sz w:val="30"/>
          <w:szCs w:val="30"/>
        </w:rPr>
        <w:t xml:space="preserve">3. Relationships</w:t>
      </w:r>
    </w:p>
    <w:p>
      <w:pPr>
        <w:spacing w:after="160" w:line="276"/>
      </w:pPr>
      <w:r>
        <w:rPr>
          <w:sz w:val="21"/>
          <w:szCs w:val="21"/>
        </w:rPr>
        <w:t xml:space="preserve">All eight relationships originate from MemberEnrollmentFact and use bidirectional cross-filtering (crossFilteringBehavior: bothDirections).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900"/>
      </w:tblGrid>
      <w:tr>
        <w:trPr>
          <w:tblHeader/>
        </w:trPr>
        <w:tc>
          <w:tcPr>
            <w:tcW w:type="dxa" w:w="2900"/>
            <w:shd w:fill="1F3864" w:val="clear"/>
            <w:tcMar>
              <w:top w:type="dxa" w:w="80"/>
              <w:left w:type="dxa" w:w="100"/>
              <w:bottom w:type="dxa" w:w="80"/>
              <w:right w:type="dxa" w:w="100"/>
            </w:tcMar>
          </w:tcPr>
          <w:p>
            <w:pPr>
              <w:jc w:val="left"/>
            </w:pPr>
            <w:r>
              <w:rPr>
                <w:b/>
                <w:bCs/>
                <w:color w:val="FFFFFF"/>
                <w:sz w:val="19"/>
                <w:szCs w:val="19"/>
              </w:rPr>
              <w:t xml:space="preserve">Fact Table</w:t>
            </w:r>
          </w:p>
        </w:tc>
        <w:tc>
          <w:tcPr>
            <w:tcW w:type="dxa" w:w="2100"/>
            <w:shd w:fill="1F3864" w:val="clear"/>
            <w:tcMar>
              <w:top w:type="dxa" w:w="80"/>
              <w:left w:type="dxa" w:w="100"/>
              <w:bottom w:type="dxa" w:w="80"/>
              <w:right w:type="dxa" w:w="100"/>
            </w:tcMar>
          </w:tcPr>
          <w:p>
            <w:pPr>
              <w:jc w:val="left"/>
            </w:pPr>
            <w:r>
              <w:rPr>
                <w:b/>
                <w:bCs/>
                <w:color w:val="FFFFFF"/>
                <w:sz w:val="19"/>
                <w:szCs w:val="19"/>
              </w:rPr>
              <w:t xml:space="preserve">Join Key</w:t>
            </w:r>
          </w:p>
        </w:tc>
        <w:tc>
          <w:tcPr>
            <w:tcW w:type="dxa" w:w="2900"/>
            <w:shd w:fill="1F3864" w:val="clear"/>
            <w:tcMar>
              <w:top w:type="dxa" w:w="80"/>
              <w:left w:type="dxa" w:w="100"/>
              <w:bottom w:type="dxa" w:w="80"/>
              <w:right w:type="dxa" w:w="100"/>
            </w:tcMar>
          </w:tcPr>
          <w:p>
            <w:pPr>
              <w:jc w:val="left"/>
            </w:pPr>
            <w:r>
              <w:rPr>
                <w:b/>
                <w:bCs/>
                <w:color w:val="FFFFFF"/>
                <w:sz w:val="19"/>
                <w:szCs w:val="19"/>
              </w:rPr>
              <w:t xml:space="preserve">Dimension Table</w:t>
            </w:r>
          </w:p>
        </w:tc>
      </w:tr>
      <w:tr>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EnterpriseMemberID</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MemberContact</w:t>
            </w:r>
          </w:p>
        </w:tc>
      </w:tr>
      <w:tr>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EnterpriseMemberID</w:t>
            </w:r>
          </w:p>
        </w:tc>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MemberDemographics</w:t>
            </w:r>
          </w:p>
        </w:tc>
      </w:tr>
      <w:tr>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EnterpriseMemberID</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MemberHeader</w:t>
            </w:r>
          </w:p>
        </w:tc>
      </w:tr>
      <w:tr>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EligibilitySID</w:t>
            </w:r>
          </w:p>
        </w:tc>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MemberEligibility</w:t>
            </w:r>
          </w:p>
        </w:tc>
      </w:tr>
      <w:tr>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ProductSID</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MemberProduct</w:t>
            </w:r>
          </w:p>
        </w:tc>
      </w:tr>
      <w:tr>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PremiumHHSCSID</w:t>
            </w:r>
          </w:p>
        </w:tc>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PremiumHHSC</w:t>
            </w:r>
          </w:p>
        </w:tc>
      </w:tr>
      <w:tr>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FFFFFF" w:val="clear"/>
            <w:tcMar>
              <w:top w:type="dxa" w:w="80"/>
              <w:left w:type="dxa" w:w="100"/>
              <w:bottom w:type="dxa" w:w="80"/>
              <w:right w:type="dxa" w:w="100"/>
            </w:tcMar>
          </w:tcPr>
          <w:p>
            <w:pPr>
              <w:jc w:val="left"/>
            </w:pPr>
            <w:r>
              <w:rPr>
                <w:b w:val="false"/>
                <w:bCs w:val="false"/>
                <w:color w:val="000000"/>
                <w:sz w:val="19"/>
                <w:szCs w:val="19"/>
              </w:rPr>
              <w:t xml:space="preserve">SofteonSID</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Softheon</w:t>
            </w:r>
          </w:p>
        </w:tc>
      </w:tr>
      <w:tr>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MemberEnrollmentFact</w:t>
            </w:r>
          </w:p>
        </w:tc>
        <w:tc>
          <w:tcPr>
            <w:tcW w:type="dxa" w:w="2100"/>
            <w:shd w:fill="EDF2FA" w:val="clear"/>
            <w:tcMar>
              <w:top w:type="dxa" w:w="80"/>
              <w:left w:type="dxa" w:w="100"/>
              <w:bottom w:type="dxa" w:w="80"/>
              <w:right w:type="dxa" w:w="100"/>
            </w:tcMar>
          </w:tcPr>
          <w:p>
            <w:pPr>
              <w:jc w:val="left"/>
            </w:pPr>
            <w:r>
              <w:rPr>
                <w:b w:val="false"/>
                <w:bCs w:val="false"/>
                <w:color w:val="000000"/>
                <w:sz w:val="19"/>
                <w:szCs w:val="19"/>
              </w:rPr>
              <w:t xml:space="preserve">HealthplanId</w:t>
            </w:r>
          </w:p>
        </w:tc>
        <w:tc>
          <w:tcPr>
            <w:tcW w:type="dxa" w:w="2900"/>
            <w:shd w:fill="EDF2FA" w:val="clear"/>
            <w:tcMar>
              <w:top w:type="dxa" w:w="80"/>
              <w:left w:type="dxa" w:w="100"/>
              <w:bottom w:type="dxa" w:w="80"/>
              <w:right w:type="dxa" w:w="100"/>
            </w:tcMar>
          </w:tcPr>
          <w:p>
            <w:pPr>
              <w:jc w:val="left"/>
            </w:pPr>
            <w:r>
              <w:rPr>
                <w:b w:val="false"/>
                <w:bCs w:val="false"/>
                <w:color w:val="000000"/>
                <w:sz w:val="19"/>
                <w:szCs w:val="19"/>
              </w:rPr>
              <w:t xml:space="preserve">CareMgtFlags</w:t>
            </w:r>
          </w:p>
        </w:tc>
      </w:tr>
    </w:tbl>
    <w:p>
      <w:pPr>
        <w:spacing w:before="20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900"/>
      </w:tblGrid>
      <w:tr>
        <w:tc>
          <w:tcPr>
            <w:tcW w:type="dxa" w:w="7900"/>
            <w:tcBorders>
              <w:top w:val="single" w:color="E8A33D" w:sz="6"/>
              <w:left w:val="single" w:color="E8A33D" w:sz="6"/>
              <w:bottom w:val="single" w:color="E8A33D" w:sz="6"/>
              <w:right w:val="single" w:color="E8A33D" w:sz="6"/>
            </w:tcBorders>
            <w:shd w:fill="FFF4E5" w:val="clear"/>
            <w:tcMar>
              <w:top w:type="dxa" w:w="160"/>
              <w:left w:type="dxa" w:w="200"/>
              <w:bottom w:type="dxa" w:w="160"/>
              <w:right w:type="dxa" w:w="200"/>
            </w:tcMar>
          </w:tcPr>
          <w:p>
            <w:pPr>
              <w:spacing w:after="80"/>
            </w:pPr>
            <w:r>
              <w:rPr>
                <w:b/>
                <w:bCs/>
                <w:color w:val="8A5A00"/>
                <w:sz w:val="21"/>
                <w:szCs w:val="21"/>
              </w:rPr>
              <w:t xml:space="preserve">Design note — bidirectional filtering</w:t>
            </w:r>
          </w:p>
          <w:p>
            <w:pPr>
              <w:pStyle w:val="ListParagraph"/>
              <w:numPr>
                <w:ilvl w:val="0"/>
                <w:numId w:val="2"/>
              </w:numPr>
              <w:spacing w:after="60" w:line="260"/>
            </w:pPr>
            <w:r>
              <w:rPr>
                <w:sz w:val="20"/>
                <w:szCs w:val="20"/>
              </w:rPr>
              <w:t xml:space="preserve">Every relationship allows filters to flow both ways between the fact and each dimension. This is convenient for slicing the fact table from any dimension, but it is also the most common cause of ambiguous filter-path errors in Tabular models.</w:t>
            </w:r>
          </w:p>
          <w:p>
            <w:pPr>
              <w:pStyle w:val="ListParagraph"/>
              <w:numPr>
                <w:ilvl w:val="0"/>
                <w:numId w:val="2"/>
              </w:numPr>
              <w:spacing w:after="60" w:line="260"/>
            </w:pPr>
            <w:r>
              <w:rPr>
                <w:sz w:val="20"/>
                <w:szCs w:val="20"/>
              </w:rPr>
              <w:t xml:space="preserve">Currently safe because no two dimensions are connected to each other. If a future relationship links two of these dimensions directly, expect ambiguity errors or unintended cross-filtering — review before adding new relationships.</w:t>
            </w:r>
          </w:p>
        </w:tc>
      </w:tr>
    </w:tbl>
    <w:p>
      <w:pPr>
        <w:pStyle w:val="Heading1"/>
        <w:pBdr>
          <w:bottom w:val="single" w:color="1F3864" w:sz="8" w:space="4"/>
        </w:pBdr>
        <w:spacing w:after="160" w:before="360"/>
      </w:pPr>
      <w:r>
        <w:rPr>
          <w:b/>
          <w:bCs/>
          <w:color w:val="1F3864"/>
          <w:sz w:val="30"/>
          <w:szCs w:val="30"/>
        </w:rPr>
        <w:t xml:space="preserve">4. Measures (DAX)</w:t>
      </w:r>
    </w:p>
    <w:p>
      <w:pPr>
        <w:spacing w:after="160" w:line="276"/>
      </w:pPr>
      <w:r>
        <w:rPr>
          <w:sz w:val="21"/>
          <w:szCs w:val="21"/>
        </w:rPr>
        <w:t xml:space="preserve">The model's only defined measures live on MemberEligibility, forming a member-movement "waterfall" analysis. They resolve their reporting month using MIN/MAX(MemberEnrollmentFact[EnrollMonth]), so they rely on the MemberEnrollmentFact ↔ MemberEligibility relationship for time context even though they're stored on the eligibility table.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tblGrid>
      <w:tr>
        <w:trPr>
          <w:tblHeader/>
        </w:trPr>
        <w:tc>
          <w:tcPr>
            <w:tcW w:type="dxa" w:w="2600"/>
            <w:shd w:fill="1F3864" w:val="clear"/>
            <w:tcMar>
              <w:top w:type="dxa" w:w="80"/>
              <w:left w:type="dxa" w:w="100"/>
              <w:bottom w:type="dxa" w:w="80"/>
              <w:right w:type="dxa" w:w="100"/>
            </w:tcMar>
          </w:tcPr>
          <w:p>
            <w:pPr>
              <w:jc w:val="left"/>
            </w:pPr>
            <w:r>
              <w:rPr>
                <w:b/>
                <w:bCs/>
                <w:color w:val="FFFFFF"/>
                <w:sz w:val="19"/>
                <w:szCs w:val="19"/>
              </w:rPr>
              <w:t xml:space="preserve">Measure (on MemberEligibility)</w:t>
            </w:r>
          </w:p>
        </w:tc>
        <w:tc>
          <w:tcPr>
            <w:tcW w:type="dxa" w:w="5300"/>
            <w:shd w:fill="1F3864" w:val="clear"/>
            <w:tcMar>
              <w:top w:type="dxa" w:w="80"/>
              <w:left w:type="dxa" w:w="100"/>
              <w:bottom w:type="dxa" w:w="80"/>
              <w:right w:type="dxa" w:w="100"/>
            </w:tcMar>
          </w:tcPr>
          <w:p>
            <w:pPr>
              <w:jc w:val="left"/>
            </w:pPr>
            <w:r>
              <w:rPr>
                <w:b/>
                <w:bCs/>
                <w:color w:val="FFFFFF"/>
                <w:sz w:val="19"/>
                <w:szCs w:val="19"/>
              </w:rPr>
              <w:t xml:space="preserve">Purpose</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StartingMembers</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Distinct members whose eligibility spans the period before the reporting month begins.</w:t>
            </w:r>
          </w:p>
        </w:tc>
      </w:tr>
      <w:tr>
        <w:tc>
          <w:tcPr>
            <w:tcW w:type="dxa" w:w="2600"/>
            <w:shd w:fill="EDF2FA" w:val="clear"/>
            <w:tcMar>
              <w:top w:type="dxa" w:w="80"/>
              <w:left w:type="dxa" w:w="100"/>
              <w:bottom w:type="dxa" w:w="80"/>
              <w:right w:type="dxa" w:w="100"/>
            </w:tcMar>
          </w:tcPr>
          <w:p>
            <w:pPr>
              <w:jc w:val="left"/>
            </w:pPr>
            <w:r>
              <w:rPr>
                <w:b w:val="false"/>
                <w:bCs w:val="false"/>
                <w:color w:val="000000"/>
                <w:sz w:val="19"/>
                <w:szCs w:val="19"/>
              </w:rPr>
              <w:t xml:space="preserve">NewMembers</w:t>
            </w:r>
          </w:p>
        </w:tc>
        <w:tc>
          <w:tcPr>
            <w:tcW w:type="dxa" w:w="5300"/>
            <w:shd w:fill="EDF2FA" w:val="clear"/>
            <w:tcMar>
              <w:top w:type="dxa" w:w="80"/>
              <w:left w:type="dxa" w:w="100"/>
              <w:bottom w:type="dxa" w:w="80"/>
              <w:right w:type="dxa" w:w="100"/>
            </w:tcMar>
          </w:tcPr>
          <w:p>
            <w:pPr>
              <w:jc w:val="left"/>
            </w:pPr>
            <w:r>
              <w:rPr>
                <w:b w:val="false"/>
                <w:bCs w:val="false"/>
                <w:color w:val="000000"/>
                <w:sz w:val="19"/>
                <w:szCs w:val="19"/>
              </w:rPr>
              <w:t xml:space="preserve">Distinct members newly effective within the reporting month.</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EndingMembers</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Distinct members still eligible at the end of the reporting month.</w:t>
            </w:r>
          </w:p>
        </w:tc>
      </w:tr>
      <w:tr>
        <w:tc>
          <w:tcPr>
            <w:tcW w:type="dxa" w:w="2600"/>
            <w:shd w:fill="EDF2FA" w:val="clear"/>
            <w:tcMar>
              <w:top w:type="dxa" w:w="80"/>
              <w:left w:type="dxa" w:w="100"/>
              <w:bottom w:type="dxa" w:w="80"/>
              <w:right w:type="dxa" w:w="100"/>
            </w:tcMar>
          </w:tcPr>
          <w:p>
            <w:pPr>
              <w:jc w:val="left"/>
            </w:pPr>
            <w:r>
              <w:rPr>
                <w:b w:val="false"/>
                <w:bCs w:val="false"/>
                <w:color w:val="000000"/>
                <w:sz w:val="19"/>
                <w:szCs w:val="19"/>
              </w:rPr>
              <w:t xml:space="preserve">TermedMembers</w:t>
            </w:r>
          </w:p>
        </w:tc>
        <w:tc>
          <w:tcPr>
            <w:tcW w:type="dxa" w:w="5300"/>
            <w:shd w:fill="EDF2FA" w:val="clear"/>
            <w:tcMar>
              <w:top w:type="dxa" w:w="80"/>
              <w:left w:type="dxa" w:w="100"/>
              <w:bottom w:type="dxa" w:w="80"/>
              <w:right w:type="dxa" w:w="100"/>
            </w:tcMar>
          </w:tcPr>
          <w:p>
            <w:pPr>
              <w:jc w:val="left"/>
            </w:pPr>
            <w:r>
              <w:rPr>
                <w:b w:val="false"/>
                <w:bCs w:val="false"/>
                <w:color w:val="000000"/>
                <w:sz w:val="19"/>
                <w:szCs w:val="19"/>
              </w:rPr>
              <w:t xml:space="preserve">Distinct members terminated within the reporting month.</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TotalMembers</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Distinct members eligible at any point that spans the reporting month.</w:t>
            </w:r>
          </w:p>
        </w:tc>
      </w:tr>
      <w:tr>
        <w:tc>
          <w:tcPr>
            <w:tcW w:type="dxa" w:w="2600"/>
            <w:shd w:fill="EDF2FA" w:val="clear"/>
            <w:tcMar>
              <w:top w:type="dxa" w:w="80"/>
              <w:left w:type="dxa" w:w="100"/>
              <w:bottom w:type="dxa" w:w="80"/>
              <w:right w:type="dxa" w:w="100"/>
            </w:tcMar>
          </w:tcPr>
          <w:p>
            <w:pPr>
              <w:jc w:val="left"/>
            </w:pPr>
            <w:r>
              <w:rPr>
                <w:b w:val="false"/>
                <w:bCs w:val="false"/>
                <w:color w:val="000000"/>
                <w:sz w:val="19"/>
                <w:szCs w:val="19"/>
              </w:rPr>
              <w:t xml:space="preserve">TotalLossGain</w:t>
            </w:r>
          </w:p>
        </w:tc>
        <w:tc>
          <w:tcPr>
            <w:tcW w:type="dxa" w:w="5300"/>
            <w:shd w:fill="EDF2FA" w:val="clear"/>
            <w:tcMar>
              <w:top w:type="dxa" w:w="80"/>
              <w:left w:type="dxa" w:w="100"/>
              <w:bottom w:type="dxa" w:w="80"/>
              <w:right w:type="dxa" w:w="100"/>
            </w:tcMar>
          </w:tcPr>
          <w:p>
            <w:pPr>
              <w:jc w:val="left"/>
            </w:pPr>
            <w:r>
              <w:rPr>
                <w:b w:val="false"/>
                <w:bCs w:val="false"/>
                <w:color w:val="000000"/>
                <w:sz w:val="19"/>
                <w:szCs w:val="19"/>
              </w:rPr>
              <w:t xml:space="preserve">EndingMembers − StartingMembers (net monthly change).</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IncomingPct / OutgoingPct</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New / Termed members as a percentage of StartingMembers.</w:t>
            </w:r>
          </w:p>
        </w:tc>
      </w:tr>
      <w:tr>
        <w:tc>
          <w:tcPr>
            <w:tcW w:type="dxa" w:w="2600"/>
            <w:shd w:fill="EDF2FA" w:val="clear"/>
            <w:tcMar>
              <w:top w:type="dxa" w:w="80"/>
              <w:left w:type="dxa" w:w="100"/>
              <w:bottom w:type="dxa" w:w="80"/>
              <w:right w:type="dxa" w:w="100"/>
            </w:tcMar>
          </w:tcPr>
          <w:p>
            <w:pPr>
              <w:jc w:val="left"/>
            </w:pPr>
            <w:r>
              <w:rPr>
                <w:b w:val="false"/>
                <w:bCs w:val="false"/>
                <w:color w:val="000000"/>
                <w:sz w:val="19"/>
                <w:szCs w:val="19"/>
              </w:rPr>
              <w:t xml:space="preserve">WaterfallMembersView</w:t>
            </w:r>
          </w:p>
        </w:tc>
        <w:tc>
          <w:tcPr>
            <w:tcW w:type="dxa" w:w="5300"/>
            <w:shd w:fill="EDF2FA" w:val="clear"/>
            <w:tcMar>
              <w:top w:type="dxa" w:w="80"/>
              <w:left w:type="dxa" w:w="100"/>
              <w:bottom w:type="dxa" w:w="80"/>
              <w:right w:type="dxa" w:w="100"/>
            </w:tcMar>
          </w:tcPr>
          <w:p>
            <w:pPr>
              <w:jc w:val="left"/>
            </w:pPr>
            <w:r>
              <w:rPr>
                <w:b w:val="false"/>
                <w:bCs w:val="false"/>
                <w:color w:val="000000"/>
                <w:sz w:val="19"/>
                <w:szCs w:val="19"/>
              </w:rPr>
              <w:t xml:space="preserve">SWITCH measure: shows EndingMembers on the first/last month of the selection, and TotalLossGain for months in between — built for a membership waterfall chart.</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Mem_1stDayMon</w:t>
            </w:r>
          </w:p>
        </w:tc>
        <w:tc>
          <w:tcPr>
            <w:tcW w:type="dxa" w:w="5300"/>
            <w:shd w:fill="FFFFFF" w:val="clear"/>
            <w:tcMar>
              <w:top w:type="dxa" w:w="80"/>
              <w:left w:type="dxa" w:w="100"/>
              <w:bottom w:type="dxa" w:w="80"/>
              <w:right w:type="dxa" w:w="100"/>
            </w:tcMar>
          </w:tcPr>
          <w:p>
            <w:pPr>
              <w:jc w:val="left"/>
            </w:pPr>
            <w:r>
              <w:rPr>
                <w:b w:val="false"/>
                <w:bCs w:val="false"/>
                <w:color w:val="000000"/>
                <w:sz w:val="19"/>
                <w:szCs w:val="19"/>
              </w:rPr>
              <w:t xml:space="preserve">Distinct members eligible as of the first day of the reporting month.</w:t>
            </w:r>
          </w:p>
        </w:tc>
      </w:tr>
    </w:tbl>
    <w:p>
      <w:pPr>
        <w:pStyle w:val="Heading1"/>
        <w:pBdr>
          <w:bottom w:val="single" w:color="1F3864" w:sz="8" w:space="4"/>
        </w:pBdr>
        <w:spacing w:after="160" w:before="360"/>
      </w:pPr>
      <w:r>
        <w:rPr>
          <w:b/>
          <w:bCs/>
          <w:color w:val="1F3864"/>
          <w:sz w:val="30"/>
          <w:szCs w:val="30"/>
        </w:rPr>
        <w:t xml:space="preserve">5. Notable Design Points</w:t>
      </w:r>
    </w:p>
    <w:p>
      <w:pPr>
        <w:pStyle w:val="ListParagraph"/>
        <w:numPr>
          <w:ilvl w:val="0"/>
          <w:numId w:val="2"/>
        </w:numPr>
        <w:spacing w:after="80" w:line="264"/>
      </w:pPr>
      <w:r>
        <w:rPr>
          <w:b/>
          <w:bCs/>
          <w:sz w:val="21"/>
          <w:szCs w:val="21"/>
        </w:rPr>
        <w:t xml:space="preserve">Member data is split across three dimensions — </w:t>
      </w:r>
      <w:r>
        <w:rPr>
          <w:sz w:val="21"/>
          <w:szCs w:val="21"/>
        </w:rPr>
        <w:t xml:space="preserve">MemberContact, MemberDemographics, and MemberHeader all key on EnterpriseMemberID rather than being one wide member table — likely separating PII/contact, demographic, and cross-system-ID concerns (or a legacy import artifact).</w:t>
      </w:r>
    </w:p>
    <w:p>
      <w:pPr>
        <w:pStyle w:val="ListParagraph"/>
        <w:numPr>
          <w:ilvl w:val="0"/>
          <w:numId w:val="2"/>
        </w:numPr>
        <w:spacing w:after="80" w:line="264"/>
      </w:pPr>
      <w:r>
        <w:rPr>
          <w:b/>
          <w:bCs/>
          <w:sz w:val="21"/>
          <w:szCs w:val="21"/>
        </w:rPr>
        <w:t xml:space="preserve">Business logic lives in SQL, not DAX — </w:t>
      </w:r>
      <w:r>
        <w:rPr>
          <w:sz w:val="21"/>
          <w:szCs w:val="21"/>
        </w:rPr>
        <w:t xml:space="preserve">County flags, age bands, tenure buckets, APTC flags, and condition-flag pivots are computed in the native partition queries (M/SQL), not as DAX calculated columns.</w:t>
      </w:r>
    </w:p>
    <w:p>
      <w:pPr>
        <w:pStyle w:val="ListParagraph"/>
        <w:numPr>
          <w:ilvl w:val="0"/>
          <w:numId w:val="2"/>
        </w:numPr>
        <w:spacing w:after="80" w:line="264"/>
      </w:pPr>
      <w:r>
        <w:rPr>
          <w:b/>
          <w:bCs/>
          <w:sz w:val="21"/>
          <w:szCs w:val="21"/>
        </w:rPr>
        <w:t xml:space="preserve">Cross-server dependency — </w:t>
      </w:r>
      <w:r>
        <w:rPr>
          <w:sz w:val="21"/>
          <w:szCs w:val="21"/>
        </w:rPr>
        <w:t xml:space="preserve">MemberContact joins DRSVWHSQL01.RASTADATA.dbo.ZipCounty and CareMgtFlags reads from DRSVWHSQL01.MEDW.dbo.dim_ConditionFlags — both outside the declared EADW data source. The SSAS service account (Process role) needs read access to DRSVWHSQL01 for these two partitions to refresh successfully.</w:t>
      </w:r>
    </w:p>
    <w:p>
      <w:pPr>
        <w:pStyle w:val="ListParagraph"/>
        <w:numPr>
          <w:ilvl w:val="0"/>
          <w:numId w:val="2"/>
        </w:numPr>
        <w:spacing w:after="80" w:line="264"/>
      </w:pPr>
      <w:r>
        <w:rPr>
          <w:b/>
          <w:bCs/>
          <w:sz w:val="21"/>
          <w:szCs w:val="21"/>
        </w:rPr>
        <w:t xml:space="preserve">Single calculated column outside the dimensions — </w:t>
      </w:r>
      <w:r>
        <w:rPr>
          <w:sz w:val="21"/>
          <w:szCs w:val="21"/>
        </w:rPr>
        <w:t xml:space="preserve">MemberEnrollmentFact[Year] is a DAX calculated column (YEAR(MemberEnrollmentFact[EnrollMonth])) — the only DAX calculated column in the model; everything else is computed upstream in SQL.</w:t>
      </w:r>
    </w:p>
    <w:p>
      <w:pPr>
        <w:pStyle w:val="Heading1"/>
        <w:pBdr>
          <w:bottom w:val="single" w:color="1F3864" w:sz="8" w:space="4"/>
        </w:pBdr>
        <w:spacing w:after="160" w:before="360"/>
      </w:pPr>
      <w:r>
        <w:rPr>
          <w:b/>
          <w:bCs/>
          <w:color w:val="1F3864"/>
          <w:sz w:val="30"/>
          <w:szCs w:val="30"/>
        </w:rPr>
        <w:t xml:space="preserve">6. Security Roles</w:t>
      </w:r>
    </w:p>
    <w:p>
      <w:pPr>
        <w:spacing w:after="160" w:line="276"/>
      </w:pPr>
      <w:r>
        <w:rPr>
          <w:sz w:val="21"/>
          <w:szCs w:val="21"/>
        </w:rPr>
        <w:t xml:space="preserve">Access is controlled by static roles — there is no row-level security (RLS) filter expression defined anywhere in the model.</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200"/>
        <w:gridCol w:w="240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Role</w:t>
            </w:r>
          </w:p>
        </w:tc>
        <w:tc>
          <w:tcPr>
            <w:tcW w:type="dxa" w:w="1700"/>
            <w:shd w:fill="1F3864" w:val="clear"/>
            <w:tcMar>
              <w:top w:type="dxa" w:w="80"/>
              <w:left w:type="dxa" w:w="100"/>
              <w:bottom w:type="dxa" w:w="80"/>
              <w:right w:type="dxa" w:w="100"/>
            </w:tcMar>
          </w:tcPr>
          <w:p>
            <w:pPr>
              <w:jc w:val="left"/>
            </w:pPr>
            <w:r>
              <w:rPr>
                <w:b/>
                <w:bCs/>
                <w:color w:val="FFFFFF"/>
                <w:sz w:val="19"/>
                <w:szCs w:val="19"/>
              </w:rPr>
              <w:t xml:space="preserve">Permission</w:t>
            </w:r>
          </w:p>
        </w:tc>
        <w:tc>
          <w:tcPr>
            <w:tcW w:type="dxa" w:w="2200"/>
            <w:shd w:fill="1F3864" w:val="clear"/>
            <w:tcMar>
              <w:top w:type="dxa" w:w="80"/>
              <w:left w:type="dxa" w:w="100"/>
              <w:bottom w:type="dxa" w:w="80"/>
              <w:right w:type="dxa" w:w="100"/>
            </w:tcMar>
          </w:tcPr>
          <w:p>
            <w:pPr>
              <w:jc w:val="left"/>
            </w:pPr>
            <w:r>
              <w:rPr>
                <w:b/>
                <w:bCs/>
                <w:color w:val="FFFFFF"/>
                <w:sz w:val="19"/>
                <w:szCs w:val="19"/>
              </w:rPr>
              <w:t xml:space="preserve">Member(s)</w:t>
            </w:r>
          </w:p>
        </w:tc>
        <w:tc>
          <w:tcPr>
            <w:tcW w:type="dxa" w:w="2400"/>
            <w:shd w:fill="1F3864" w:val="clear"/>
            <w:tcMar>
              <w:top w:type="dxa" w:w="80"/>
              <w:left w:type="dxa" w:w="100"/>
              <w:bottom w:type="dxa" w:w="80"/>
              <w:right w:type="dxa" w:w="100"/>
            </w:tcMar>
          </w:tcPr>
          <w:p>
            <w:pPr>
              <w:jc w:val="left"/>
            </w:pPr>
            <w:r>
              <w:rPr>
                <w:b/>
                <w:bCs/>
                <w:color w:val="FFFFFF"/>
                <w:sz w:val="19"/>
                <w:szCs w:val="19"/>
              </w:rPr>
              <w:t xml:space="preserve">Notes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db_owner</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Administrator</w:t>
            </w:r>
          </w:p>
        </w:tc>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CHCHEALTH\DB-FDP-ANA</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Full model admin (design, process, read).</w:t>
            </w:r>
          </w:p>
        </w:tc>
      </w:tr>
      <w:tr>
        <w:tc>
          <w:tcPr>
            <w:tcW w:type="dxa" w:w="1600"/>
            <w:shd w:fill="EDF2FA" w:val="clear"/>
            <w:tcMar>
              <w:top w:type="dxa" w:w="80"/>
              <w:left w:type="dxa" w:w="100"/>
              <w:bottom w:type="dxa" w:w="80"/>
              <w:right w:type="dxa" w:w="100"/>
            </w:tcMar>
          </w:tcPr>
          <w:p>
            <w:pPr>
              <w:jc w:val="left"/>
            </w:pPr>
            <w:r>
              <w:rPr>
                <w:b w:val="false"/>
                <w:bCs w:val="false"/>
                <w:color w:val="000000"/>
                <w:sz w:val="19"/>
                <w:szCs w:val="19"/>
              </w:rPr>
              <w:t xml:space="preserve">Process</w:t>
            </w:r>
          </w:p>
        </w:tc>
        <w:tc>
          <w:tcPr>
            <w:tcW w:type="dxa" w:w="1700"/>
            <w:shd w:fill="EDF2FA" w:val="clear"/>
            <w:tcMar>
              <w:top w:type="dxa" w:w="80"/>
              <w:left w:type="dxa" w:w="100"/>
              <w:bottom w:type="dxa" w:w="80"/>
              <w:right w:type="dxa" w:w="100"/>
            </w:tcMar>
          </w:tcPr>
          <w:p>
            <w:pPr>
              <w:jc w:val="left"/>
            </w:pPr>
            <w:r>
              <w:rPr>
                <w:b w:val="false"/>
                <w:bCs w:val="false"/>
                <w:color w:val="000000"/>
                <w:sz w:val="19"/>
                <w:szCs w:val="19"/>
              </w:rPr>
              <w:t xml:space="preserve">Refresh</w:t>
            </w:r>
          </w:p>
        </w:tc>
        <w:tc>
          <w:tcPr>
            <w:tcW w:type="dxa" w:w="2200"/>
            <w:shd w:fill="EDF2FA" w:val="clear"/>
            <w:tcMar>
              <w:top w:type="dxa" w:w="80"/>
              <w:left w:type="dxa" w:w="100"/>
              <w:bottom w:type="dxa" w:w="80"/>
              <w:right w:type="dxa" w:w="100"/>
            </w:tcMar>
          </w:tcPr>
          <w:p>
            <w:pPr>
              <w:jc w:val="left"/>
            </w:pPr>
            <w:r>
              <w:rPr>
                <w:b w:val="false"/>
                <w:bCs w:val="false"/>
                <w:color w:val="000000"/>
                <w:sz w:val="19"/>
                <w:szCs w:val="19"/>
              </w:rPr>
              <w:t xml:space="preserve">CHCHEALTH\DB-FDP-ANA</w:t>
            </w:r>
          </w:p>
        </w:tc>
        <w:tc>
          <w:tcPr>
            <w:tcW w:type="dxa" w:w="2400"/>
            <w:shd w:fill="EDF2FA" w:val="clear"/>
            <w:tcMar>
              <w:top w:type="dxa" w:w="80"/>
              <w:left w:type="dxa" w:w="100"/>
              <w:bottom w:type="dxa" w:w="80"/>
              <w:right w:type="dxa" w:w="100"/>
            </w:tcMar>
          </w:tcPr>
          <w:p>
            <w:pPr>
              <w:jc w:val="left"/>
            </w:pPr>
            <w:r>
              <w:rPr>
                <w:b w:val="false"/>
                <w:bCs w:val="false"/>
                <w:color w:val="000000"/>
                <w:sz w:val="19"/>
                <w:szCs w:val="19"/>
              </w:rPr>
              <w:t xml:space="preserve">Refresh/processing only — the ETL/service account.</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ReadAll</w:t>
            </w:r>
          </w:p>
        </w:tc>
        <w:tc>
          <w:tcPr>
            <w:tcW w:type="dxa" w:w="1700"/>
            <w:shd w:fill="FFFFFF" w:val="clear"/>
            <w:tcMar>
              <w:top w:type="dxa" w:w="80"/>
              <w:left w:type="dxa" w:w="100"/>
              <w:bottom w:type="dxa" w:w="80"/>
              <w:right w:type="dxa" w:w="100"/>
            </w:tcMar>
          </w:tcPr>
          <w:p>
            <w:pPr>
              <w:jc w:val="left"/>
            </w:pPr>
            <w:r>
              <w:rPr>
                <w:b w:val="false"/>
                <w:bCs w:val="false"/>
                <w:color w:val="000000"/>
                <w:sz w:val="19"/>
                <w:szCs w:val="19"/>
              </w:rPr>
              <w:t xml:space="preserve">Read</w:t>
            </w:r>
          </w:p>
        </w:tc>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Everyone</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Unrestricted read access — no row-level security filters are applied.</w:t>
            </w:r>
          </w:p>
        </w:tc>
      </w:tr>
    </w:tbl>
    <w:p>
      <w:pPr>
        <w:spacing w:before="20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900"/>
      </w:tblGrid>
      <w:tr>
        <w:tc>
          <w:tcPr>
            <w:tcW w:type="dxa" w:w="7900"/>
            <w:tcBorders>
              <w:top w:val="single" w:color="E8A33D" w:sz="6"/>
              <w:left w:val="single" w:color="E8A33D" w:sz="6"/>
              <w:bottom w:val="single" w:color="E8A33D" w:sz="6"/>
              <w:right w:val="single" w:color="E8A33D" w:sz="6"/>
            </w:tcBorders>
            <w:shd w:fill="FFF4E5" w:val="clear"/>
            <w:tcMar>
              <w:top w:type="dxa" w:w="160"/>
              <w:left w:type="dxa" w:w="200"/>
              <w:bottom w:type="dxa" w:w="160"/>
              <w:right w:type="dxa" w:w="200"/>
            </w:tcMar>
          </w:tcPr>
          <w:p>
            <w:pPr>
              <w:spacing w:after="80"/>
            </w:pPr>
            <w:r>
              <w:rPr>
                <w:b/>
                <w:bCs/>
                <w:color w:val="8A5A00"/>
                <w:sz w:val="21"/>
                <w:szCs w:val="21"/>
              </w:rPr>
              <w:t xml:space="preserve">Security note</w:t>
            </w:r>
          </w:p>
          <w:p>
            <w:pPr>
              <w:pStyle w:val="ListParagraph"/>
              <w:numPr>
                <w:ilvl w:val="0"/>
                <w:numId w:val="2"/>
              </w:numPr>
              <w:spacing w:after="60" w:line="260"/>
            </w:pPr>
            <w:r>
              <w:rPr>
                <w:sz w:val="20"/>
                <w:szCs w:val="20"/>
              </w:rPr>
              <w:t xml:space="preserve">The ReadAll role grants read access to Everyone with no RLS row filter. Any sensitive fields (SSN, MBI, HIC, DOB, address) in MemberHeader, MemberDemographics, and MemberContact are visible to all readers of this model.</w:t>
            </w:r>
          </w:p>
        </w:tc>
      </w:tr>
    </w:tbl>
    <w:p>
      <w:pPr>
        <w:pStyle w:val="Heading1"/>
        <w:pBdr>
          <w:bottom w:val="single" w:color="1F3864" w:sz="8" w:space="4"/>
        </w:pBdr>
        <w:spacing w:after="160" w:before="360"/>
      </w:pPr>
      <w:r>
        <w:rPr>
          <w:b/>
          <w:bCs/>
          <w:color w:val="1F3864"/>
          <w:sz w:val="30"/>
          <w:szCs w:val="30"/>
        </w:rPr>
        <w:t xml:space="preserve">7. Quick Reference Summary</w:t>
      </w:r>
    </w:p>
    <w:p>
      <w:pPr>
        <w:pStyle w:val="ListParagraph"/>
        <w:numPr>
          <w:ilvl w:val="0"/>
          <w:numId w:val="2"/>
        </w:numPr>
        <w:spacing w:after="80" w:line="264"/>
      </w:pPr>
      <w:r>
        <w:rPr>
          <w:sz w:val="21"/>
          <w:szCs w:val="21"/>
        </w:rPr>
        <w:t xml:space="preserve">Model type: SSAS Tabular (compatibility level 1200)</w:t>
      </w:r>
    </w:p>
    <w:p>
      <w:pPr>
        <w:pStyle w:val="ListParagraph"/>
        <w:numPr>
          <w:ilvl w:val="0"/>
          <w:numId w:val="2"/>
        </w:numPr>
        <w:spacing w:after="80" w:line="264"/>
      </w:pPr>
      <w:r>
        <w:rPr>
          <w:sz w:val="21"/>
          <w:szCs w:val="21"/>
        </w:rPr>
        <w:t xml:space="preserve">Pattern: Star schema — 1 fact table, 8 dimensions, all bidirectional relationships</w:t>
      </w:r>
    </w:p>
    <w:p>
      <w:pPr>
        <w:pStyle w:val="ListParagraph"/>
        <w:numPr>
          <w:ilvl w:val="0"/>
          <w:numId w:val="2"/>
        </w:numPr>
        <w:spacing w:after="80" w:line="264"/>
      </w:pPr>
      <w:r>
        <w:rPr>
          <w:sz w:val="21"/>
          <w:szCs w:val="21"/>
        </w:rPr>
        <w:t xml:space="preserve">Fact table: MemberEnrollmentFact</w:t>
      </w:r>
    </w:p>
    <w:p>
      <w:pPr>
        <w:pStyle w:val="ListParagraph"/>
        <w:numPr>
          <w:ilvl w:val="0"/>
          <w:numId w:val="2"/>
        </w:numPr>
        <w:spacing w:after="80" w:line="264"/>
      </w:pPr>
      <w:r>
        <w:rPr>
          <w:sz w:val="21"/>
          <w:szCs w:val="21"/>
        </w:rPr>
        <w:t xml:space="preserve">Measures: defined only on MemberEligibility (member movement / waterfall)</w:t>
      </w:r>
    </w:p>
    <w:p>
      <w:pPr>
        <w:pStyle w:val="ListParagraph"/>
        <w:numPr>
          <w:ilvl w:val="0"/>
          <w:numId w:val="2"/>
        </w:numPr>
        <w:spacing w:after="80" w:line="264"/>
      </w:pPr>
      <w:r>
        <w:rPr>
          <w:sz w:val="21"/>
          <w:szCs w:val="21"/>
        </w:rPr>
        <w:t xml:space="preserve">External dependency: DRSVWHSQL01 (linked server) for 2 of 9 tables</w:t>
      </w:r>
    </w:p>
    <w:p>
      <w:pPr>
        <w:pStyle w:val="ListParagraph"/>
        <w:numPr>
          <w:ilvl w:val="0"/>
          <w:numId w:val="2"/>
        </w:numPr>
        <w:spacing w:after="80" w:line="264"/>
      </w:pPr>
      <w:r>
        <w:rPr>
          <w:sz w:val="21"/>
          <w:szCs w:val="21"/>
        </w:rPr>
        <w:t xml:space="preserve">Security: role-based only, no RLS — ReadAll is open to Everyone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2026-08-30T03:24:21.178Z</dcterms:created>
  <dcterms:modified xsi:type="dcterms:W3CDTF">2026-08-30T03:24:21.178Z</dcterms:modified>
</cp:coreProperties>
</file>

<file path=docProps/custom.xml><?xml version="1.0" encoding="utf-8"?>
<Properties xmlns="http://schemas.openxmlformats.org/officeDocument/2006/custom-properties" xmlns:vt="http://schemas.openxmlformats.org/officeDocument/2006/docPropsVTypes"/>
</file>