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dfe116eaeef5d8a515aa768c6d26b927242c53a"/>
    <w:p>
      <w:pPr>
        <w:pStyle w:val="Heading1"/>
      </w:pPr>
      <w:r>
        <w:t xml:space="preserve">Comprehensive Corporate Structure and North‑Star Vision Playbook</w:t>
      </w:r>
    </w:p>
    <w:bookmarkStart w:id="21" w:name="executive-summary"/>
    <w:p>
      <w:pPr>
        <w:pStyle w:val="Heading2"/>
      </w:pPr>
      <w:r>
        <w:t xml:space="preserve">Executive summary</w:t>
      </w:r>
    </w:p>
    <w:p>
      <w:pPr>
        <w:pStyle w:val="FirstParagraph"/>
      </w:pPr>
      <w:r>
        <w:t xml:space="preserve">This playbook brings together the corporate structure you’ve already designed and a</w:t>
      </w:r>
      <w:r>
        <w:t xml:space="preserve"> </w:t>
      </w:r>
      <w:r>
        <w:rPr>
          <w:b/>
          <w:bCs/>
        </w:rPr>
        <w:t xml:space="preserve">North‑Star master plan</w:t>
      </w:r>
      <w:r>
        <w:t xml:space="preserve"> </w:t>
      </w:r>
      <w:r>
        <w:t xml:space="preserve">for building generational wealth. The goal is to create a</w:t>
      </w:r>
      <w:r>
        <w:t xml:space="preserve"> </w:t>
      </w:r>
      <w:r>
        <w:rPr>
          <w:b/>
          <w:bCs/>
        </w:rPr>
        <w:t xml:space="preserve">vertically integrated business empire</w:t>
      </w:r>
      <w:r>
        <w:t xml:space="preserve"> </w:t>
      </w:r>
      <w:r>
        <w:t xml:space="preserve">that harnesses professional‑services automation, roll‑up acquisitions of boring businesses, and tax‑efficient real‑estate holdings. The 2025 estate‑tax exemption sunset and a wave of retiring business owners create a</w:t>
      </w:r>
      <w:r>
        <w:t xml:space="preserve"> </w:t>
      </w:r>
      <w:r>
        <w:rPr>
          <w:b/>
          <w:bCs/>
        </w:rPr>
        <w:t xml:space="preserve">$14 trillion transition opportunity</w:t>
      </w:r>
      <w:r>
        <w:t xml:space="preserve">【193108070870404†L0-L9】. Acting now allows you to maximise gift and estate exemptions before they are cut nearly in half, while buying cash‑flowing businesses at attractive valuations【193108070870404†L0-L9】.</w:t>
      </w:r>
    </w:p>
    <w:bookmarkEnd w:id="21"/>
    <w:bookmarkStart w:id="22" w:name="northstar-vision"/>
    <w:p>
      <w:pPr>
        <w:pStyle w:val="Heading2"/>
      </w:pPr>
      <w:r>
        <w:t xml:space="preserve">North‑Star vision</w:t>
      </w:r>
    </w:p>
    <w:p>
      <w:pPr>
        <w:pStyle w:val="FirstParagraph"/>
      </w:pPr>
      <w:r>
        <w:t xml:space="preserve">Your North‑Star goal is to build a portfolio of</w:t>
      </w:r>
      <w:r>
        <w:t xml:space="preserve"> </w:t>
      </w:r>
      <w:r>
        <w:rPr>
          <w:b/>
          <w:bCs/>
        </w:rPr>
        <w:t xml:space="preserve">8–12 cash‑flowing “boring” businesses and related real‑estate assets</w:t>
      </w:r>
      <w:r>
        <w:t xml:space="preserve"> </w:t>
      </w:r>
      <w:r>
        <w:t xml:space="preserve">that generate</w:t>
      </w:r>
      <w:r>
        <w:t xml:space="preserve"> </w:t>
      </w:r>
      <w:r>
        <w:rPr>
          <w:b/>
          <w:bCs/>
        </w:rPr>
        <w:t xml:space="preserve">$10 million+ annual revenue within three years</w:t>
      </w:r>
      <w:r>
        <w:t xml:space="preserve"> </w:t>
      </w:r>
      <w:r>
        <w:t xml:space="preserve">and</w:t>
      </w:r>
      <w:r>
        <w:t xml:space="preserve"> </w:t>
      </w:r>
      <w:r>
        <w:rPr>
          <w:b/>
          <w:bCs/>
        </w:rPr>
        <w:t xml:space="preserve">$100 million+ enterprise value within seven years</w:t>
      </w:r>
      <w:r>
        <w:t xml:space="preserve">【193108070870404†L90-L97】. This is achieved through:</w:t>
      </w:r>
    </w:p>
    <w:p>
      <w:pPr>
        <w:pStyle w:val="Compact"/>
        <w:numPr>
          <w:ilvl w:val="0"/>
          <w:numId w:val="1001"/>
        </w:numPr>
      </w:pPr>
      <w:r>
        <w:rPr>
          <w:b/>
          <w:bCs/>
        </w:rPr>
        <w:t xml:space="preserve">Vertical integration of services and automation.</w:t>
      </w:r>
      <w:r>
        <w:t xml:space="preserve"> </w:t>
      </w:r>
      <w:r>
        <w:t xml:space="preserve">Provide professional‑services automation using SuiteDash and similar tools. The automation market is growing</w:t>
      </w:r>
      <w:r>
        <w:t xml:space="preserve"> </w:t>
      </w:r>
      <w:r>
        <w:rPr>
          <w:b/>
          <w:bCs/>
        </w:rPr>
        <w:t xml:space="preserve">31 %+ annually</w:t>
      </w:r>
      <w:r>
        <w:t xml:space="preserve"> </w:t>
      </w:r>
      <w:r>
        <w:t xml:space="preserve">and professional‑services automation is projected to reach</w:t>
      </w:r>
      <w:r>
        <w:t xml:space="preserve"> </w:t>
      </w:r>
      <w:r>
        <w:rPr>
          <w:b/>
          <w:bCs/>
        </w:rPr>
        <w:t xml:space="preserve">$73 billion by 2033</w:t>
      </w:r>
      <w:r>
        <w:t xml:space="preserve">【193108070870404†L12-L20】. Offering “Portal in a Week” packages at $2 500–$25 000 per project taps into firms eager to digitise their workflows【193108070870404†L0-L9】.</w:t>
      </w:r>
    </w:p>
    <w:p>
      <w:pPr>
        <w:pStyle w:val="Compact"/>
        <w:numPr>
          <w:ilvl w:val="0"/>
          <w:numId w:val="1001"/>
        </w:numPr>
      </w:pPr>
      <w:r>
        <w:rPr>
          <w:b/>
          <w:bCs/>
        </w:rPr>
        <w:t xml:space="preserve">Roll‑up acquisitions of recession‑resistant businesses</w:t>
      </w:r>
      <w:r>
        <w:t xml:space="preserve"> </w:t>
      </w:r>
      <w:r>
        <w:t xml:space="preserve">such as HVAC companies, car washes and laundromats. These sectors have high success rates (95 %+ for laundromats), repeat customers and multiples of</w:t>
      </w:r>
      <w:r>
        <w:t xml:space="preserve"> </w:t>
      </w:r>
      <w:r>
        <w:rPr>
          <w:b/>
          <w:bCs/>
        </w:rPr>
        <w:t xml:space="preserve">4–8× EBITDA</w:t>
      </w:r>
      <w:r>
        <w:t xml:space="preserve">【193108070870404†L90-L97】.</w:t>
      </w:r>
    </w:p>
    <w:p>
      <w:pPr>
        <w:pStyle w:val="Compact"/>
        <w:numPr>
          <w:ilvl w:val="0"/>
          <w:numId w:val="1001"/>
        </w:numPr>
      </w:pPr>
      <w:r>
        <w:rPr>
          <w:b/>
          <w:bCs/>
        </w:rPr>
        <w:t xml:space="preserve">Monetisation via directories and micro‑SaaS.</w:t>
      </w:r>
      <w:r>
        <w:t xml:space="preserve"> </w:t>
      </w:r>
      <w:r>
        <w:t xml:space="preserve">Build membership directories using platforms like Brilliant Directories to generate subscription, listing and lead‑generation revenue. Launch micro‑SaaS products through marketplaces such as AppSumo, where failure rates are under 1 % and successes can achieve significant revenue【193108070870404†L53-L54】.</w:t>
      </w:r>
    </w:p>
    <w:p>
      <w:pPr>
        <w:pStyle w:val="Compact"/>
        <w:numPr>
          <w:ilvl w:val="0"/>
          <w:numId w:val="1001"/>
        </w:numPr>
      </w:pPr>
      <w:r>
        <w:rPr>
          <w:b/>
          <w:bCs/>
        </w:rPr>
        <w:t xml:space="preserve">Real estate ownership for every operating company.</w:t>
      </w:r>
      <w:r>
        <w:t xml:space="preserve"> </w:t>
      </w:r>
      <w:r>
        <w:t xml:space="preserve">Use an OpCo/PropCo structure to separate operations from property. This enables deductible rent payments, concentrated depreciation benefits and asset protection【193108070870404†L90-L97】.</w:t>
      </w:r>
    </w:p>
    <w:p>
      <w:pPr>
        <w:pStyle w:val="Compact"/>
        <w:numPr>
          <w:ilvl w:val="0"/>
          <w:numId w:val="1001"/>
        </w:numPr>
      </w:pPr>
      <w:r>
        <w:rPr>
          <w:b/>
          <w:bCs/>
        </w:rPr>
        <w:t xml:space="preserve">Tax optimisation and dynastic planning.</w:t>
      </w:r>
      <w:r>
        <w:t xml:space="preserve"> </w:t>
      </w:r>
      <w:r>
        <w:t xml:space="preserve">Complete irrevocable trust formation and use your high estate‑tax exemption to gift appreciating business and real‑estate interests by</w:t>
      </w:r>
      <w:r>
        <w:t xml:space="preserve"> </w:t>
      </w:r>
      <w:r>
        <w:rPr>
          <w:b/>
          <w:bCs/>
        </w:rPr>
        <w:t xml:space="preserve">31 December 2025</w:t>
      </w:r>
      <w:r>
        <w:t xml:space="preserve">【193108070870404†L0-L9】. Leverage</w:t>
      </w:r>
      <w:r>
        <w:t xml:space="preserve"> </w:t>
      </w:r>
      <w:r>
        <w:rPr>
          <w:b/>
          <w:bCs/>
        </w:rPr>
        <w:t xml:space="preserve">Real Estate Professional Status (REPS)</w:t>
      </w:r>
      <w:r>
        <w:t xml:space="preserve"> </w:t>
      </w:r>
      <w:r>
        <w:t xml:space="preserve">to deduct unlimited passive losses and qualify for</w:t>
      </w:r>
      <w:r>
        <w:t xml:space="preserve"> </w:t>
      </w:r>
      <w:r>
        <w:rPr>
          <w:b/>
          <w:bCs/>
        </w:rPr>
        <w:t xml:space="preserve">100 % bonus depreciation</w:t>
      </w:r>
      <w:r>
        <w:t xml:space="preserve"> </w:t>
      </w:r>
      <w:r>
        <w:t xml:space="preserve">on cost‑segregated improvements【193108070870404†L90-L97】.</w:t>
      </w:r>
    </w:p>
    <w:bookmarkEnd w:id="22"/>
    <w:bookmarkStart w:id="28" w:name="strategic-pillars"/>
    <w:p>
      <w:pPr>
        <w:pStyle w:val="Heading2"/>
      </w:pPr>
      <w:r>
        <w:t xml:space="preserve">Strategic pillars</w:t>
      </w:r>
    </w:p>
    <w:bookmarkStart w:id="23" w:name="estate-planning-and-trust-structuring"/>
    <w:p>
      <w:pPr>
        <w:pStyle w:val="Heading3"/>
      </w:pPr>
      <w:r>
        <w:t xml:space="preserve">1 – Estate planning and trust structuring</w:t>
      </w:r>
    </w:p>
    <w:p>
      <w:pPr>
        <w:pStyle w:val="Compact"/>
        <w:numPr>
          <w:ilvl w:val="0"/>
          <w:numId w:val="1002"/>
        </w:numPr>
      </w:pPr>
      <w:r>
        <w:rPr>
          <w:b/>
          <w:bCs/>
        </w:rPr>
        <w:t xml:space="preserve">Urgency:</w:t>
      </w:r>
      <w:r>
        <w:t xml:space="preserve"> </w:t>
      </w:r>
      <w:r>
        <w:t xml:space="preserve">The federal estate tax exemption falls from $13.99 million to approximately $7 million per person after</w:t>
      </w:r>
      <w:r>
        <w:t xml:space="preserve"> </w:t>
      </w:r>
      <w:r>
        <w:rPr>
          <w:b/>
          <w:bCs/>
        </w:rPr>
        <w:t xml:space="preserve">31 December 2025</w:t>
      </w:r>
      <w:r>
        <w:t xml:space="preserve">【193108070870404†L0-L9】. Couples can save up to</w:t>
      </w:r>
      <w:r>
        <w:t xml:space="preserve"> </w:t>
      </w:r>
      <w:r>
        <w:rPr>
          <w:b/>
          <w:bCs/>
        </w:rPr>
        <w:t xml:space="preserve">$5.6 million</w:t>
      </w:r>
      <w:r>
        <w:t xml:space="preserve"> </w:t>
      </w:r>
      <w:r>
        <w:t xml:space="preserve">in tax by using the larger exemption now【193108070870404†L0-L9】.</w:t>
      </w:r>
    </w:p>
    <w:p>
      <w:pPr>
        <w:pStyle w:val="Compact"/>
        <w:numPr>
          <w:ilvl w:val="0"/>
          <w:numId w:val="1002"/>
        </w:numPr>
      </w:pPr>
      <w:r>
        <w:rPr>
          <w:b/>
          <w:bCs/>
        </w:rPr>
        <w:t xml:space="preserve">Action:</w:t>
      </w:r>
      <w:r>
        <w:t xml:space="preserve"> </w:t>
      </w:r>
      <w:r>
        <w:t xml:space="preserve">Engage an estate attorney to form irrevocable dynasty trusts and a spousal lifetime access trust (SLAT). Gift business interests and real estate into these trusts using minority and lack‑of‑marketability discounts.</w:t>
      </w:r>
    </w:p>
    <w:p>
      <w:pPr>
        <w:pStyle w:val="Compact"/>
        <w:numPr>
          <w:ilvl w:val="0"/>
          <w:numId w:val="1002"/>
        </w:numPr>
      </w:pPr>
      <w:r>
        <w:rPr>
          <w:b/>
          <w:bCs/>
        </w:rPr>
        <w:t xml:space="preserve">Implement:</w:t>
      </w:r>
      <w:r>
        <w:t xml:space="preserve"> </w:t>
      </w:r>
      <w:r>
        <w:t xml:space="preserve">Draft operating agreements to permit gift and sale transfers, prepare valuations, and document trusts’ ownership of HoldCo, PropCo, MgmtCo and other subsidiaries. Maintain proper trust funding logs.</w:t>
      </w:r>
    </w:p>
    <w:bookmarkEnd w:id="23"/>
    <w:bookmarkStart w:id="24" w:name="corporate-structure-and-tax-optimisation"/>
    <w:p>
      <w:pPr>
        <w:pStyle w:val="Heading3"/>
      </w:pPr>
      <w:r>
        <w:t xml:space="preserve">2 – Corporate structure and tax optimisation</w:t>
      </w:r>
    </w:p>
    <w:p>
      <w:pPr>
        <w:pStyle w:val="FirstParagraph"/>
      </w:pPr>
      <w:r>
        <w:t xml:space="preserve">The structure should consist of: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Entity</w:t>
            </w:r>
          </w:p>
        </w:tc>
        <w:tc>
          <w:tcPr/>
          <w:p>
            <w:pPr>
              <w:pStyle w:val="Compact"/>
            </w:pPr>
            <w:r>
              <w:rPr>
                <w:b/>
                <w:bCs/>
              </w:rPr>
              <w:t xml:space="preserve">Purpose and advantages</w:t>
            </w:r>
          </w:p>
        </w:tc>
      </w:tr>
      <w:tr>
        <w:tc>
          <w:tcPr/>
          <w:p>
            <w:pPr>
              <w:pStyle w:val="Compact"/>
            </w:pPr>
            <w:r>
              <w:rPr>
                <w:b/>
                <w:bCs/>
              </w:rPr>
              <w:t xml:space="preserve">HoldCo (WY/DE LLC)</w:t>
            </w:r>
          </w:p>
        </w:tc>
        <w:tc>
          <w:tcPr/>
          <w:p>
            <w:pPr>
              <w:pStyle w:val="Compact"/>
            </w:pPr>
            <w:r>
              <w:t xml:space="preserve">Parent company that owns equity in ServiceCos, RealEstateCo, IP/MediaCo, EquipCo and Investment LLC. Centralises treasury and governance.</w:t>
            </w:r>
          </w:p>
        </w:tc>
      </w:tr>
      <w:tr>
        <w:tc>
          <w:tcPr/>
          <w:p>
            <w:pPr>
              <w:pStyle w:val="Compact"/>
            </w:pPr>
            <w:r>
              <w:rPr>
                <w:b/>
                <w:bCs/>
              </w:rPr>
              <w:t xml:space="preserve">MgmtCo (LLC electing S‑Corp)</w:t>
            </w:r>
          </w:p>
        </w:tc>
        <w:tc>
          <w:tcPr/>
          <w:p>
            <w:pPr>
              <w:pStyle w:val="Compact"/>
            </w:pPr>
            <w:r>
              <w:t xml:space="preserve">Provides shared services (admin, finance, HR, marketing). Bills each subsidiary under Master Services Agreements. Splits income into salary and distributions to minimise FICA taxes.</w:t>
            </w:r>
          </w:p>
        </w:tc>
      </w:tr>
      <w:tr>
        <w:tc>
          <w:tcPr/>
          <w:p>
            <w:pPr>
              <w:pStyle w:val="Compact"/>
            </w:pPr>
            <w:r>
              <w:rPr>
                <w:b/>
                <w:bCs/>
              </w:rPr>
              <w:t xml:space="preserve">ServiceCos (LLCs)</w:t>
            </w:r>
          </w:p>
        </w:tc>
        <w:tc>
          <w:tcPr/>
          <w:p>
            <w:pPr>
              <w:pStyle w:val="Compact"/>
            </w:pPr>
            <w:r>
              <w:t xml:space="preserve">House revenue‑generating activities (SuiteDash services, automation consulting, directories, micro‑SaaS). Pay royalties to IP/MediaCo and rents to EquipCo/PropCo; profits flow to HoldCo.</w:t>
            </w:r>
          </w:p>
        </w:tc>
      </w:tr>
      <w:tr>
        <w:tc>
          <w:tcPr/>
          <w:p>
            <w:pPr>
              <w:pStyle w:val="Compact"/>
            </w:pPr>
            <w:r>
              <w:rPr>
                <w:b/>
                <w:bCs/>
              </w:rPr>
              <w:t xml:space="preserve">RealEstateCo/PropCo (LLC or series)</w:t>
            </w:r>
          </w:p>
        </w:tc>
        <w:tc>
          <w:tcPr/>
          <w:p>
            <w:pPr>
              <w:pStyle w:val="Compact"/>
            </w:pPr>
            <w:r>
              <w:t xml:space="preserve">Own real‑estate assets used by ServiceCos and acquired businesses. Charges rent to operating companies. Provides depreciation shelter.</w:t>
            </w:r>
          </w:p>
        </w:tc>
      </w:tr>
      <w:tr>
        <w:tc>
          <w:tcPr/>
          <w:p>
            <w:pPr>
              <w:pStyle w:val="Compact"/>
            </w:pPr>
            <w:r>
              <w:rPr>
                <w:b/>
                <w:bCs/>
              </w:rPr>
              <w:t xml:space="preserve">IP/MediaCo</w:t>
            </w:r>
          </w:p>
        </w:tc>
        <w:tc>
          <w:tcPr/>
          <w:p>
            <w:pPr>
              <w:pStyle w:val="Compact"/>
            </w:pPr>
            <w:r>
              <w:t xml:space="preserve">Owns brands, code, curricula and licenses them to ServiceCos. Collects royalties.</w:t>
            </w:r>
          </w:p>
        </w:tc>
      </w:tr>
      <w:tr>
        <w:tc>
          <w:tcPr/>
          <w:p>
            <w:pPr>
              <w:pStyle w:val="Compact"/>
            </w:pPr>
            <w:r>
              <w:rPr>
                <w:b/>
                <w:bCs/>
              </w:rPr>
              <w:t xml:space="preserve">EquipCo</w:t>
            </w:r>
          </w:p>
        </w:tc>
        <w:tc>
          <w:tcPr/>
          <w:p>
            <w:pPr>
              <w:pStyle w:val="Compact"/>
            </w:pPr>
            <w:r>
              <w:t xml:space="preserve">Owns equipment (cameras, VR gear, vehicles). Leases assets to ServiceCos and PropCo.</w:t>
            </w:r>
          </w:p>
        </w:tc>
      </w:tr>
      <w:tr>
        <w:tc>
          <w:tcPr/>
          <w:p>
            <w:pPr>
              <w:pStyle w:val="Compact"/>
            </w:pPr>
            <w:r>
              <w:rPr>
                <w:b/>
                <w:bCs/>
              </w:rPr>
              <w:t xml:space="preserve">Brokerage/Angel LLC</w:t>
            </w:r>
          </w:p>
        </w:tc>
        <w:tc>
          <w:tcPr/>
          <w:p>
            <w:pPr>
              <w:pStyle w:val="Compact"/>
            </w:pPr>
            <w:r>
              <w:t xml:space="preserve">Holds minority investments and micro‑SaaS equities.</w:t>
            </w:r>
          </w:p>
        </w:tc>
      </w:tr>
      <w:tr>
        <w:tc>
          <w:tcPr/>
          <w:p>
            <w:pPr>
              <w:pStyle w:val="Compact"/>
            </w:pPr>
            <w:r>
              <w:rPr>
                <w:b/>
                <w:bCs/>
              </w:rPr>
              <w:t xml:space="preserve">Non‑profit (501(c)(3))</w:t>
            </w:r>
          </w:p>
        </w:tc>
        <w:tc>
          <w:tcPr/>
          <w:p>
            <w:pPr>
              <w:pStyle w:val="Compact"/>
            </w:pPr>
            <w:r>
              <w:t xml:space="preserve">Houses philanthropic initiatives and program‑related investments. Provides charitable deductions.</w:t>
            </w:r>
          </w:p>
        </w:tc>
      </w:tr>
    </w:tbl>
    <w:p>
      <w:pPr>
        <w:pStyle w:val="BodyText"/>
      </w:pPr>
      <w:r>
        <w:t xml:space="preserve">These entities implement an</w:t>
      </w:r>
      <w:r>
        <w:t xml:space="preserve"> </w:t>
      </w:r>
      <w:r>
        <w:rPr>
          <w:b/>
          <w:bCs/>
        </w:rPr>
        <w:t xml:space="preserve">OpCo/PropCo</w:t>
      </w:r>
      <w:r>
        <w:t xml:space="preserve"> </w:t>
      </w:r>
      <w:r>
        <w:t xml:space="preserve">model that separates operating risk from real‑estate and intellectual‑property value【193108070870404†L90-L97】. Intercompany agreements (royalty licences, services, leases) must be arm’s‑length and documented annually.</w:t>
      </w:r>
    </w:p>
    <w:bookmarkEnd w:id="24"/>
    <w:bookmarkStart w:id="25" w:name="revenue-engines"/>
    <w:p>
      <w:pPr>
        <w:pStyle w:val="Heading3"/>
      </w:pPr>
      <w:r>
        <w:t xml:space="preserve">3 – Revenue engines</w:t>
      </w:r>
    </w:p>
    <w:p>
      <w:pPr>
        <w:pStyle w:val="FirstParagraph"/>
      </w:pPr>
      <w:r>
        <w:rPr>
          <w:b/>
          <w:bCs/>
        </w:rPr>
        <w:t xml:space="preserve">SuiteDash &amp; automation services:</w:t>
      </w:r>
      <w:r>
        <w:t xml:space="preserve"> </w:t>
      </w:r>
      <w:r>
        <w:t xml:space="preserve">Market research shows that</w:t>
      </w:r>
      <w:r>
        <w:t xml:space="preserve"> </w:t>
      </w:r>
      <w:r>
        <w:rPr>
          <w:b/>
          <w:bCs/>
        </w:rPr>
        <w:t xml:space="preserve">64 % of professional‑service firms</w:t>
      </w:r>
      <w:r>
        <w:t xml:space="preserve"> </w:t>
      </w:r>
      <w:r>
        <w:t xml:space="preserve">plan to implement client portals, creating demand for low‑code automation services【193108070870404†L0-L9】. Offer “Portal in a Week” packages starting at $2 500, with premium and enterprise tiers up to $25 000【193108070870404†L0-L9】. Target verticals such as healthcare, legal and engineering where automation spending is projected to double【193108070870404†L12-L20】.</w:t>
      </w:r>
    </w:p>
    <w:p>
      <w:pPr>
        <w:pStyle w:val="BodyText"/>
      </w:pPr>
      <w:r>
        <w:rPr>
          <w:b/>
          <w:bCs/>
        </w:rPr>
        <w:t xml:space="preserve">Directory platforms:</w:t>
      </w:r>
      <w:r>
        <w:t xml:space="preserve"> </w:t>
      </w:r>
      <w:r>
        <w:t xml:space="preserve">Launch membership directories via Brilliant Directories. Monetise through subscriptions ($25–$100/month), featured listings ($100–$500/month) and lead‑generation bundles【193108070870404†L53-L54】. Build vertical‑specific directories (e.g., contractors, VR studios) to create network effects.</w:t>
      </w:r>
    </w:p>
    <w:p>
      <w:pPr>
        <w:pStyle w:val="BodyText"/>
      </w:pPr>
      <w:r>
        <w:rPr>
          <w:b/>
          <w:bCs/>
        </w:rPr>
        <w:t xml:space="preserve">Micro‑SaaS &amp; APIs:</w:t>
      </w:r>
      <w:r>
        <w:t xml:space="preserve"> </w:t>
      </w:r>
      <w:r>
        <w:t xml:space="preserve">Develop lightweight SaaS tools and sell them on AppSumo or directly to your directory members. Success stories (e.g., Frase and Lemlist) illustrate that micro‑SaaS can scale rapidly with low failure rates【193108070870404†L53-L54】.</w:t>
      </w:r>
    </w:p>
    <w:p>
      <w:pPr>
        <w:pStyle w:val="BodyText"/>
      </w:pPr>
      <w:r>
        <w:rPr>
          <w:b/>
          <w:bCs/>
        </w:rPr>
        <w:t xml:space="preserve">Automation consulting:</w:t>
      </w:r>
      <w:r>
        <w:t xml:space="preserve"> </w:t>
      </w:r>
      <w:r>
        <w:t xml:space="preserve">The professional‑services automation consulting market is projected to grow from</w:t>
      </w:r>
      <w:r>
        <w:t xml:space="preserve"> </w:t>
      </w:r>
      <w:r>
        <w:rPr>
          <w:b/>
          <w:bCs/>
        </w:rPr>
        <w:t xml:space="preserve">$11.13 billion in 2025</w:t>
      </w:r>
      <w:r>
        <w:t xml:space="preserve"> </w:t>
      </w:r>
      <w:r>
        <w:t xml:space="preserve">to $73 billion by 2033【193108070870404†L12-L20】. Charge hourly ($150–$500) or project‑based ($10K–$1M+) fees, focusing on digital transformation for acquired businesses.</w:t>
      </w:r>
    </w:p>
    <w:p>
      <w:pPr>
        <w:pStyle w:val="BodyText"/>
      </w:pPr>
      <w:r>
        <w:rPr>
          <w:b/>
          <w:bCs/>
        </w:rPr>
        <w:t xml:space="preserve">Business acquisitions:</w:t>
      </w:r>
      <w:r>
        <w:t xml:space="preserve"> </w:t>
      </w:r>
      <w:r>
        <w:t xml:space="preserve">Acquire recession‑resistant businesses such as HVAC companies (8× EBITDA multiples), car washes (1.4× valuation increases) and laundromats (94.8–95 % success rates)【193108070870404†L90-L97】. Use search‑fund methodology, seller financing (80 % of deals) and SBA loans to leverage purchases【193108070870404†L0-L9】. Consolidate operations into your shared‑services platform to achieve multiple arbitrage (buy at 4–6× EBITDA, integrate and value at 8–10×)【193108070870404†L90-L97】.</w:t>
      </w:r>
    </w:p>
    <w:bookmarkEnd w:id="25"/>
    <w:bookmarkStart w:id="26" w:name="tax-optimisation-wealth-preservation"/>
    <w:p>
      <w:pPr>
        <w:pStyle w:val="Heading3"/>
      </w:pPr>
      <w:r>
        <w:t xml:space="preserve">4 – Tax optimisation &amp; wealth preservation</w:t>
      </w:r>
    </w:p>
    <w:p>
      <w:pPr>
        <w:pStyle w:val="Compact"/>
        <w:numPr>
          <w:ilvl w:val="0"/>
          <w:numId w:val="1003"/>
        </w:numPr>
      </w:pPr>
      <w:r>
        <w:rPr>
          <w:b/>
          <w:bCs/>
        </w:rPr>
        <w:t xml:space="preserve">Real Estate Professional Status (REPS).</w:t>
      </w:r>
      <w:r>
        <w:t xml:space="preserve"> </w:t>
      </w:r>
      <w:r>
        <w:t xml:space="preserve">Qualify by spending 750+ hours annually on real‑estate activities and ensuring it constitutes more than half of your working time. This allows passive losses and depreciation from rental properties to offset W‑2 and business income【193108070870404†L90-L97】.</w:t>
      </w:r>
    </w:p>
    <w:p>
      <w:pPr>
        <w:pStyle w:val="Compact"/>
        <w:numPr>
          <w:ilvl w:val="0"/>
          <w:numId w:val="1003"/>
        </w:numPr>
      </w:pPr>
      <w:r>
        <w:rPr>
          <w:b/>
          <w:bCs/>
        </w:rPr>
        <w:t xml:space="preserve">100 % bonus depreciation.</w:t>
      </w:r>
      <w:r>
        <w:t xml:space="preserve"> </w:t>
      </w:r>
      <w:r>
        <w:t xml:space="preserve">The rules restored in January 2025 allow you to deduct a large portion of property improvements immediately【193108070870404†L90-L97】. Use cost‑segregation studies (allocate 15–25 % of building basis to short‑lived assets) to maximise deductions.</w:t>
      </w:r>
    </w:p>
    <w:p>
      <w:pPr>
        <w:pStyle w:val="Compact"/>
        <w:numPr>
          <w:ilvl w:val="0"/>
          <w:numId w:val="1003"/>
        </w:numPr>
      </w:pPr>
      <w:r>
        <w:rPr>
          <w:b/>
          <w:bCs/>
        </w:rPr>
        <w:t xml:space="preserve">OpCo/PropCo rent deductions.</w:t>
      </w:r>
      <w:r>
        <w:t xml:space="preserve"> </w:t>
      </w:r>
      <w:r>
        <w:t xml:space="preserve">Rents paid by operating entities are deductible, while rental income is offset by depreciation in PropCo【193108070870404†L90-L97】.</w:t>
      </w:r>
    </w:p>
    <w:p>
      <w:pPr>
        <w:pStyle w:val="Compact"/>
        <w:numPr>
          <w:ilvl w:val="0"/>
          <w:numId w:val="1003"/>
        </w:numPr>
      </w:pPr>
      <w:r>
        <w:rPr>
          <w:b/>
          <w:bCs/>
        </w:rPr>
        <w:t xml:space="preserve">Solo 401(k) &amp; Cash Balance Plans.</w:t>
      </w:r>
      <w:r>
        <w:t xml:space="preserve"> </w:t>
      </w:r>
      <w:r>
        <w:t xml:space="preserve">Contribute up to $70 000 (more for 60‑63 year olds) to your plan to shield income【193108070870404†L90-L97】. Use employer contributions from MgmtCo profits.</w:t>
      </w:r>
    </w:p>
    <w:p>
      <w:pPr>
        <w:pStyle w:val="Compact"/>
        <w:numPr>
          <w:ilvl w:val="0"/>
          <w:numId w:val="1003"/>
        </w:numPr>
      </w:pPr>
      <w:r>
        <w:rPr>
          <w:b/>
          <w:bCs/>
        </w:rPr>
        <w:t xml:space="preserve">Charitable planning.</w:t>
      </w:r>
      <w:r>
        <w:t xml:space="preserve"> </w:t>
      </w:r>
      <w:r>
        <w:t xml:space="preserve">Utilize your 501(c)(3) foundation and charitable remainder trusts (CRTs) to avoid capital gains on appreciated assets and secure lifetime income streams.</w:t>
      </w:r>
    </w:p>
    <w:bookmarkEnd w:id="26"/>
    <w:bookmarkStart w:id="27" w:name="risk-mitigation-diversification"/>
    <w:p>
      <w:pPr>
        <w:pStyle w:val="Heading3"/>
      </w:pPr>
      <w:r>
        <w:t xml:space="preserve">5 – Risk mitigation &amp; diversification</w:t>
      </w:r>
    </w:p>
    <w:p>
      <w:pPr>
        <w:pStyle w:val="FirstParagraph"/>
      </w:pPr>
      <w:r>
        <w:t xml:space="preserve">Diversify income streams across SuiteDash services, directories, micro‑SaaS, consulting and operating businesses. Aim for at least</w:t>
      </w:r>
      <w:r>
        <w:t xml:space="preserve"> </w:t>
      </w:r>
      <w:r>
        <w:rPr>
          <w:b/>
          <w:bCs/>
        </w:rPr>
        <w:t xml:space="preserve">70 % recurring revenue</w:t>
      </w:r>
      <w:r>
        <w:t xml:space="preserve"> </w:t>
      </w:r>
      <w:r>
        <w:t xml:space="preserve">through subscriptions, retainers and leases【193108070870404†L90-L97】. Geographic diversification reduces local economic risk, while trust structures and liability separation shield personal assets. Regularly review market conditions (e.g., interest rates, M&amp;A multiples) and adjust acquisition pacing accordingly.</w:t>
      </w:r>
    </w:p>
    <w:bookmarkEnd w:id="27"/>
    <w:bookmarkEnd w:id="28"/>
    <w:bookmarkStart w:id="34" w:name="implementation-roadmap"/>
    <w:p>
      <w:pPr>
        <w:pStyle w:val="Heading2"/>
      </w:pPr>
      <w:r>
        <w:t xml:space="preserve">Implementation roadmap</w:t>
      </w:r>
    </w:p>
    <w:bookmarkStart w:id="29" w:name="phase-0-immediate-foundation-octdec-2025"/>
    <w:p>
      <w:pPr>
        <w:pStyle w:val="Heading3"/>
      </w:pPr>
      <w:r>
        <w:t xml:space="preserve">Phase 0 – Immediate foundation (Oct–Dec 2025)</w:t>
      </w:r>
    </w:p>
    <w:p>
      <w:pPr>
        <w:pStyle w:val="Compact"/>
        <w:numPr>
          <w:ilvl w:val="0"/>
          <w:numId w:val="1004"/>
        </w:numPr>
      </w:pPr>
      <w:r>
        <w:rPr>
          <w:b/>
          <w:bCs/>
        </w:rPr>
        <w:t xml:space="preserve">Estate planning execution:</w:t>
      </w:r>
      <w:r>
        <w:t xml:space="preserve"> </w:t>
      </w:r>
      <w:r>
        <w:t xml:space="preserve">Finalise dynasty and spousal trusts; utilise the $13.99 million exemption before year‑end【193108070870404†L0-L9】.</w:t>
      </w:r>
    </w:p>
    <w:p>
      <w:pPr>
        <w:pStyle w:val="Compact"/>
        <w:numPr>
          <w:ilvl w:val="0"/>
          <w:numId w:val="1004"/>
        </w:numPr>
      </w:pPr>
      <w:r>
        <w:rPr>
          <w:b/>
          <w:bCs/>
        </w:rPr>
        <w:t xml:space="preserve">Corporate entity formation:</w:t>
      </w:r>
      <w:r>
        <w:t xml:space="preserve"> </w:t>
      </w:r>
      <w:r>
        <w:t xml:space="preserve">Form HoldCo, PropCo, MgmtCo and initial ServiceCo/REI subsidiaries. Draft intercompany agreements (MSA, royalty, lease).</w:t>
      </w:r>
    </w:p>
    <w:p>
      <w:pPr>
        <w:pStyle w:val="Compact"/>
        <w:numPr>
          <w:ilvl w:val="0"/>
          <w:numId w:val="1004"/>
        </w:numPr>
      </w:pPr>
      <w:r>
        <w:rPr>
          <w:b/>
          <w:bCs/>
        </w:rPr>
        <w:t xml:space="preserve">SuiteDash certification:</w:t>
      </w:r>
      <w:r>
        <w:t xml:space="preserve"> </w:t>
      </w:r>
      <w:r>
        <w:t xml:space="preserve">Complete platform training and build standard “Portal in a Week” packages.</w:t>
      </w:r>
    </w:p>
    <w:p>
      <w:pPr>
        <w:pStyle w:val="Compact"/>
        <w:numPr>
          <w:ilvl w:val="0"/>
          <w:numId w:val="1004"/>
        </w:numPr>
      </w:pPr>
      <w:r>
        <w:rPr>
          <w:b/>
          <w:bCs/>
        </w:rPr>
        <w:t xml:space="preserve">Acquisition prep:</w:t>
      </w:r>
      <w:r>
        <w:t xml:space="preserve"> </w:t>
      </w:r>
      <w:r>
        <w:t xml:space="preserve">Set up a search fund or acquisition LLC; identify brokers and target industries.</w:t>
      </w:r>
    </w:p>
    <w:bookmarkEnd w:id="29"/>
    <w:bookmarkStart w:id="30" w:name="X8e298273e8ec88a4b5c40689da4c8b5e2fe5fbf"/>
    <w:p>
      <w:pPr>
        <w:pStyle w:val="Heading3"/>
      </w:pPr>
      <w:r>
        <w:t xml:space="preserve">Phase 1 – Trust funding &amp; early operations (Jan–Mar 2025)</w:t>
      </w:r>
    </w:p>
    <w:p>
      <w:pPr>
        <w:pStyle w:val="Compact"/>
        <w:numPr>
          <w:ilvl w:val="0"/>
          <w:numId w:val="1005"/>
        </w:numPr>
      </w:pPr>
      <w:r>
        <w:rPr>
          <w:b/>
          <w:bCs/>
        </w:rPr>
        <w:t xml:space="preserve">Transfer assets to trusts:</w:t>
      </w:r>
      <w:r>
        <w:t xml:space="preserve"> </w:t>
      </w:r>
      <w:r>
        <w:t xml:space="preserve">Gift discounted LLC interests (ServiceCos, RealEstateCo) to dynasty trusts. File gift‑tax returns.</w:t>
      </w:r>
    </w:p>
    <w:p>
      <w:pPr>
        <w:pStyle w:val="Compact"/>
        <w:numPr>
          <w:ilvl w:val="0"/>
          <w:numId w:val="1005"/>
        </w:numPr>
      </w:pPr>
      <w:r>
        <w:rPr>
          <w:b/>
          <w:bCs/>
        </w:rPr>
        <w:t xml:space="preserve">REPS qualification:</w:t>
      </w:r>
      <w:r>
        <w:t xml:space="preserve"> </w:t>
      </w:r>
      <w:r>
        <w:t xml:space="preserve">Begin tracking hours (750+) in real‑estate and acquisition activities.</w:t>
      </w:r>
    </w:p>
    <w:p>
      <w:pPr>
        <w:pStyle w:val="Compact"/>
        <w:numPr>
          <w:ilvl w:val="0"/>
          <w:numId w:val="1005"/>
        </w:numPr>
      </w:pPr>
      <w:r>
        <w:rPr>
          <w:b/>
          <w:bCs/>
        </w:rPr>
        <w:t xml:space="preserve">S‑Corp elections:</w:t>
      </w:r>
      <w:r>
        <w:t xml:space="preserve"> </w:t>
      </w:r>
      <w:r>
        <w:t xml:space="preserve">Elect S‑Corp status for MgmtCo (Form 2553).</w:t>
      </w:r>
    </w:p>
    <w:p>
      <w:pPr>
        <w:pStyle w:val="Compact"/>
        <w:numPr>
          <w:ilvl w:val="0"/>
          <w:numId w:val="1005"/>
        </w:numPr>
      </w:pPr>
      <w:r>
        <w:rPr>
          <w:b/>
          <w:bCs/>
        </w:rPr>
        <w:t xml:space="preserve">Launch SuiteDash packages:</w:t>
      </w:r>
      <w:r>
        <w:t xml:space="preserve"> </w:t>
      </w:r>
      <w:r>
        <w:t xml:space="preserve">Sell first automation engagements; refine processes.</w:t>
      </w:r>
    </w:p>
    <w:bookmarkEnd w:id="30"/>
    <w:bookmarkStart w:id="31" w:name="Xd1529ad6492849c2b01352a19e89071c16dade3"/>
    <w:p>
      <w:pPr>
        <w:pStyle w:val="Heading3"/>
      </w:pPr>
      <w:r>
        <w:t xml:space="preserve">Phase 2 – Scaling revenue &amp; tax acceleration (Mar–Jun 2025)</w:t>
      </w:r>
    </w:p>
    <w:p>
      <w:pPr>
        <w:pStyle w:val="Compact"/>
        <w:numPr>
          <w:ilvl w:val="0"/>
          <w:numId w:val="1006"/>
        </w:numPr>
      </w:pPr>
      <w:r>
        <w:rPr>
          <w:b/>
          <w:bCs/>
        </w:rPr>
        <w:t xml:space="preserve">Complete cost‑segregation studies</w:t>
      </w:r>
      <w:r>
        <w:t xml:space="preserve"> </w:t>
      </w:r>
      <w:r>
        <w:t xml:space="preserve">for properties acquired since January 2025【193108070870404†L90-L97】.</w:t>
      </w:r>
    </w:p>
    <w:p>
      <w:pPr>
        <w:pStyle w:val="Compact"/>
        <w:numPr>
          <w:ilvl w:val="0"/>
          <w:numId w:val="1006"/>
        </w:numPr>
      </w:pPr>
      <w:r>
        <w:rPr>
          <w:b/>
          <w:bCs/>
        </w:rPr>
        <w:t xml:space="preserve">Launch directory platforms</w:t>
      </w:r>
      <w:r>
        <w:t xml:space="preserve"> </w:t>
      </w:r>
      <w:r>
        <w:t xml:space="preserve">for initial verticals; experiment with pricing and lead‑generation packages.</w:t>
      </w:r>
    </w:p>
    <w:p>
      <w:pPr>
        <w:pStyle w:val="Compact"/>
        <w:numPr>
          <w:ilvl w:val="0"/>
          <w:numId w:val="1006"/>
        </w:numPr>
      </w:pPr>
      <w:r>
        <w:rPr>
          <w:b/>
          <w:bCs/>
        </w:rPr>
        <w:t xml:space="preserve">Develop first micro‑SaaS product</w:t>
      </w:r>
      <w:r>
        <w:t xml:space="preserve"> </w:t>
      </w:r>
      <w:r>
        <w:t xml:space="preserve">in partnership with AppSumo or as an add‑on to your directories.</w:t>
      </w:r>
    </w:p>
    <w:p>
      <w:pPr>
        <w:pStyle w:val="Compact"/>
        <w:numPr>
          <w:ilvl w:val="0"/>
          <w:numId w:val="1006"/>
        </w:numPr>
      </w:pPr>
      <w:r>
        <w:rPr>
          <w:b/>
          <w:bCs/>
        </w:rPr>
        <w:t xml:space="preserve">Acquire first business</w:t>
      </w:r>
      <w:r>
        <w:t xml:space="preserve">: Close on a platform acquisition; integrate back‑office onto MgmtCo systems.</w:t>
      </w:r>
    </w:p>
    <w:bookmarkEnd w:id="31"/>
    <w:bookmarkStart w:id="32" w:name="Xb76ec8f2ae37acc2063a0115883c2d6bc3b1b1c"/>
    <w:p>
      <w:pPr>
        <w:pStyle w:val="Heading3"/>
      </w:pPr>
      <w:r>
        <w:t xml:space="preserve">Phase 3 – Acquisition and integration (Jun 2025–Mar 2026)</w:t>
      </w:r>
    </w:p>
    <w:p>
      <w:pPr>
        <w:pStyle w:val="Compact"/>
        <w:numPr>
          <w:ilvl w:val="0"/>
          <w:numId w:val="1007"/>
        </w:numPr>
      </w:pPr>
      <w:r>
        <w:rPr>
          <w:b/>
          <w:bCs/>
        </w:rPr>
        <w:t xml:space="preserve">Roll‑up add‑on acquisitions:</w:t>
      </w:r>
      <w:r>
        <w:t xml:space="preserve"> </w:t>
      </w:r>
      <w:r>
        <w:t xml:space="preserve">Acquire 2–3 complementary businesses; aim for 4–6× EBITDA multiples and integrate operations.</w:t>
      </w:r>
    </w:p>
    <w:p>
      <w:pPr>
        <w:pStyle w:val="Compact"/>
        <w:numPr>
          <w:ilvl w:val="0"/>
          <w:numId w:val="1007"/>
        </w:numPr>
      </w:pPr>
      <w:r>
        <w:rPr>
          <w:b/>
          <w:bCs/>
        </w:rPr>
        <w:t xml:space="preserve">Scale revenue streams:</w:t>
      </w:r>
      <w:r>
        <w:t xml:space="preserve"> </w:t>
      </w:r>
      <w:r>
        <w:t xml:space="preserve">Expand SuiteDash services, directory membership, micro‑SaaS offerings and consulting.</w:t>
      </w:r>
    </w:p>
    <w:p>
      <w:pPr>
        <w:pStyle w:val="Compact"/>
        <w:numPr>
          <w:ilvl w:val="0"/>
          <w:numId w:val="1007"/>
        </w:numPr>
      </w:pPr>
      <w:r>
        <w:rPr>
          <w:b/>
          <w:bCs/>
        </w:rPr>
        <w:t xml:space="preserve">Expand PropCo portfolio:</w:t>
      </w:r>
      <w:r>
        <w:t xml:space="preserve"> </w:t>
      </w:r>
      <w:r>
        <w:t xml:space="preserve">Purchase additional real‑estate assets to satisfy REPS requirements and create depreciation shelter.</w:t>
      </w:r>
    </w:p>
    <w:p>
      <w:pPr>
        <w:pStyle w:val="Compact"/>
        <w:numPr>
          <w:ilvl w:val="0"/>
          <w:numId w:val="1007"/>
        </w:numPr>
      </w:pPr>
      <w:r>
        <w:rPr>
          <w:b/>
          <w:bCs/>
        </w:rPr>
        <w:t xml:space="preserve">Prepare exit strategies:</w:t>
      </w:r>
      <w:r>
        <w:t xml:space="preserve"> </w:t>
      </w:r>
      <w:r>
        <w:t xml:space="preserve">Build data rooms for potential strategic or private‑equity buyers; evaluate recapitalisation options.</w:t>
      </w:r>
    </w:p>
    <w:bookmarkEnd w:id="32"/>
    <w:bookmarkStart w:id="33" w:name="phase-4-longterm-scale-2026-onward"/>
    <w:p>
      <w:pPr>
        <w:pStyle w:val="Heading3"/>
      </w:pPr>
      <w:r>
        <w:t xml:space="preserve">Phase 4 – Long‑term scale (2026 onward)</w:t>
      </w:r>
    </w:p>
    <w:p>
      <w:pPr>
        <w:pStyle w:val="Compact"/>
        <w:numPr>
          <w:ilvl w:val="0"/>
          <w:numId w:val="1008"/>
        </w:numPr>
      </w:pPr>
      <w:r>
        <w:rPr>
          <w:b/>
          <w:bCs/>
        </w:rPr>
        <w:t xml:space="preserve">Geographic expansion:</w:t>
      </w:r>
      <w:r>
        <w:t xml:space="preserve"> </w:t>
      </w:r>
      <w:r>
        <w:t xml:space="preserve">Replicate the acquisition‑automation‑real‑estate model in new regions.</w:t>
      </w:r>
    </w:p>
    <w:p>
      <w:pPr>
        <w:pStyle w:val="Compact"/>
        <w:numPr>
          <w:ilvl w:val="0"/>
          <w:numId w:val="1008"/>
        </w:numPr>
      </w:pPr>
      <w:r>
        <w:rPr>
          <w:b/>
          <w:bCs/>
        </w:rPr>
        <w:t xml:space="preserve">Portfolio diversification:</w:t>
      </w:r>
      <w:r>
        <w:t xml:space="preserve"> </w:t>
      </w:r>
      <w:r>
        <w:t xml:space="preserve">Target complementary industries (e.g., home services, professional practices) and technology‑enhanced services.</w:t>
      </w:r>
    </w:p>
    <w:p>
      <w:pPr>
        <w:pStyle w:val="Compact"/>
        <w:numPr>
          <w:ilvl w:val="0"/>
          <w:numId w:val="1008"/>
        </w:numPr>
      </w:pPr>
      <w:r>
        <w:rPr>
          <w:b/>
          <w:bCs/>
        </w:rPr>
        <w:t xml:space="preserve">Technology integration:</w:t>
      </w:r>
      <w:r>
        <w:t xml:space="preserve"> </w:t>
      </w:r>
      <w:r>
        <w:t xml:space="preserve">Standardise automation and data analytics across the portfolio to drive operating efficiencies.</w:t>
      </w:r>
    </w:p>
    <w:p>
      <w:pPr>
        <w:pStyle w:val="Compact"/>
        <w:numPr>
          <w:ilvl w:val="0"/>
          <w:numId w:val="1008"/>
        </w:numPr>
      </w:pPr>
      <w:r>
        <w:rPr>
          <w:b/>
          <w:bCs/>
        </w:rPr>
        <w:t xml:space="preserve">Philanthropic growth:</w:t>
      </w:r>
      <w:r>
        <w:t xml:space="preserve"> </w:t>
      </w:r>
      <w:r>
        <w:t xml:space="preserve">Expand foundation programmes; pursue programme‑related investments that align with your business themes.</w:t>
      </w:r>
    </w:p>
    <w:bookmarkEnd w:id="33"/>
    <w:bookmarkEnd w:id="34"/>
    <w:bookmarkStart w:id="35" w:name="conclusion"/>
    <w:p>
      <w:pPr>
        <w:pStyle w:val="Heading2"/>
      </w:pPr>
      <w:r>
        <w:t xml:space="preserve">Conclusion</w:t>
      </w:r>
    </w:p>
    <w:p>
      <w:pPr>
        <w:pStyle w:val="FirstParagraph"/>
      </w:pPr>
      <w:r>
        <w:t xml:space="preserve">The convergence of expiring estate‑tax exemptions, a buyer‑friendly business market, and explosive growth in automation services offers an exceptional wealth‑building window【193108070870404†L0-L9】. By executing this North‑Star master plan—forming your trusts and entities, launching automation and directory services, acquiring recession‑resistant companies, and optimising taxes—you can build a diversified empire that generates substantial income and appreciates in value. The keys to success are</w:t>
      </w:r>
      <w:r>
        <w:t xml:space="preserve"> </w:t>
      </w:r>
      <w:r>
        <w:rPr>
          <w:b/>
          <w:bCs/>
        </w:rPr>
        <w:t xml:space="preserve">speed (meeting the 2025 trust deadline), disciplined acquisitions, tax optimisation, and relentless focus on automation and integration</w:t>
      </w:r>
      <w:r>
        <w:t xml:space="preserve">.</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2025-09-03T18:02:34Z</dcterms:created>
  <dcterms:modified xsi:type="dcterms:W3CDTF">2025-09-03T18:02:34Z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