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&amp; Localization Guide</w:t>
      </w:r>
    </w:p>
    <w:p>
      <w:r>
        <w:t>Accessibility &amp; Style</w:t>
      </w:r>
    </w:p>
    <w:p>
      <w:r>
        <w:t>- Write at 8th–9th grade reading level; use headings, bullets.</w:t>
      </w:r>
    </w:p>
    <w:p>
      <w:r>
        <w:t>- Alt-text for images; descriptive link text.</w:t>
      </w:r>
    </w:p>
    <w:p>
      <w:r>
        <w:t>- High-contrast colors; avoid tiny fonts.</w:t>
      </w:r>
    </w:p>
    <w:p>
      <w:r>
        <w:t>Localization</w:t>
      </w:r>
    </w:p>
    <w:p>
      <w:r>
        <w:t>- Duplicate client pages/forms per language; route by Circle.</w:t>
      </w:r>
    </w:p>
    <w:p>
      <w:r>
        <w:t>- Keep merge fields consistent across languages.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