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Recurring Task Style Guide (Outcome-First)</w:t>
      </w:r>
    </w:p>
    <w:p>
      <w:r>
        <w:t>Recurring Task Style Guide</w:t>
      </w:r>
    </w:p>
    <w:p>
      <w:r>
        <w:t>- Name tasks Outcome-First (e.g., 'Publish Weekly Newsletter').</w:t>
      </w:r>
    </w:p>
    <w:p>
      <w:r>
        <w:t>- Use Start Date = when work begins; Due Date = SLA.</w:t>
      </w:r>
    </w:p>
    <w:p>
      <w:r>
        <w:t>- Set frequency based on cadence (weekly, monthly, quarterly).</w:t>
      </w:r>
    </w:p>
    <w:p>
      <w:r>
        <w:t>- Keep 3–7 steps in the checklist; link SOP for detail.</w:t>
      </w:r>
    </w:p>
    <w:p>
      <w:r>
        <w:t>- Add 'Proof of Completion' subtask (screenshot/link).</w:t>
      </w:r>
    </w:p>
    <w:p>
      <w:r>
        <w:t>- If skipped, require reason tag (Holiday, Client Delay,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