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Sequence – Goodwill Nurture (Non-Buyers)</w:t>
      </w:r>
    </w:p>
    <w:p>
      <w:pPr>
        <w:pStyle w:val="Heading1"/>
      </w:pPr>
      <w:r>
        <w:t>G1 – Gift Value</w:t>
      </w:r>
    </w:p>
    <w:p>
      <w:r>
        <w:t>Share a high-value checklist/calculator. No pitch. PS: link to book if wanted.</w:t>
      </w:r>
    </w:p>
    <w:p>
      <w:pPr>
        <w:pStyle w:val="Heading1"/>
      </w:pPr>
      <w:r>
        <w:t>G2 – Teach One Specific Win</w:t>
      </w:r>
    </w:p>
    <w:p>
      <w:r>
        <w:t>Give a small win they can implement in 30 minutes.</w:t>
      </w:r>
    </w:p>
    <w:p>
      <w:pPr>
        <w:pStyle w:val="Heading1"/>
      </w:pPr>
      <w:r>
        <w:t>G3 – Case Snapshot</w:t>
      </w:r>
    </w:p>
    <w:p>
      <w:r>
        <w:t>Quantified before/after. Soft CTA to audit.</w:t>
      </w:r>
    </w:p>
    <w:p>
      <w:pPr>
        <w:pStyle w:val="Heading1"/>
      </w:pPr>
      <w:r>
        <w:t>G4 – Live Invite</w:t>
      </w:r>
    </w:p>
    <w:p>
      <w:r>
        <w:t>Invite to Q&amp;A/webinar/office hours.</w:t>
      </w:r>
    </w:p>
    <w:p>
      <w:pPr>
        <w:pStyle w:val="Heading1"/>
      </w:pPr>
      <w:r>
        <w:t>G5 – Curated Resources</w:t>
      </w:r>
    </w:p>
    <w:p>
      <w:r>
        <w:t>Link 3–5 helpful resources; ask what they’re working on.</w:t>
      </w:r>
    </w:p>
    <w:p>
      <w:pPr>
        <w:pStyle w:val="Heading1"/>
      </w:pPr>
      <w:r>
        <w:t>G6 – Gentle CTA</w:t>
      </w:r>
    </w:p>
    <w:p>
      <w:r>
        <w:t>Offer a low-friction audit or quick consult.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