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7445"/>
        <w:tblGridChange w:id="0">
          <w:tblGrid>
            <w:gridCol w:w="1730"/>
            <w:gridCol w:w="7445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Build wealth by acquiring and modernising “boring” cash‑flowing businesses that own their real estate. Use automation and digital services (SuiteDash portals, Brilliant Directories) to generate cash for a reserve fund that finances acquisitions.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Multi‑entity design: HoldCo (parent &amp; capital allocator), four OpCos (Digital Services, Directories, SaaS &amp; Tools, Media &amp; Education), PropCo (holds real estate), IPCo (holds IP &amp; licenses it), Shared Services CoE (finance, legal, HR, data/AI, PMO). Optionally, a 501(c)(3) foundation.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Estate &amp; Wealth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Use the historically high estate tax exemptions (through 2025) to transfer appreciating assets into an irrevocable dynasty trust. Create an ILIT for life insurance, fund Solo 401(k) with a plan‑owned LLC, and maintain revocable trusts for probate avoidance.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 &amp;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File S‑Corp elections for profitable entities by March 15, 2025; implement intercompany service agreements and IP licenses with transfer‑pricing documentation; conduct cost‑segregation studies on properties; track 750+ hours for real estate professional status.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Sell SuiteDash “Portal in a Week” packages and upsell ongoing support; monetize niche directories via featured listings; develop micro‑SaaS/agentic products; use Tori Media kits to reboot marketing for acquired companies. Revenues feed an acquisition reserve that finances acquisitions.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Use the North Star Execution Dashboard (Excel v3) to track phases, weekly tasks, compliance filings, risk logs, and acquisition pipeline. It includes a revenue tracker, under‑writing model, compliance checklists and a KPI glossary.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cwe7r0dq1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🗓️ Chronological Implementation Pathway</w:t>
      </w:r>
    </w:p>
    <w:p w:rsidR="00000000" w:rsidDel="00000000" w:rsidP="00000000" w:rsidRDefault="00000000" w:rsidRPr="00000000" w14:paraId="0000001E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0: Preparation (Sept–Dec 2024)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Entity formation</w:t>
      </w:r>
      <w:r w:rsidDel="00000000" w:rsidR="00000000" w:rsidRPr="00000000">
        <w:rPr>
          <w:rtl w:val="0"/>
        </w:rPr>
        <w:t xml:space="preserve"> – set up HoldCo, OpCos, PropCo, IPCo; file EINs; open bank accounts; draft operating agreements.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Estate planning</w:t>
      </w:r>
      <w:r w:rsidDel="00000000" w:rsidR="00000000" w:rsidRPr="00000000">
        <w:rPr>
          <w:rtl w:val="0"/>
        </w:rPr>
        <w:t xml:space="preserve"> – draft dynasty trust, ILIT and revocable trust; appraise assets; schedule 709 gift filings.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build</w:t>
      </w:r>
      <w:r w:rsidDel="00000000" w:rsidR="00000000" w:rsidRPr="00000000">
        <w:rPr>
          <w:rtl w:val="0"/>
        </w:rPr>
        <w:t xml:space="preserve"> – finalise SuiteDash portal templates and automations; launch first directory; set rate cards for contractors.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&amp; SOPs</w:t>
      </w:r>
      <w:r w:rsidDel="00000000" w:rsidR="00000000" w:rsidRPr="00000000">
        <w:rPr>
          <w:rtl w:val="0"/>
        </w:rPr>
        <w:t xml:space="preserve"> – implement 2FA, password vault, incident runbook; prepare SOPs for directory seeding, portal builds and automation flows.</w:t>
        <w:br w:type="textWrapping"/>
      </w:r>
    </w:p>
    <w:p w:rsidR="00000000" w:rsidDel="00000000" w:rsidP="00000000" w:rsidRDefault="00000000" w:rsidRPr="00000000" w14:paraId="00000023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1: Estate &amp; Dynasty Execution (Jan–Mar 2025)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Transfer appreciating assets into the irrevocable trust while the exemption is high.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Amend or establish a Nevada/South Dakota dynasty trust and allocate GST exemption.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 the ILIT, children’s trusts and Solo 401(k); send Crummey notices.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S‑Corp elections by March 15; set reasonable salaries; create management agreements and IP licenses by April 15.</w:t>
        <w:br w:type="textWrapping"/>
      </w:r>
    </w:p>
    <w:p w:rsidR="00000000" w:rsidDel="00000000" w:rsidP="00000000" w:rsidRDefault="00000000" w:rsidRPr="00000000" w14:paraId="00000028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2: Operational Scale &amp; Tax Acceleration (Mar–Jun 2025)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Expand revenue</w:t>
      </w:r>
      <w:r w:rsidDel="00000000" w:rsidR="00000000" w:rsidRPr="00000000">
        <w:rPr>
          <w:rtl w:val="0"/>
        </w:rPr>
        <w:t xml:space="preserve"> – build more directories and onboard more CRM clients; monitor MRR, churn and reserve growth.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segregation</w:t>
      </w:r>
      <w:r w:rsidDel="00000000" w:rsidR="00000000" w:rsidRPr="00000000">
        <w:rPr>
          <w:rtl w:val="0"/>
        </w:rPr>
        <w:t xml:space="preserve"> – schedule studies for existing and new properties.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real‑estate professional hours</w:t>
      </w:r>
      <w:r w:rsidDel="00000000" w:rsidR="00000000" w:rsidRPr="00000000">
        <w:rPr>
          <w:rtl w:val="0"/>
        </w:rPr>
        <w:t xml:space="preserve">; prepare for Solo 401(k) plan amendments (deadline Aug 31, 2025).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transfer‑pricing documentation</w:t>
      </w:r>
      <w:r w:rsidDel="00000000" w:rsidR="00000000" w:rsidRPr="00000000">
        <w:rPr>
          <w:rtl w:val="0"/>
        </w:rPr>
        <w:t xml:space="preserve">; adopt an entity management system to track filings, taxes and compliance.</w:t>
        <w:br w:type="textWrapping"/>
      </w:r>
    </w:p>
    <w:p w:rsidR="00000000" w:rsidDel="00000000" w:rsidP="00000000" w:rsidRDefault="00000000" w:rsidRPr="00000000" w14:paraId="0000002D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3: Acquisition &amp; Integration (Jun 2025–Mar 2026)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deal box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minimum $150K EBITDA, real‑estate ownership, seller financing ≥50 %, DSCR &gt;1.25, limited customer concentration.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&amp; negotiate</w:t>
      </w:r>
      <w:r w:rsidDel="00000000" w:rsidR="00000000" w:rsidRPr="00000000">
        <w:rPr>
          <w:rtl w:val="0"/>
        </w:rPr>
        <w:t xml:space="preserve"> – use directories to contact owners; test LOIs with seller‑financing scenarios.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Due diligence</w:t>
      </w:r>
      <w:r w:rsidDel="00000000" w:rsidR="00000000" w:rsidRPr="00000000">
        <w:rPr>
          <w:rtl w:val="0"/>
        </w:rPr>
        <w:t xml:space="preserve"> – review financials, property, HR, leases; build a property diligence checklist.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 &amp; integrate</w:t>
      </w:r>
      <w:r w:rsidDel="00000000" w:rsidR="00000000" w:rsidRPr="00000000">
        <w:rPr>
          <w:rtl w:val="0"/>
        </w:rPr>
        <w:t xml:space="preserve"> – create new series under PropCo for property; assign business assets to a new OpCo; migrate ops into SuiteDash; relaunch marketing with Tori Media kits; finalise cost‑segregation studies within six months.</w:t>
        <w:br w:type="textWrapping"/>
      </w:r>
    </w:p>
    <w:p w:rsidR="00000000" w:rsidDel="00000000" w:rsidP="00000000" w:rsidRDefault="00000000" w:rsidRPr="00000000" w14:paraId="00000032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4: Roll‑Up &amp; Scale (2026 onwards)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Replicate acquisitions</w:t>
      </w:r>
      <w:r w:rsidDel="00000000" w:rsidR="00000000" w:rsidRPr="00000000">
        <w:rPr>
          <w:rtl w:val="0"/>
        </w:rPr>
        <w:t xml:space="preserve"> – add more businesses in the same niche; unify back‑office while keeping local brands.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 the real‑estate portfolio</w:t>
      </w:r>
      <w:r w:rsidDel="00000000" w:rsidR="00000000" w:rsidRPr="00000000">
        <w:rPr>
          <w:rtl w:val="0"/>
        </w:rPr>
        <w:t xml:space="preserve"> – consider 1031 exchanges and further cost‑segregation opportunities; maintain real‑estate professional status.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Expand media &amp; education products</w:t>
      </w:r>
      <w:r w:rsidDel="00000000" w:rsidR="00000000" w:rsidRPr="00000000">
        <w:rPr>
          <w:rtl w:val="0"/>
        </w:rPr>
        <w:t xml:space="preserve"> – VR courses, podcasts, books, and paid communities to support brand authority and new revenue streams.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Philanthropy</w:t>
      </w:r>
      <w:r w:rsidDel="00000000" w:rsidR="00000000" w:rsidRPr="00000000">
        <w:rPr>
          <w:rtl w:val="0"/>
        </w:rPr>
        <w:t xml:space="preserve"> – fund the 501(c)(3) foundation and, where appropriate, use charitable trusts for highly appreciated assets.</w:t>
        <w:br w:type="textWrapping"/>
      </w:r>
    </w:p>
    <w:p w:rsidR="00000000" w:rsidDel="00000000" w:rsidP="00000000" w:rsidRDefault="00000000" w:rsidRPr="00000000" w14:paraId="00000037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Ongoing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Monthly:</w:t>
      </w:r>
      <w:r w:rsidDel="00000000" w:rsidR="00000000" w:rsidRPr="00000000">
        <w:rPr>
          <w:rtl w:val="0"/>
        </w:rPr>
        <w:t xml:space="preserve"> close books, update reserve, pay contractors, monitor automation logs.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Quarterly:</w:t>
      </w:r>
      <w:r w:rsidDel="00000000" w:rsidR="00000000" w:rsidRPr="00000000">
        <w:rPr>
          <w:rtl w:val="0"/>
        </w:rPr>
        <w:t xml:space="preserve"> review strategy and capital allocation; refresh KPI dashboards; adjust transfer‑pricing allocations.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Annually:</w:t>
      </w:r>
      <w:r w:rsidDel="00000000" w:rsidR="00000000" w:rsidRPr="00000000">
        <w:rPr>
          <w:rtl w:val="0"/>
        </w:rPr>
        <w:t xml:space="preserve"> file 1120S, 1041, 990, 5500‑EZ; renew registrations; revisit trust allocations; run board offsite; benchmark reasonable compensation.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&amp; risk:</w:t>
      </w:r>
      <w:r w:rsidDel="00000000" w:rsidR="00000000" w:rsidRPr="00000000">
        <w:rPr>
          <w:rtl w:val="0"/>
        </w:rPr>
        <w:t xml:space="preserve"> follow the built compliance tracker; maintain privacy/terms pages, data‑retention policy, and security protocols; monitor risk dashboard (e.g., automation failures, deliverability issues).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