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cost-sharing-agreement"/>
    <w:p>
      <w:pPr>
        <w:pStyle w:val="Heading1"/>
      </w:pPr>
      <w:r>
        <w:t xml:space="preserve">Cost Sharing Agreement</w:t>
      </w:r>
    </w:p>
    <w:p>
      <w:pPr>
        <w:pStyle w:val="FirstParagraph"/>
      </w:pPr>
      <w:r>
        <w:t xml:space="preserve">THIS COST SHARING AGREEMENT (the</w:t>
      </w:r>
      <w:r>
        <w:t xml:space="preserve"> </w:t>
      </w:r>
      <w:r>
        <w:t xml:space="preserve">‘</w:t>
      </w:r>
      <w:r>
        <w:t xml:space="preserve">Agreement</w:t>
      </w:r>
      <w:r>
        <w:t xml:space="preserve">’</w:t>
      </w:r>
      <w:r>
        <w:t xml:space="preserve">) is made and entered into as of [EFFECTIVE DATE] by and between [LICENSOR/LENDER/SERVICE PROVIDER], a [STATE] limited liability company (the</w:t>
      </w:r>
      <w:r>
        <w:t xml:space="preserve"> </w:t>
      </w:r>
      <w:r>
        <w:t xml:space="preserve">‘</w:t>
      </w:r>
      <w:r>
        <w:t xml:space="preserve">Provider</w:t>
      </w:r>
      <w:r>
        <w:t xml:space="preserve">’</w:t>
      </w:r>
      <w:r>
        <w:t xml:space="preserve">), and [LICENSEE/BORROWER/CLIENT], a [STATE] limited liability company (the</w:t>
      </w:r>
      <w:r>
        <w:t xml:space="preserve"> </w:t>
      </w:r>
      <w:r>
        <w:t xml:space="preserve">‘</w:t>
      </w:r>
      <w:r>
        <w:t xml:space="preserve">Client</w:t>
      </w:r>
      <w:r>
        <w:t xml:space="preserve">’</w:t>
      </w:r>
      <w:r>
        <w:t xml:space="preserve">). Each of the Provider and the Client may be referred to herein as a</w:t>
      </w:r>
      <w:r>
        <w:t xml:space="preserve"> </w:t>
      </w:r>
      <w:r>
        <w:t xml:space="preserve">‘</w:t>
      </w:r>
      <w:r>
        <w:t xml:space="preserve">Party</w:t>
      </w:r>
      <w:r>
        <w:t xml:space="preserve">’</w:t>
      </w:r>
      <w:r>
        <w:t xml:space="preserve"> </w:t>
      </w:r>
      <w:r>
        <w:t xml:space="preserve">and collectively as the</w:t>
      </w:r>
      <w:r>
        <w:t xml:space="preserve"> </w:t>
      </w:r>
      <w:r>
        <w:t xml:space="preserve">‘</w:t>
      </w:r>
      <w:r>
        <w:t xml:space="preserve">Parties</w:t>
      </w:r>
      <w:r>
        <w:t xml:space="preserve">’</w:t>
      </w:r>
      <w:r>
        <w:t xml:space="preserve">.</w:t>
      </w:r>
    </w:p>
    <w:p>
      <w:pPr>
        <w:pStyle w:val="BodyText"/>
      </w:pPr>
      <w:r>
        <w:t xml:space="preserve">WHEREAS, the Provider and the Client desire to enter into this Agreement to set forth the terms and conditions under which the Provider will provide certain services, licence certain intellectual property, lease certain equipment, extend certain credit or share certain costs, as applicable; and</w:t>
      </w:r>
    </w:p>
    <w:p>
      <w:pPr>
        <w:pStyle w:val="BodyText"/>
      </w:pPr>
      <w:r>
        <w:t xml:space="preserve">WHEREAS, the Parties desire to define their respective rights and obligations in connection therewith.</w:t>
      </w:r>
    </w:p>
    <w:p>
      <w:pPr>
        <w:pStyle w:val="BodyText"/>
      </w:pPr>
      <w:r>
        <w:t xml:space="preserve">NOW, THEREFORE, in consideration of the mutual covenants and agreements herein contained, the Parties agree as follows:</w:t>
      </w:r>
    </w:p>
    <w:bookmarkStart w:id="20" w:name="shared-costs"/>
    <w:p>
      <w:pPr>
        <w:pStyle w:val="Heading2"/>
      </w:pPr>
      <w:r>
        <w:t xml:space="preserve">1. Shared Costs</w:t>
      </w:r>
    </w:p>
    <w:p>
      <w:pPr>
        <w:pStyle w:val="FirstParagraph"/>
      </w:pPr>
      <w:r>
        <w:t xml:space="preserve">The Parties agree to share the costs of those expenses described on Exhibit A.</w:t>
      </w:r>
    </w:p>
    <w:bookmarkEnd w:id="20"/>
    <w:bookmarkStart w:id="21" w:name="allocation-method"/>
    <w:p>
      <w:pPr>
        <w:pStyle w:val="Heading2"/>
      </w:pPr>
      <w:r>
        <w:t xml:space="preserve">2. Allocation Method</w:t>
      </w:r>
    </w:p>
    <w:p>
      <w:pPr>
        <w:pStyle w:val="FirstParagraph"/>
      </w:pPr>
      <w:r>
        <w:t xml:space="preserve">Shared costs shall be allocated among the Parties based on the allocation percentages set forth on Exhibit B.</w:t>
      </w:r>
    </w:p>
    <w:bookmarkEnd w:id="21"/>
    <w:bookmarkStart w:id="22" w:name="billing"/>
    <w:p>
      <w:pPr>
        <w:pStyle w:val="Heading2"/>
      </w:pPr>
      <w:r>
        <w:t xml:space="preserve">3. Billing</w:t>
      </w:r>
    </w:p>
    <w:p>
      <w:pPr>
        <w:pStyle w:val="FirstParagraph"/>
      </w:pPr>
      <w:r>
        <w:t xml:space="preserve">The Provider shall issue invoices for its share of costs on a [monthly/quarterly] basis. Each Party shall pay its share within thirty (30) days.</w:t>
      </w:r>
    </w:p>
    <w:bookmarkEnd w:id="22"/>
    <w:bookmarkStart w:id="23" w:name="adjustments"/>
    <w:p>
      <w:pPr>
        <w:pStyle w:val="Heading2"/>
      </w:pPr>
      <w:r>
        <w:t xml:space="preserve">4. Adjustments</w:t>
      </w:r>
    </w:p>
    <w:p>
      <w:pPr>
        <w:pStyle w:val="FirstParagraph"/>
      </w:pPr>
      <w:r>
        <w:t xml:space="preserve">If actual usage differs from estimated usage, the Parties shall make a true‑up payment within thirty (30) days after the end of each fiscal year.</w:t>
      </w:r>
    </w:p>
    <w:bookmarkEnd w:id="23"/>
    <w:bookmarkStart w:id="24" w:name="audit"/>
    <w:p>
      <w:pPr>
        <w:pStyle w:val="Heading2"/>
      </w:pPr>
      <w:r>
        <w:t xml:space="preserve">5. Audit</w:t>
      </w:r>
    </w:p>
    <w:p>
      <w:pPr>
        <w:pStyle w:val="FirstParagraph"/>
      </w:pPr>
      <w:r>
        <w:t xml:space="preserve">Each Party shall have the right, upon reasonable notice, to audit the books and records of the other Party related to the shared costs.</w:t>
      </w:r>
    </w:p>
    <w:bookmarkEnd w:id="24"/>
    <w:bookmarkStart w:id="25" w:name="term-and-termination"/>
    <w:p>
      <w:pPr>
        <w:pStyle w:val="Heading2"/>
      </w:pPr>
      <w:r>
        <w:t xml:space="preserve">6. Term and Termination</w:t>
      </w:r>
    </w:p>
    <w:p>
      <w:pPr>
        <w:pStyle w:val="FirstParagraph"/>
      </w:pPr>
      <w:r>
        <w:t xml:space="preserve">This Agreement shall remain in effect until terminated by mutual written agreement or by either Party with sixty (60) days’ written notice.</w:t>
      </w:r>
    </w:p>
    <w:bookmarkEnd w:id="25"/>
    <w:bookmarkStart w:id="26" w:name="miscellaneous"/>
    <w:p>
      <w:pPr>
        <w:pStyle w:val="Heading2"/>
      </w:pPr>
      <w:r>
        <w:t xml:space="preserve">7. Miscellaneous</w:t>
      </w:r>
    </w:p>
    <w:p>
      <w:pPr>
        <w:pStyle w:val="FirstParagraph"/>
      </w:pPr>
      <w:r>
        <w:t xml:space="preserve">Governing law, notices, amendment and other standard provisions.</w:t>
      </w:r>
    </w:p>
    <w:bookmarkEnd w:id="26"/>
    <w:bookmarkEnd w:id="2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2025-09-07T13:23:36Z</dcterms:created>
  <dcterms:modified xsi:type="dcterms:W3CDTF">2025-09-07T13:23:36Z</dcterms:modified>
</cp:coreProperties>
</file>

<file path=docProps/custom.xml><?xml version="1.0" encoding="utf-8"?>
<Properties xmlns="http://schemas.openxmlformats.org/officeDocument/2006/custom-properties" xmlns:vt="http://schemas.openxmlformats.org/officeDocument/2006/docPropsVTypes"/>
</file>