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51bdf95d44663a9e462c5a0f63111b5f41d1c2"/>
    <w:p>
      <w:pPr>
        <w:pStyle w:val="Heading1"/>
      </w:pPr>
      <w:r>
        <w:t xml:space="preserve">North Star Implementation Manual (Expanded)</w:t>
      </w:r>
    </w:p>
    <w:p>
      <w:pPr>
        <w:pStyle w:val="FirstParagraph"/>
      </w:pPr>
      <w:r>
        <w:t xml:space="preserve">This manual is designed as a comprehensive, chronological blueprint for implementing your North Star strategy. It assumes no prior knowledge and walks you through every entity formation, operational workflow, acquisition, and optimization step you need to execute. The goal is to give you full confidence that you can take the blueprint from concept through action, without ambiguity or missing pieces.</w:t>
      </w:r>
    </w:p>
    <w:p>
      <w:pPr>
        <w:pStyle w:val="BodyText"/>
      </w:pPr>
      <w:r>
        <w:t xml:space="preserve">The North Star vision aligns a series of commercial and philanthropic vehicles so that dollars earned are captured and optimised: creative engines (ToriMedia), operational systemisation (Neat Circle), and the SuiteDash Business Operating System (BOS) are combined with asset‑protected entities, trust structures, and targeted acquisitions to build multi‑generational wealth. Market research shows that content marketing spend is rising rapidly – the global content marketing industry is forecast to grow from about $413 billion in 2022 to nearly $2 trillion by 2032【617403549055342†L3-L23】. At the same time, brands increasingly prefer a single provider that can deliver multiple services【617403549055342†L60-L71】. ToriMedia is positioned to capture this growth by offering an integrated service suite and a guarantee of 10× value for cost【617403549055342†L19-L25】. Likewise, the Neat Circle service portfolio covers customer support, marketing &amp; sales, business systems, growth systems and industry‑specific solutions, each with descriptions, target audiences and step‑by‑step implementation instructions in SuiteDash【460982762487221†L14-L27】.</w:t>
      </w:r>
    </w:p>
    <w:p>
      <w:pPr>
        <w:pStyle w:val="BodyText"/>
      </w:pPr>
      <w:r>
        <w:t xml:space="preserve">Estate‑tax planning adds urgency to this model: the current federal estate‑tax exemption (roughly $13.99 million per person in 2025) will drop substantially after 31 December 2025, creating a limited window to protect wealth【193108070870404†L0-L9】. Your structure uses irrevocable trusts and family limited partnerships to place appreciating assets outside your taxable estate. Real Estate Professional Status (REPS) and bonus depreciation provide opportunities to offset income through property investments【193108070870404†L90-L97】. This manual combines those tax strategies with the operational playbook for building and running your ecosystem.</w:t>
      </w:r>
    </w:p>
    <w:bookmarkStart w:id="21" w:name="phase-1-formation-foundation-day-090"/>
    <w:p>
      <w:pPr>
        <w:pStyle w:val="Heading2"/>
      </w:pPr>
      <w:r>
        <w:t xml:space="preserve">Phase 1 – Formation &amp; Foundation (Day 0–90)</w:t>
      </w:r>
    </w:p>
    <w:bookmarkStart w:id="20" w:name="establish-your-legal-entities-and-trusts"/>
    <w:p>
      <w:pPr>
        <w:pStyle w:val="Heading3"/>
      </w:pPr>
      <w:r>
        <w:t xml:space="preserve">1.1 Establish your legal entities and trusts</w:t>
      </w:r>
    </w:p>
    <w:p>
      <w:pPr>
        <w:pStyle w:val="FirstParagraph"/>
      </w:pPr>
      <w:r>
        <w:rPr>
          <w:bCs/>
          <w:b/>
        </w:rPr>
        <w:t xml:space="preserve">Day 0–15:</w:t>
      </w:r>
      <w:r>
        <w:t xml:space="preserve"> </w:t>
      </w:r>
      <w:r>
        <w:t xml:space="preserve">Engage your estate attorney to draft the Irrevocable Living Trust and Family Limited Partnership (FLP). Select a favorable trust jurisdiction (Nevada, South Dakota or Delaware) and ensure the document includes spendthrift clauses, directed trustee provisions, decanting powers and dynasty trust options. Have the attorney file articles of organization for the parent holding company (PNR Holdings LLC) in Wyoming or Delaware; create the management company (CXI LLC) and elect S‑Corporation tax status via IRS Form 2553; form the real estate holding company (Obuke LLC) and elect series treatment if you will hold multiple properties; form IP Company, Equipment Company and Investment LLC to separate intellectual property, tangible equipment and passive investment activities. Obtain Employer Identification Numbers (EINs) for each entity and open separate bank accounts to avoid commingling.</w:t>
      </w:r>
    </w:p>
    <w:p>
      <w:pPr>
        <w:pStyle w:val="BodyText"/>
      </w:pPr>
      <w:r>
        <w:rPr>
          <w:bCs/>
          <w:b/>
        </w:rPr>
        <w:t xml:space="preserve">Day 15–30:</w:t>
      </w:r>
      <w:r>
        <w:t xml:space="preserve"> </w:t>
      </w:r>
      <w:r>
        <w:t xml:space="preserve">Assign ownership interests: the FLP becomes the member of the holding company and management company, while the children’s trusts hold limited partnership interests in the FLP. Transfer domains, trademarks and code into the IP Company and sign formal Intellectual Property Licenses from the IP Company to each operating subsidiary. Transfer cameras, vehicles and diagnostic tools into the Equipment Company and sign Equipment Lease Agreements back to the management company and service subsidiaries.</w:t>
      </w:r>
    </w:p>
    <w:p>
      <w:pPr>
        <w:pStyle w:val="BodyText"/>
      </w:pPr>
      <w:r>
        <w:rPr>
          <w:bCs/>
          <w:b/>
        </w:rPr>
        <w:t xml:space="preserve">Day 30–45:</w:t>
      </w:r>
      <w:r>
        <w:t xml:space="preserve"> </w:t>
      </w:r>
      <w:r>
        <w:t xml:space="preserve">Draft and execute a Master Services Agreement between the management company and each subsidiary. This agreement should cover scope of services, payment terms, service levels and confidentiality; template language appears in Appendix A. Draft and execute Cost‑Sharing Agreements for cross‑entity allocations (finance, HR, IT and marketing) and Intercompany Loan Agreements for any working‑capital advances. Update your chart of accounts and accounting software to reflect each entity as a separate legal person.</w:t>
      </w:r>
    </w:p>
    <w:p>
      <w:pPr>
        <w:pStyle w:val="BodyText"/>
      </w:pPr>
      <w:r>
        <w:rPr>
          <w:bCs/>
          <w:b/>
        </w:rPr>
        <w:t xml:space="preserve">Day 45–60:</w:t>
      </w:r>
      <w:r>
        <w:t xml:space="preserve"> </w:t>
      </w:r>
      <w:r>
        <w:t xml:space="preserve">Fund your Solo 401(k) plan and create a plan‑owned Wyoming LLC for</w:t>
      </w:r>
      <w:r>
        <w:t xml:space="preserve"> </w:t>
      </w:r>
      <w:r>
        <w:t xml:space="preserve">“</w:t>
      </w:r>
      <w:r>
        <w:t xml:space="preserve">checkbook</w:t>
      </w:r>
      <w:r>
        <w:t xml:space="preserve">”</w:t>
      </w:r>
      <w:r>
        <w:t xml:space="preserve"> </w:t>
      </w:r>
      <w:r>
        <w:t xml:space="preserve">control. Roll over any existing retirement balances and configure employer contributions from the management company. Purchase a permanent life insurance policy through an Irrevocable Life Insurance Trust (ILIT) and make premium payments via gifts from your irrevocable trust. File IRS Form 1023 to establish your 501(c)(3) foundation (Origin Eyes) and adopt bylaws with a conflict‑of‑interest policy. Seed the foundation with an initial donation and appoint an independent board of directors.</w:t>
      </w:r>
    </w:p>
    <w:p>
      <w:pPr>
        <w:pStyle w:val="BodyText"/>
      </w:pPr>
      <w:r>
        <w:rPr>
          <w:bCs/>
          <w:b/>
        </w:rPr>
        <w:t xml:space="preserve">Day 60–90:</w:t>
      </w:r>
      <w:r>
        <w:t xml:space="preserve"> </w:t>
      </w:r>
      <w:r>
        <w:t xml:space="preserve">Conduct an entity governance review: hold organisational meetings for each LLC, adopt operating agreements, document initial capital contributions and elect managers. Adopt a board resolution approving intercompany agreements and transfer pricing policies. Perform a readiness audit to ensure that each entity has its own insurance (general liability, professional liability, cyber, property and umbrella). Establish a compliance calendar (Appendix I) tracking annual reports, franchise taxes, payroll filings, trust accountings, Form 5500 filings for the Solo 401(k) and Form 990 filings for the foundation.</w:t>
      </w:r>
    </w:p>
    <w:bookmarkEnd w:id="20"/>
    <w:bookmarkEnd w:id="21"/>
    <w:bookmarkStart w:id="23" w:name="X437ebcc4d684c2cd33bf5f906ee6c69b872ee06"/>
    <w:p>
      <w:pPr>
        <w:pStyle w:val="Heading2"/>
      </w:pPr>
      <w:r>
        <w:t xml:space="preserve">Phase 2 – Optimisation &amp; Integration (Day 91–180)</w:t>
      </w:r>
    </w:p>
    <w:bookmarkStart w:id="22" w:name="X5b34f604ce65ca99dcb828d716e977fad78b0d0"/>
    <w:p>
      <w:pPr>
        <w:pStyle w:val="Heading3"/>
      </w:pPr>
      <w:r>
        <w:t xml:space="preserve">2.1 Onboard initial operating companies into SuiteDash BOS</w:t>
      </w:r>
    </w:p>
    <w:p>
      <w:pPr>
        <w:pStyle w:val="FirstParagraph"/>
      </w:pPr>
      <w:r>
        <w:rPr>
          <w:bCs/>
          <w:b/>
        </w:rPr>
        <w:t xml:space="preserve">Day 91–110:</w:t>
      </w:r>
      <w:r>
        <w:t xml:space="preserve"> </w:t>
      </w:r>
      <w:r>
        <w:t xml:space="preserve">For each acquired service business or internally launched brand, perform due diligence on its data and systems. Prepare a migration plan that maps existing customer records, invoices, projects and documents into SuiteDash’s CRM, Projects, Tickets, Billing and Files modules. Create a master data dictionary using the columns defined in the SuiteDash BOS Data Dictionary (Appendix F). Each column in that table has a specific meaning, implication and implementation note – for example, the</w:t>
      </w:r>
      <w:r>
        <w:t xml:space="preserve"> </w:t>
      </w:r>
      <w:r>
        <w:t xml:space="preserve">“</w:t>
      </w:r>
      <w:r>
        <w:t xml:space="preserve">Seq # (Chrono)</w:t>
      </w:r>
      <w:r>
        <w:t xml:space="preserve">”</w:t>
      </w:r>
      <w:r>
        <w:t xml:space="preserve"> </w:t>
      </w:r>
      <w:r>
        <w:t xml:space="preserve">column controls task order and dependencies; the</w:t>
      </w:r>
      <w:r>
        <w:t xml:space="preserve"> </w:t>
      </w:r>
      <w:r>
        <w:t xml:space="preserve">“</w:t>
      </w:r>
      <w:r>
        <w:t xml:space="preserve">SLA Target</w:t>
      </w:r>
      <w:r>
        <w:t xml:space="preserve">”</w:t>
      </w:r>
      <w:r>
        <w:t xml:space="preserve"> </w:t>
      </w:r>
      <w:r>
        <w:t xml:space="preserve">column defines response and resolution times;</w:t>
      </w:r>
      <w:r>
        <w:t xml:space="preserve"> </w:t>
      </w:r>
      <w:r>
        <w:t xml:space="preserve">“</w:t>
      </w:r>
      <w:r>
        <w:t xml:space="preserve">Responsible (R)</w:t>
      </w:r>
      <w:r>
        <w:t xml:space="preserve">”</w:t>
      </w:r>
      <w:r>
        <w:t xml:space="preserve"> </w:t>
      </w:r>
      <w:r>
        <w:t xml:space="preserve">defines the role doing the work; and</w:t>
      </w:r>
      <w:r>
        <w:t xml:space="preserve"> </w:t>
      </w:r>
      <w:r>
        <w:t xml:space="preserve">“</w:t>
      </w:r>
      <w:r>
        <w:t xml:space="preserve">SuiteDash Module/Feature</w:t>
      </w:r>
      <w:r>
        <w:t xml:space="preserve">”</w:t>
      </w:r>
      <w:r>
        <w:t xml:space="preserve"> </w:t>
      </w:r>
      <w:r>
        <w:t xml:space="preserve">tells you where to implement the step【323783966825378†L61-L121】.</w:t>
      </w:r>
    </w:p>
    <w:p>
      <w:pPr>
        <w:pStyle w:val="BodyText"/>
      </w:pPr>
      <w:r>
        <w:t xml:space="preserve">Create a new client portal on SuiteDash for each business, assign roles, configure custom fields and import contacts. Use the RACI fields to assign responsibility (R), accountability (A), consulted (C) and informed (I) roles for each task. Configure automation triggers so that actions (e.g. invoice paid, form submitted) kick off automated workflows. Set up project templates for each major process – Lead to Client, Onboarding, Delivery, Support Escalation, Offboarding, Governance &amp; QA – ensuring that the sequence numbers follow the chronological order defined in the data dictionary.</w:t>
      </w:r>
    </w:p>
    <w:p>
      <w:pPr>
        <w:pStyle w:val="BodyText"/>
      </w:pPr>
      <w:r>
        <w:rPr>
          <w:bCs/>
          <w:b/>
        </w:rPr>
        <w:t xml:space="preserve">Day 111–130:</w:t>
      </w:r>
      <w:r>
        <w:t xml:space="preserve"> </w:t>
      </w:r>
      <w:r>
        <w:t xml:space="preserve">Activate Neat Circle service packages. The Neat Circle scope document lists services across customer support (client portal automation, AI customer support, appointment scheduling), marketing &amp; sales (CRM and sales automation, email marketing, lead generation), business systems (process automation, training platform, financial dashboard, system integration), growth systems (growth pipeline, BOS, quick‑start solutions) and industry solutions (construction management, manufacturing optimisation, franchise management)【460982762487221†L14-L27】. For each acquired business, choose which service packages apply and integrate them into SuiteDash using the implementation notes provided in the Neat Circle guide. Document which fields feed which automations and ensure you capture all required data (Appendix F).</w:t>
      </w:r>
    </w:p>
    <w:p>
      <w:pPr>
        <w:pStyle w:val="BodyText"/>
      </w:pPr>
      <w:r>
        <w:rPr>
          <w:bCs/>
          <w:b/>
        </w:rPr>
        <w:t xml:space="preserve">Day 131–150:</w:t>
      </w:r>
      <w:r>
        <w:t xml:space="preserve"> </w:t>
      </w:r>
      <w:r>
        <w:t xml:space="preserve">Launch ToriMedia campaigns. Use the service portfolio described in the ToriMedia plan to develop brand assets, content calendars and funnels for each operating company. ToriMedia’s portfolio includes content creation (thumbnail design, video editing, copywriting, scriptwriting, illustration), social media &amp; community management (hashtag research, scheduling, community engagement, direct messaging), influencer &amp; user engagement (influencer management, UGC curation, gamification) and paid media (paid funnels, email sequences, conversion optimisation)【617403549055342†L122-L139】. Ensure that each campaign is linked to measurable metrics in SuiteDash (e.g. leads generated, conversion rates) and that results feed back into your marketing dashboards.</w:t>
      </w:r>
    </w:p>
    <w:p>
      <w:pPr>
        <w:pStyle w:val="BodyText"/>
      </w:pPr>
      <w:r>
        <w:rPr>
          <w:bCs/>
          <w:b/>
        </w:rPr>
        <w:t xml:space="preserve">Day 151–180:</w:t>
      </w:r>
      <w:r>
        <w:t xml:space="preserve"> </w:t>
      </w:r>
      <w:r>
        <w:t xml:space="preserve">Harmonise operations and pricing across acquisitions. Conduct a services inventory to compare offerings, pricing structures, margins and contract terms. Use the management company to standardise pricing and packages; update MSAs with new rates and service levels. Finalise leasebacks between PropCos and OpCos so that each property is leased at market rates and qualifies for depreciation. Conduct staff training on SuiteDash using the click‑path guides in Appendix G. Review and adjust financial projections based on early results.</w:t>
      </w:r>
    </w:p>
    <w:bookmarkEnd w:id="22"/>
    <w:bookmarkEnd w:id="23"/>
    <w:bookmarkStart w:id="27" w:name="phase-3-scale-governance-day-181"/>
    <w:p>
      <w:pPr>
        <w:pStyle w:val="Heading2"/>
      </w:pPr>
      <w:r>
        <w:t xml:space="preserve">Phase 3 – Scale &amp; Governance (Day 181+)</w:t>
      </w:r>
    </w:p>
    <w:bookmarkStart w:id="24" w:name="X91535312f3226396e448d987fad005cbfe0c39c"/>
    <w:p>
      <w:pPr>
        <w:pStyle w:val="Heading3"/>
      </w:pPr>
      <w:r>
        <w:t xml:space="preserve">3.1 Scale acquisition engine and vertical solutions</w:t>
      </w:r>
    </w:p>
    <w:p>
      <w:pPr>
        <w:pStyle w:val="FirstParagraph"/>
      </w:pPr>
      <w:r>
        <w:t xml:space="preserve">Pursue additional acquisitions of resilient</w:t>
      </w:r>
      <w:r>
        <w:t xml:space="preserve"> </w:t>
      </w:r>
      <w:r>
        <w:t xml:space="preserve">“</w:t>
      </w:r>
      <w:r>
        <w:t xml:space="preserve">boring businesses</w:t>
      </w:r>
      <w:r>
        <w:t xml:space="preserve">”</w:t>
      </w:r>
      <w:r>
        <w:t xml:space="preserve"> </w:t>
      </w:r>
      <w:r>
        <w:t xml:space="preserve">(HVAC, laundromats, car washes) using the OpCo/PropCo model. Aim to acquire two businesses per quarter, financed through SBA 7(a)/504 loans, seller financing and retained earnings. Immediately onboard each business into the BOS; deploy Neat Circle packages; and apply ToriMedia branding. As you accumulate a portfolio, launch vertical SaaS solutions based on common processes (e.g. a property maintenance CRM, a compliance tracker for healthcare). Spin out micro‑SaaS products from automation scripts used internally.</w:t>
      </w:r>
    </w:p>
    <w:bookmarkEnd w:id="24"/>
    <w:bookmarkStart w:id="25" w:name="Xccbe7250eec420d9a3cfc74d58f0dcc2ef73053"/>
    <w:p>
      <w:pPr>
        <w:pStyle w:val="Heading3"/>
      </w:pPr>
      <w:r>
        <w:t xml:space="preserve">3.2 Deepen philanthropic impact and estate planning</w:t>
      </w:r>
    </w:p>
    <w:p>
      <w:pPr>
        <w:pStyle w:val="FirstParagraph"/>
      </w:pPr>
      <w:r>
        <w:t xml:space="preserve">Increase annual contributions to your 501(c)(3) foundation and consider establishing charitable remainder trusts (CRTs) when selling appreciated assets. CRTs allow you to avoid immediate capital gains, receive a charitable deduction and pay yourself an income stream over time. Expand scholarship programs and community initiatives through the foundation. Regularly re‑fund the ILIT to ensure life insurance death benefits remain outside your estate. Review your trust structure every three years to incorporate changes in tax law and family circumstances.</w:t>
      </w:r>
    </w:p>
    <w:bookmarkEnd w:id="25"/>
    <w:bookmarkStart w:id="26" w:name="Xe78ff39c5a84cfe71cb6748a1c55ae7dd14c9ed"/>
    <w:p>
      <w:pPr>
        <w:pStyle w:val="Heading3"/>
      </w:pPr>
      <w:r>
        <w:t xml:space="preserve">3.3 Governance cadence and continuous improvement</w:t>
      </w:r>
    </w:p>
    <w:p>
      <w:pPr>
        <w:pStyle w:val="FirstParagraph"/>
      </w:pPr>
      <w:r>
        <w:t xml:space="preserve">Hold quarterly board meetings for the holding company and management company. Review financial statements, KPIs, risk registers and tax compliance. Conduct annual entity maintenance: file franchise taxes, update registered agents and renew business licenses. Perform annual compensation studies to justify management company salaries relative to industry benchmarks. Update the RACI matrices and data dictionaries whenever processes change. Use the monthly compliance calendar in Appendix I to track filings, payroll deposits, insurance renewals and audit deliverables.</w:t>
      </w:r>
    </w:p>
    <w:bookmarkEnd w:id="26"/>
    <w:bookmarkEnd w:id="27"/>
    <w:bookmarkStart w:id="42" w:name="appendices"/>
    <w:p>
      <w:pPr>
        <w:pStyle w:val="Heading2"/>
      </w:pPr>
      <w:r>
        <w:t xml:space="preserve">Appendices</w:t>
      </w:r>
    </w:p>
    <w:bookmarkStart w:id="28" w:name="Xf1182d931e61a65703ba866810cc506bc91e3f3"/>
    <w:p>
      <w:pPr>
        <w:pStyle w:val="Heading3"/>
      </w:pPr>
      <w:r>
        <w:t xml:space="preserve">Appendix A – Master Services Agreement Template (Plain Language)</w:t>
      </w:r>
    </w:p>
    <w:p>
      <w:pPr>
        <w:pStyle w:val="FirstParagraph"/>
      </w:pPr>
      <w:r>
        <w:t xml:space="preserve">The Master Services Agreement (MSA) establishes the terms under which your management company will provide services (finance, HR, marketing, IT, automation) to each operating subsidiary. It should include the following elements:</w:t>
      </w:r>
    </w:p>
    <w:p>
      <w:pPr>
        <w:numPr>
          <w:ilvl w:val="0"/>
          <w:numId w:val="1001"/>
        </w:numPr>
        <w:pStyle w:val="Compact"/>
      </w:pPr>
      <w:r>
        <w:rPr>
          <w:bCs/>
          <w:b/>
        </w:rPr>
        <w:t xml:space="preserve">Parties.</w:t>
      </w:r>
      <w:r>
        <w:t xml:space="preserve"> </w:t>
      </w:r>
      <w:r>
        <w:t xml:space="preserve">Identify the service provider (e.g. CXI LLC) and the client (e.g. Pest Factor LLC). State that the provider is an independent contractor.</w:t>
      </w:r>
    </w:p>
    <w:p>
      <w:pPr>
        <w:numPr>
          <w:ilvl w:val="0"/>
          <w:numId w:val="1001"/>
        </w:numPr>
        <w:pStyle w:val="Compact"/>
      </w:pPr>
      <w:r>
        <w:rPr>
          <w:bCs/>
          <w:b/>
        </w:rPr>
        <w:t xml:space="preserve">Scope of Services.</w:t>
      </w:r>
      <w:r>
        <w:t xml:space="preserve"> </w:t>
      </w:r>
      <w:r>
        <w:t xml:space="preserve">Describe the specific services offered (bookkeeping, payroll processing, marketing campaigns, technology support). Incorporate detailed Statements of Work (SOW) by reference for each project.</w:t>
      </w:r>
    </w:p>
    <w:p>
      <w:pPr>
        <w:numPr>
          <w:ilvl w:val="0"/>
          <w:numId w:val="1001"/>
        </w:numPr>
        <w:pStyle w:val="Compact"/>
      </w:pPr>
      <w:r>
        <w:rPr>
          <w:bCs/>
          <w:b/>
        </w:rPr>
        <w:t xml:space="preserve">Fees and Payment.</w:t>
      </w:r>
      <w:r>
        <w:t xml:space="preserve"> </w:t>
      </w:r>
      <w:r>
        <w:t xml:space="preserve">Outline how fees are calculated (fixed monthly fee, cost‑plus, percentage of revenue) and when invoices are due. Specify late‑payment penalties and interest.</w:t>
      </w:r>
    </w:p>
    <w:p>
      <w:pPr>
        <w:numPr>
          <w:ilvl w:val="0"/>
          <w:numId w:val="1001"/>
        </w:numPr>
        <w:pStyle w:val="Compact"/>
      </w:pPr>
      <w:r>
        <w:rPr>
          <w:bCs/>
          <w:b/>
        </w:rPr>
        <w:t xml:space="preserve">Term and Termination.</w:t>
      </w:r>
      <w:r>
        <w:t xml:space="preserve"> </w:t>
      </w:r>
      <w:r>
        <w:t xml:space="preserve">Define the initial term (e.g. one year) with automatic renewals. Allow either party to terminate for cause or convenience with notice. Describe the effect of termination (payment of earned fees, transition assistance).</w:t>
      </w:r>
    </w:p>
    <w:p>
      <w:pPr>
        <w:numPr>
          <w:ilvl w:val="0"/>
          <w:numId w:val="1001"/>
        </w:numPr>
        <w:pStyle w:val="Compact"/>
      </w:pPr>
      <w:r>
        <w:rPr>
          <w:bCs/>
          <w:b/>
        </w:rPr>
        <w:t xml:space="preserve">Intellectual Property.</w:t>
      </w:r>
      <w:r>
        <w:t xml:space="preserve"> </w:t>
      </w:r>
      <w:r>
        <w:t xml:space="preserve">State that the client retains ownership of its data and deliverables but grants the provider a license to use materials solely for performing services.</w:t>
      </w:r>
    </w:p>
    <w:p>
      <w:pPr>
        <w:numPr>
          <w:ilvl w:val="0"/>
          <w:numId w:val="1001"/>
        </w:numPr>
        <w:pStyle w:val="Compact"/>
      </w:pPr>
      <w:r>
        <w:rPr>
          <w:bCs/>
          <w:b/>
        </w:rPr>
        <w:t xml:space="preserve">Confidentiality and Data Protection.</w:t>
      </w:r>
      <w:r>
        <w:t xml:space="preserve"> </w:t>
      </w:r>
      <w:r>
        <w:t xml:space="preserve">Require each party to keep confidential information secret and comply with data‑privacy laws.</w:t>
      </w:r>
    </w:p>
    <w:p>
      <w:pPr>
        <w:numPr>
          <w:ilvl w:val="0"/>
          <w:numId w:val="1001"/>
        </w:numPr>
        <w:pStyle w:val="Compact"/>
      </w:pPr>
      <w:r>
        <w:rPr>
          <w:bCs/>
          <w:b/>
        </w:rPr>
        <w:t xml:space="preserve">Warranties and Disclaimers.</w:t>
      </w:r>
      <w:r>
        <w:t xml:space="preserve"> </w:t>
      </w:r>
      <w:r>
        <w:t xml:space="preserve">Provide that services will be performed in a professional manner but exclude implied warranties.</w:t>
      </w:r>
    </w:p>
    <w:p>
      <w:pPr>
        <w:numPr>
          <w:ilvl w:val="0"/>
          <w:numId w:val="1001"/>
        </w:numPr>
        <w:pStyle w:val="Compact"/>
      </w:pPr>
      <w:r>
        <w:rPr>
          <w:bCs/>
          <w:b/>
        </w:rPr>
        <w:t xml:space="preserve">Indemnification and Liability Limitations.</w:t>
      </w:r>
      <w:r>
        <w:t xml:space="preserve"> </w:t>
      </w:r>
      <w:r>
        <w:t xml:space="preserve">Obligate each party to indemnify the other for third‑party claims arising from its own negligence or misconduct. Cap liability (e.g. amount paid under the agreement) and exclude consequential damages.</w:t>
      </w:r>
    </w:p>
    <w:p>
      <w:pPr>
        <w:numPr>
          <w:ilvl w:val="0"/>
          <w:numId w:val="1001"/>
        </w:numPr>
        <w:pStyle w:val="Compact"/>
      </w:pPr>
      <w:r>
        <w:rPr>
          <w:bCs/>
          <w:b/>
        </w:rPr>
        <w:t xml:space="preserve">Governing Law and Dispute Resolution.</w:t>
      </w:r>
      <w:r>
        <w:t xml:space="preserve"> </w:t>
      </w:r>
      <w:r>
        <w:t xml:space="preserve">Select governing law (e.g. Wyoming). Provide for negotiation, then mediation/arbitration.</w:t>
      </w:r>
    </w:p>
    <w:p>
      <w:pPr>
        <w:numPr>
          <w:ilvl w:val="0"/>
          <w:numId w:val="1001"/>
        </w:numPr>
        <w:pStyle w:val="Compact"/>
      </w:pPr>
      <w:r>
        <w:rPr>
          <w:bCs/>
          <w:b/>
        </w:rPr>
        <w:t xml:space="preserve">Entire Agreement and Amendments.</w:t>
      </w:r>
      <w:r>
        <w:t xml:space="preserve"> </w:t>
      </w:r>
      <w:r>
        <w:t xml:space="preserve">State that the MSA and SOWs constitute the entire agreement and can be amended only in writing.</w:t>
      </w:r>
    </w:p>
    <w:p>
      <w:pPr>
        <w:pStyle w:val="FirstParagraph"/>
      </w:pPr>
      <w:r>
        <w:t xml:space="preserve">The formal legal version and an editable Word template can be found in the separate agreement documents accompanying this manual.</w:t>
      </w:r>
    </w:p>
    <w:bookmarkEnd w:id="28"/>
    <w:bookmarkStart w:id="29" w:name="X8ba5ff85bbe4841d67c62296b2844525caf77c6"/>
    <w:p>
      <w:pPr>
        <w:pStyle w:val="Heading3"/>
      </w:pPr>
      <w:r>
        <w:t xml:space="preserve">Appendix B – Intellectual Property License Template (Plain Language)</w:t>
      </w:r>
    </w:p>
    <w:p>
      <w:pPr>
        <w:pStyle w:val="FirstParagraph"/>
      </w:pPr>
      <w:r>
        <w:t xml:space="preserve">The IP license grants subsidiaries the right to use trademarks, domains, code, prompts and datasets owned by the IP Company. Key provisions include: (1)</w:t>
      </w:r>
      <w:r>
        <w:t xml:space="preserve"> </w:t>
      </w:r>
      <w:r>
        <w:rPr>
          <w:bCs/>
          <w:b/>
        </w:rPr>
        <w:t xml:space="preserve">Grant of License:</w:t>
      </w:r>
      <w:r>
        <w:t xml:space="preserve"> </w:t>
      </w:r>
      <w:r>
        <w:t xml:space="preserve">a non‑exclusive, worldwide licence to use specified intellectual property solely in connection with the client’s business; (2)</w:t>
      </w:r>
      <w:r>
        <w:t xml:space="preserve"> </w:t>
      </w:r>
      <w:r>
        <w:rPr>
          <w:bCs/>
          <w:b/>
        </w:rPr>
        <w:t xml:space="preserve">Royalty Payments:</w:t>
      </w:r>
      <w:r>
        <w:t xml:space="preserve"> </w:t>
      </w:r>
      <w:r>
        <w:t xml:space="preserve">royalties may be calculated as a percentage of revenue or a flat fee; (3)</w:t>
      </w:r>
      <w:r>
        <w:t xml:space="preserve"> </w:t>
      </w:r>
      <w:r>
        <w:rPr>
          <w:bCs/>
          <w:b/>
        </w:rPr>
        <w:t xml:space="preserve">Ownership:</w:t>
      </w:r>
      <w:r>
        <w:t xml:space="preserve"> </w:t>
      </w:r>
      <w:r>
        <w:t xml:space="preserve">the IP Company retains all right, title and interest in the IP; (4)</w:t>
      </w:r>
      <w:r>
        <w:t xml:space="preserve"> </w:t>
      </w:r>
      <w:r>
        <w:rPr>
          <w:bCs/>
          <w:b/>
        </w:rPr>
        <w:t xml:space="preserve">Restrictions:</w:t>
      </w:r>
      <w:r>
        <w:t xml:space="preserve"> </w:t>
      </w:r>
      <w:r>
        <w:t xml:space="preserve">prohibitions on sublicensing, reverse engineering and misusing the IP; (5)</w:t>
      </w:r>
      <w:r>
        <w:t xml:space="preserve"> </w:t>
      </w:r>
      <w:r>
        <w:rPr>
          <w:bCs/>
          <w:b/>
        </w:rPr>
        <w:t xml:space="preserve">Term and Termination:</w:t>
      </w:r>
      <w:r>
        <w:t xml:space="preserve"> </w:t>
      </w:r>
      <w:r>
        <w:t xml:space="preserve">rights terminate upon breach or expiration; (6)</w:t>
      </w:r>
      <w:r>
        <w:t xml:space="preserve"> </w:t>
      </w:r>
      <w:r>
        <w:rPr>
          <w:bCs/>
          <w:b/>
        </w:rPr>
        <w:t xml:space="preserve">Quality Control:</w:t>
      </w:r>
      <w:r>
        <w:t xml:space="preserve"> </w:t>
      </w:r>
      <w:r>
        <w:t xml:space="preserve">the licensee must maintain quality standards and allow the licensor to inspect usage; (7)</w:t>
      </w:r>
      <w:r>
        <w:t xml:space="preserve"> </w:t>
      </w:r>
      <w:r>
        <w:rPr>
          <w:bCs/>
          <w:b/>
        </w:rPr>
        <w:t xml:space="preserve">Governing Law.</w:t>
      </w:r>
      <w:r>
        <w:t xml:space="preserve"> </w:t>
      </w:r>
      <w:r>
        <w:t xml:space="preserve">A formal template is provided separately.</w:t>
      </w:r>
    </w:p>
    <w:bookmarkEnd w:id="29"/>
    <w:bookmarkStart w:id="30" w:name="Xac45a3bc3bcded183438613932450146c865bf3"/>
    <w:p>
      <w:pPr>
        <w:pStyle w:val="Heading3"/>
      </w:pPr>
      <w:r>
        <w:t xml:space="preserve">Appendix C – Equipment Lease Template (Plain Language)</w:t>
      </w:r>
    </w:p>
    <w:p>
      <w:pPr>
        <w:pStyle w:val="FirstParagraph"/>
      </w:pPr>
      <w:r>
        <w:t xml:space="preserve">The equipment lease covers tangible assets (cameras, vehicles, diagnostic tools). Key clauses: (1)</w:t>
      </w:r>
      <w:r>
        <w:t xml:space="preserve"> </w:t>
      </w:r>
      <w:r>
        <w:rPr>
          <w:bCs/>
          <w:b/>
        </w:rPr>
        <w:t xml:space="preserve">Lease and Term:</w:t>
      </w:r>
      <w:r>
        <w:t xml:space="preserve"> </w:t>
      </w:r>
      <w:r>
        <w:t xml:space="preserve">the lessor leases the equipment to the lessee for a specified term (e.g. three years); (2)</w:t>
      </w:r>
      <w:r>
        <w:t xml:space="preserve"> </w:t>
      </w:r>
      <w:r>
        <w:rPr>
          <w:bCs/>
          <w:b/>
        </w:rPr>
        <w:t xml:space="preserve">Rent:</w:t>
      </w:r>
      <w:r>
        <w:t xml:space="preserve"> </w:t>
      </w:r>
      <w:r>
        <w:t xml:space="preserve">the lessee pays monthly rent plus applicable taxes; (3)</w:t>
      </w:r>
      <w:r>
        <w:t xml:space="preserve"> </w:t>
      </w:r>
      <w:r>
        <w:rPr>
          <w:bCs/>
          <w:b/>
        </w:rPr>
        <w:t xml:space="preserve">Use and Maintenance:</w:t>
      </w:r>
      <w:r>
        <w:t xml:space="preserve"> </w:t>
      </w:r>
      <w:r>
        <w:t xml:space="preserve">the lessee must operate equipment in accordance with manufacturer instructions and keep it in good repair; (4)</w:t>
      </w:r>
      <w:r>
        <w:t xml:space="preserve"> </w:t>
      </w:r>
      <w:r>
        <w:rPr>
          <w:bCs/>
          <w:b/>
        </w:rPr>
        <w:t xml:space="preserve">Insurance:</w:t>
      </w:r>
      <w:r>
        <w:t xml:space="preserve"> </w:t>
      </w:r>
      <w:r>
        <w:t xml:space="preserve">the lessee is required to maintain insurance covering loss or damage; (5)</w:t>
      </w:r>
      <w:r>
        <w:t xml:space="preserve"> </w:t>
      </w:r>
      <w:r>
        <w:rPr>
          <w:bCs/>
          <w:b/>
        </w:rPr>
        <w:t xml:space="preserve">Indemnity:</w:t>
      </w:r>
      <w:r>
        <w:t xml:space="preserve"> </w:t>
      </w:r>
      <w:r>
        <w:t xml:space="preserve">the lessee indemnifies the lessor for injuries arising from equipment use; (6)</w:t>
      </w:r>
      <w:r>
        <w:t xml:space="preserve"> </w:t>
      </w:r>
      <w:r>
        <w:rPr>
          <w:bCs/>
          <w:b/>
        </w:rPr>
        <w:t xml:space="preserve">Return Condition:</w:t>
      </w:r>
      <w:r>
        <w:t xml:space="preserve"> </w:t>
      </w:r>
      <w:r>
        <w:t xml:space="preserve">the lessee must return equipment in good condition (reasonable wear excepted); (7)</w:t>
      </w:r>
      <w:r>
        <w:t xml:space="preserve"> </w:t>
      </w:r>
      <w:r>
        <w:rPr>
          <w:bCs/>
          <w:b/>
        </w:rPr>
        <w:t xml:space="preserve">Default and Remedies:</w:t>
      </w:r>
      <w:r>
        <w:t xml:space="preserve"> </w:t>
      </w:r>
      <w:r>
        <w:t xml:space="preserve">events of default trigger remedies including repossession and acceleration of rent.</w:t>
      </w:r>
    </w:p>
    <w:bookmarkEnd w:id="30"/>
    <w:bookmarkStart w:id="31" w:name="Xd1921b17a56bfe84ebdb042cd166da221f71a0e"/>
    <w:p>
      <w:pPr>
        <w:pStyle w:val="Heading3"/>
      </w:pPr>
      <w:r>
        <w:t xml:space="preserve">Appendix D – Intercompany Loan Agreement Template (Plain Language)</w:t>
      </w:r>
    </w:p>
    <w:p>
      <w:pPr>
        <w:pStyle w:val="FirstParagraph"/>
      </w:pPr>
      <w:r>
        <w:t xml:space="preserve">Use intercompany loans to fund working capital between entities. Key points: (1)</w:t>
      </w:r>
      <w:r>
        <w:t xml:space="preserve"> </w:t>
      </w:r>
      <w:r>
        <w:rPr>
          <w:bCs/>
          <w:b/>
        </w:rPr>
        <w:t xml:space="preserve">Loan Amount and Advances:</w:t>
      </w:r>
      <w:r>
        <w:t xml:space="preserve"> </w:t>
      </w:r>
      <w:r>
        <w:t xml:space="preserve">specify maximum principal and allow draws up to that limit; (2)</w:t>
      </w:r>
      <w:r>
        <w:t xml:space="preserve"> </w:t>
      </w:r>
      <w:r>
        <w:rPr>
          <w:bCs/>
          <w:b/>
        </w:rPr>
        <w:t xml:space="preserve">Interest Rate:</w:t>
      </w:r>
      <w:r>
        <w:t xml:space="preserve"> </w:t>
      </w:r>
      <w:r>
        <w:t xml:space="preserve">use at least the Applicable Federal Rate (AFR) to avoid imputed‑interest rules; (3)</w:t>
      </w:r>
      <w:r>
        <w:t xml:space="preserve"> </w:t>
      </w:r>
      <w:r>
        <w:rPr>
          <w:bCs/>
          <w:b/>
        </w:rPr>
        <w:t xml:space="preserve">Repayment:</w:t>
      </w:r>
      <w:r>
        <w:t xml:space="preserve"> </w:t>
      </w:r>
      <w:r>
        <w:t xml:space="preserve">describe interest‑only or amortising payments and maturity date; (4)</w:t>
      </w:r>
      <w:r>
        <w:t xml:space="preserve"> </w:t>
      </w:r>
      <w:r>
        <w:rPr>
          <w:bCs/>
          <w:b/>
        </w:rPr>
        <w:t xml:space="preserve">Security:</w:t>
      </w:r>
      <w:r>
        <w:t xml:space="preserve"> </w:t>
      </w:r>
      <w:r>
        <w:t xml:space="preserve">indicate whether the loan is unsecured or secured by collateral; (5)</w:t>
      </w:r>
      <w:r>
        <w:t xml:space="preserve"> </w:t>
      </w:r>
      <w:r>
        <w:rPr>
          <w:bCs/>
          <w:b/>
        </w:rPr>
        <w:t xml:space="preserve">Covenants:</w:t>
      </w:r>
      <w:r>
        <w:t xml:space="preserve"> </w:t>
      </w:r>
      <w:r>
        <w:t xml:space="preserve">borrower must maintain books, not pledge assets, etc.; (6)</w:t>
      </w:r>
      <w:r>
        <w:t xml:space="preserve"> </w:t>
      </w:r>
      <w:r>
        <w:rPr>
          <w:bCs/>
          <w:b/>
        </w:rPr>
        <w:t xml:space="preserve">Default:</w:t>
      </w:r>
      <w:r>
        <w:t xml:space="preserve"> </w:t>
      </w:r>
      <w:r>
        <w:t xml:space="preserve">define default events and remedies; (7)</w:t>
      </w:r>
      <w:r>
        <w:t xml:space="preserve"> </w:t>
      </w:r>
      <w:r>
        <w:rPr>
          <w:bCs/>
          <w:b/>
        </w:rPr>
        <w:t xml:space="preserve">Governing Law.</w:t>
      </w:r>
      <w:r>
        <w:t xml:space="preserve"> </w:t>
      </w:r>
      <w:r>
        <w:t xml:space="preserve">The formal legal version is provided separately.</w:t>
      </w:r>
    </w:p>
    <w:bookmarkEnd w:id="31"/>
    <w:bookmarkStart w:id="32" w:name="Xc3c81b840f71a50bd8f042265acf5e6b24ac508"/>
    <w:p>
      <w:pPr>
        <w:pStyle w:val="Heading3"/>
      </w:pPr>
      <w:r>
        <w:t xml:space="preserve">Appendix E – Cost‑Sharing Agreement Template (Plain Language)</w:t>
      </w:r>
    </w:p>
    <w:p>
      <w:pPr>
        <w:pStyle w:val="FirstParagraph"/>
      </w:pPr>
      <w:r>
        <w:t xml:space="preserve">The cost‑sharing agreement allocates shared overhead (software subscriptions, office rent, insurance, personnel) among subsidiaries. Elements include: (1)</w:t>
      </w:r>
      <w:r>
        <w:t xml:space="preserve"> </w:t>
      </w:r>
      <w:r>
        <w:rPr>
          <w:bCs/>
          <w:b/>
        </w:rPr>
        <w:t xml:space="preserve">Shared Costs:</w:t>
      </w:r>
      <w:r>
        <w:t xml:space="preserve"> </w:t>
      </w:r>
      <w:r>
        <w:t xml:space="preserve">list categories of expenses to be shared; (2)</w:t>
      </w:r>
      <w:r>
        <w:t xml:space="preserve"> </w:t>
      </w:r>
      <w:r>
        <w:rPr>
          <w:bCs/>
          <w:b/>
        </w:rPr>
        <w:t xml:space="preserve">Allocation Methodology:</w:t>
      </w:r>
      <w:r>
        <w:t xml:space="preserve"> </w:t>
      </w:r>
      <w:r>
        <w:t xml:space="preserve">define allocation keys (e.g. headcount, revenue proportion, usage metrics); (3)</w:t>
      </w:r>
      <w:r>
        <w:t xml:space="preserve"> </w:t>
      </w:r>
      <w:r>
        <w:rPr>
          <w:bCs/>
          <w:b/>
        </w:rPr>
        <w:t xml:space="preserve">Billing and Payment:</w:t>
      </w:r>
      <w:r>
        <w:t xml:space="preserve"> </w:t>
      </w:r>
      <w:r>
        <w:t xml:space="preserve">set billing cycle (monthly or quarterly) and due dates; (4)</w:t>
      </w:r>
      <w:r>
        <w:t xml:space="preserve"> </w:t>
      </w:r>
      <w:r>
        <w:rPr>
          <w:bCs/>
          <w:b/>
        </w:rPr>
        <w:t xml:space="preserve">Adjustments:</w:t>
      </w:r>
      <w:r>
        <w:t xml:space="preserve"> </w:t>
      </w:r>
      <w:r>
        <w:t xml:space="preserve">allow true‑ups when actual usage differs from estimates; (5)</w:t>
      </w:r>
      <w:r>
        <w:t xml:space="preserve"> </w:t>
      </w:r>
      <w:r>
        <w:rPr>
          <w:bCs/>
          <w:b/>
        </w:rPr>
        <w:t xml:space="preserve">Audit Rights:</w:t>
      </w:r>
      <w:r>
        <w:t xml:space="preserve"> </w:t>
      </w:r>
      <w:r>
        <w:t xml:space="preserve">permit parties to inspect each other’s books to verify allocations; (6)</w:t>
      </w:r>
      <w:r>
        <w:t xml:space="preserve"> </w:t>
      </w:r>
      <w:r>
        <w:rPr>
          <w:bCs/>
          <w:b/>
        </w:rPr>
        <w:t xml:space="preserve">Term and Termination.</w:t>
      </w:r>
      <w:r>
        <w:t xml:space="preserve"> </w:t>
      </w:r>
      <w:r>
        <w:t xml:space="preserve">A formal template follows in the companion documents.</w:t>
      </w:r>
    </w:p>
    <w:bookmarkEnd w:id="32"/>
    <w:bookmarkStart w:id="33" w:name="X148a6275a9f8e7a6486cea0e5e9d2d5fc0737d7"/>
    <w:p>
      <w:pPr>
        <w:pStyle w:val="Heading3"/>
      </w:pPr>
      <w:r>
        <w:t xml:space="preserve">Appendix F – SuiteDash Data Dictionary (Selected Fields)</w:t>
      </w:r>
    </w:p>
    <w:p>
      <w:pPr>
        <w:pStyle w:val="FirstParagraph"/>
      </w:pPr>
      <w:r>
        <w:t xml:space="preserve">Below is a sample of key columns from the SuiteDash BOS data dictionary with their meanings and implementation notes【323783966825378†L61-L121】: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Meaning</w:t>
            </w:r>
          </w:p>
        </w:tc>
        <w:tc>
          <w:tcPr/>
          <w:p>
            <w:pPr>
              <w:pStyle w:val="Compact"/>
              <w:jc w:val="left"/>
            </w:pPr>
            <w:r>
              <w:t xml:space="preserve">Implementation</w:t>
            </w:r>
          </w:p>
        </w:tc>
      </w:tr>
      <w:tr>
        <w:tc>
          <w:tcPr/>
          <w:p>
            <w:pPr>
              <w:pStyle w:val="Compact"/>
              <w:jc w:val="left"/>
            </w:pPr>
            <w:r>
              <w:t xml:space="preserve">Seq # (Chrono)</w:t>
            </w:r>
          </w:p>
        </w:tc>
        <w:tc>
          <w:tcPr/>
          <w:p>
            <w:pPr>
              <w:pStyle w:val="Compact"/>
              <w:jc w:val="left"/>
            </w:pPr>
            <w:r>
              <w:t xml:space="preserve">Sequence number in strict chronological order. Controls task order and dependencies.</w:t>
            </w:r>
          </w:p>
        </w:tc>
        <w:tc>
          <w:tcPr/>
          <w:p>
            <w:pPr>
              <w:pStyle w:val="Compact"/>
              <w:jc w:val="left"/>
            </w:pPr>
            <w:r>
              <w:t xml:space="preserve">Keep unique and gapless per phase; use as the task ID in SuiteDash.</w:t>
            </w:r>
          </w:p>
        </w:tc>
      </w:tr>
      <w:tr>
        <w:tc>
          <w:tcPr/>
          <w:p>
            <w:pPr>
              <w:pStyle w:val="Compact"/>
              <w:jc w:val="left"/>
            </w:pPr>
            <w:r>
              <w:t xml:space="preserve">Phase</w:t>
            </w:r>
          </w:p>
        </w:tc>
        <w:tc>
          <w:tcPr/>
          <w:p>
            <w:pPr>
              <w:pStyle w:val="Compact"/>
              <w:jc w:val="left"/>
            </w:pPr>
            <w:r>
              <w:t xml:space="preserve">Lifecycle stage (Lead→Client, Onboarding, etc.).</w:t>
            </w:r>
          </w:p>
        </w:tc>
        <w:tc>
          <w:tcPr/>
          <w:p>
            <w:pPr>
              <w:pStyle w:val="Compact"/>
              <w:jc w:val="left"/>
            </w:pPr>
            <w:r>
              <w:t xml:space="preserve">Use phases as top‑level projects or stages in SuiteDash Projects.</w:t>
            </w:r>
          </w:p>
        </w:tc>
      </w:tr>
      <w:tr>
        <w:tc>
          <w:tcPr/>
          <w:p>
            <w:pPr>
              <w:pStyle w:val="Compact"/>
              <w:jc w:val="left"/>
            </w:pPr>
            <w:r>
              <w:t xml:space="preserve">Sub‑Process</w:t>
            </w:r>
          </w:p>
        </w:tc>
        <w:tc>
          <w:tcPr/>
          <w:p>
            <w:pPr>
              <w:pStyle w:val="Compact"/>
              <w:jc w:val="left"/>
            </w:pPr>
            <w:r>
              <w:t xml:space="preserve">Nested process within the phase.</w:t>
            </w:r>
          </w:p>
        </w:tc>
        <w:tc>
          <w:tcPr/>
          <w:p>
            <w:pPr>
              <w:pStyle w:val="Compact"/>
              <w:jc w:val="left"/>
            </w:pPr>
            <w:r>
              <w:t xml:space="preserve">Represent as a task list or sub‑project; assign owners and SLAs.</w:t>
            </w:r>
          </w:p>
        </w:tc>
      </w:tr>
      <w:tr>
        <w:tc>
          <w:tcPr/>
          <w:p>
            <w:pPr>
              <w:pStyle w:val="Compact"/>
              <w:jc w:val="left"/>
            </w:pPr>
            <w:r>
              <w:t xml:space="preserve">Step Name</w:t>
            </w:r>
          </w:p>
        </w:tc>
        <w:tc>
          <w:tcPr/>
          <w:p>
            <w:pPr>
              <w:pStyle w:val="Compact"/>
              <w:jc w:val="left"/>
            </w:pPr>
            <w:r>
              <w:t xml:space="preserve">Actionable task title.</w:t>
            </w:r>
          </w:p>
        </w:tc>
        <w:tc>
          <w:tcPr/>
          <w:p>
            <w:pPr>
              <w:pStyle w:val="Compact"/>
              <w:jc w:val="left"/>
            </w:pPr>
            <w:r>
              <w:t xml:space="preserve">Use imperative verbs (e.g. </w:t>
            </w:r>
            <w:r>
              <w:t xml:space="preserve">“</w:t>
            </w:r>
            <w:r>
              <w:t xml:space="preserve">Configure Form</w:t>
            </w:r>
            <w:r>
              <w:t xml:space="preserve">”</w:t>
            </w:r>
            <w:r>
              <w:t xml:space="preserve">). Be consistent across workflows.</w:t>
            </w:r>
          </w:p>
        </w:tc>
      </w:tr>
      <w:tr>
        <w:tc>
          <w:tcPr/>
          <w:p>
            <w:pPr>
              <w:pStyle w:val="Compact"/>
              <w:jc w:val="left"/>
            </w:pPr>
            <w:r>
              <w:t xml:space="preserve">Detailed Instructions (Novice)</w:t>
            </w:r>
          </w:p>
        </w:tc>
        <w:tc>
          <w:tcPr/>
          <w:p>
            <w:pPr>
              <w:pStyle w:val="Compact"/>
              <w:jc w:val="left"/>
            </w:pPr>
            <w:r>
              <w:t xml:space="preserve">Step‑by‑step directions for a new hire.</w:t>
            </w:r>
          </w:p>
        </w:tc>
        <w:tc>
          <w:tcPr/>
          <w:p>
            <w:pPr>
              <w:pStyle w:val="Compact"/>
              <w:jc w:val="left"/>
            </w:pPr>
            <w:r>
              <w:t xml:space="preserve">Paste into task descriptions and templates; ensures consistent execution.</w:t>
            </w:r>
          </w:p>
        </w:tc>
      </w:tr>
      <w:tr>
        <w:tc>
          <w:tcPr/>
          <w:p>
            <w:pPr>
              <w:pStyle w:val="Compact"/>
              <w:jc w:val="left"/>
            </w:pPr>
            <w:r>
              <w:t xml:space="preserve">Responsible (R)</w:t>
            </w:r>
          </w:p>
        </w:tc>
        <w:tc>
          <w:tcPr/>
          <w:p>
            <w:pPr>
              <w:pStyle w:val="Compact"/>
              <w:jc w:val="left"/>
            </w:pPr>
            <w:r>
              <w:t xml:space="preserve">Role performing the work.</w:t>
            </w:r>
          </w:p>
        </w:tc>
        <w:tc>
          <w:tcPr/>
          <w:p>
            <w:pPr>
              <w:pStyle w:val="Compact"/>
              <w:jc w:val="left"/>
            </w:pPr>
            <w:r>
              <w:t xml:space="preserve">Assign as task assignee in SuiteDash; map to the appropriate team member.</w:t>
            </w:r>
          </w:p>
        </w:tc>
      </w:tr>
      <w:tr>
        <w:tc>
          <w:tcPr/>
          <w:p>
            <w:pPr>
              <w:pStyle w:val="Compact"/>
              <w:jc w:val="left"/>
            </w:pPr>
            <w:r>
              <w:t xml:space="preserve">Accountable (A)</w:t>
            </w:r>
          </w:p>
        </w:tc>
        <w:tc>
          <w:tcPr/>
          <w:p>
            <w:pPr>
              <w:pStyle w:val="Compact"/>
              <w:jc w:val="left"/>
            </w:pPr>
            <w:r>
              <w:t xml:space="preserve">Role answerable for results.</w:t>
            </w:r>
          </w:p>
        </w:tc>
        <w:tc>
          <w:tcPr/>
          <w:p>
            <w:pPr>
              <w:pStyle w:val="Compact"/>
              <w:jc w:val="left"/>
            </w:pPr>
            <w:r>
              <w:t xml:space="preserve">Use SuiteDash’s approval fields to designate approvers.</w:t>
            </w:r>
          </w:p>
        </w:tc>
      </w:tr>
      <w:tr>
        <w:tc>
          <w:tcPr/>
          <w:p>
            <w:pPr>
              <w:pStyle w:val="Compact"/>
              <w:jc w:val="left"/>
            </w:pPr>
            <w:r>
              <w:t xml:space="preserve">Consulted (C)</w:t>
            </w:r>
          </w:p>
        </w:tc>
        <w:tc>
          <w:tcPr/>
          <w:p>
            <w:pPr>
              <w:pStyle w:val="Compact"/>
              <w:jc w:val="left"/>
            </w:pPr>
            <w:r>
              <w:t xml:space="preserve">Roles to consult during the step.</w:t>
            </w:r>
          </w:p>
        </w:tc>
        <w:tc>
          <w:tcPr/>
          <w:p>
            <w:pPr>
              <w:pStyle w:val="Compact"/>
              <w:jc w:val="left"/>
            </w:pPr>
            <w:r>
              <w:t xml:space="preserve">Mention or tag these roles in comments; ensures cross‑functional input.</w:t>
            </w:r>
          </w:p>
        </w:tc>
      </w:tr>
      <w:tr>
        <w:tc>
          <w:tcPr/>
          <w:p>
            <w:pPr>
              <w:pStyle w:val="Compact"/>
              <w:jc w:val="left"/>
            </w:pPr>
            <w:r>
              <w:t xml:space="preserve">Informed (I)</w:t>
            </w:r>
          </w:p>
        </w:tc>
        <w:tc>
          <w:tcPr/>
          <w:p>
            <w:pPr>
              <w:pStyle w:val="Compact"/>
              <w:jc w:val="left"/>
            </w:pPr>
            <w:r>
              <w:t xml:space="preserve">Roles to be notified upon completion.</w:t>
            </w:r>
          </w:p>
        </w:tc>
        <w:tc>
          <w:tcPr/>
          <w:p>
            <w:pPr>
              <w:pStyle w:val="Compact"/>
              <w:jc w:val="left"/>
            </w:pPr>
            <w:r>
              <w:t xml:space="preserve">Automate notifications to these stakeholders.</w:t>
            </w:r>
          </w:p>
        </w:tc>
      </w:tr>
      <w:tr>
        <w:tc>
          <w:tcPr/>
          <w:p>
            <w:pPr>
              <w:pStyle w:val="Compact"/>
              <w:jc w:val="left"/>
            </w:pPr>
            <w:r>
              <w:t xml:space="preserve">SLA Target</w:t>
            </w:r>
          </w:p>
        </w:tc>
        <w:tc>
          <w:tcPr/>
          <w:p>
            <w:pPr>
              <w:pStyle w:val="Compact"/>
              <w:jc w:val="left"/>
            </w:pPr>
            <w:r>
              <w:t xml:space="preserve">Response/Resolution/Due time requirements.</w:t>
            </w:r>
          </w:p>
        </w:tc>
        <w:tc>
          <w:tcPr/>
          <w:p>
            <w:pPr>
              <w:pStyle w:val="Compact"/>
              <w:jc w:val="left"/>
            </w:pPr>
            <w:r>
              <w:t xml:space="preserve">Set due dates and reminders in SuiteDash; use ticket SLA settings.</w:t>
            </w:r>
          </w:p>
        </w:tc>
      </w:tr>
      <w:tr>
        <w:tc>
          <w:tcPr/>
          <w:p>
            <w:pPr>
              <w:pStyle w:val="Compact"/>
              <w:jc w:val="left"/>
            </w:pPr>
            <w:r>
              <w:t xml:space="preserve">Inputs/Forms/Data</w:t>
            </w:r>
          </w:p>
        </w:tc>
        <w:tc>
          <w:tcPr/>
          <w:p>
            <w:pPr>
              <w:pStyle w:val="Compact"/>
              <w:jc w:val="left"/>
            </w:pPr>
            <w:r>
              <w:t xml:space="preserve">What must be available before the step starts.</w:t>
            </w:r>
          </w:p>
        </w:tc>
        <w:tc>
          <w:tcPr/>
          <w:p>
            <w:pPr>
              <w:pStyle w:val="Compact"/>
              <w:jc w:val="left"/>
            </w:pPr>
            <w:r>
              <w:t xml:space="preserve">Attach forms and documents to tasks; include prerequisites.</w:t>
            </w:r>
          </w:p>
        </w:tc>
      </w:tr>
      <w:tr>
        <w:tc>
          <w:tcPr/>
          <w:p>
            <w:pPr>
              <w:pStyle w:val="Compact"/>
              <w:jc w:val="left"/>
            </w:pPr>
            <w:r>
              <w:t xml:space="preserve">Outputs/Artifacts</w:t>
            </w:r>
          </w:p>
        </w:tc>
        <w:tc>
          <w:tcPr/>
          <w:p>
            <w:pPr>
              <w:pStyle w:val="Compact"/>
              <w:jc w:val="left"/>
            </w:pPr>
            <w:r>
              <w:t xml:space="preserve">Deliverables produced by the step.</w:t>
            </w:r>
          </w:p>
        </w:tc>
        <w:tc>
          <w:tcPr/>
          <w:p>
            <w:pPr>
              <w:pStyle w:val="Compact"/>
              <w:jc w:val="left"/>
            </w:pPr>
            <w:r>
              <w:t xml:space="preserve">Document where to store artefacts; link to files in SuiteDash.</w:t>
            </w:r>
          </w:p>
        </w:tc>
      </w:tr>
      <w:tr>
        <w:tc>
          <w:tcPr/>
          <w:p>
            <w:pPr>
              <w:pStyle w:val="Compact"/>
              <w:jc w:val="left"/>
            </w:pPr>
            <w:r>
              <w:t xml:space="preserve">SuiteDash Module/Feature</w:t>
            </w:r>
          </w:p>
        </w:tc>
        <w:tc>
          <w:tcPr/>
          <w:p>
            <w:pPr>
              <w:pStyle w:val="Compact"/>
              <w:jc w:val="left"/>
            </w:pPr>
            <w:r>
              <w:t xml:space="preserve">Where the work happens (CRM, Projects, Tickets, etc.).</w:t>
            </w:r>
          </w:p>
        </w:tc>
        <w:tc>
          <w:tcPr/>
          <w:p>
            <w:pPr>
              <w:pStyle w:val="Compact"/>
              <w:jc w:val="left"/>
            </w:pPr>
            <w:r>
              <w:t xml:space="preserve">Provides navigation path for training; informs the click‑path guides.</w:t>
            </w:r>
          </w:p>
        </w:tc>
      </w:tr>
      <w:tr>
        <w:tc>
          <w:tcPr/>
          <w:p>
            <w:pPr>
              <w:pStyle w:val="Compact"/>
              <w:jc w:val="left"/>
            </w:pPr>
            <w:r>
              <w:t xml:space="preserve">Automation Trigger</w:t>
            </w:r>
          </w:p>
        </w:tc>
        <w:tc>
          <w:tcPr/>
          <w:p>
            <w:pPr>
              <w:pStyle w:val="Compact"/>
              <w:jc w:val="left"/>
            </w:pPr>
            <w:r>
              <w:t xml:space="preserve">Event that starts automations.</w:t>
            </w:r>
          </w:p>
        </w:tc>
        <w:tc>
          <w:tcPr/>
          <w:p>
            <w:pPr>
              <w:pStyle w:val="Compact"/>
              <w:jc w:val="left"/>
            </w:pPr>
            <w:r>
              <w:t xml:space="preserve">Configure triggers (e.g. </w:t>
            </w:r>
            <w:r>
              <w:t xml:space="preserve">“</w:t>
            </w:r>
            <w:r>
              <w:t xml:space="preserve">Form Submitted</w:t>
            </w:r>
            <w:r>
              <w:t xml:space="preserve">”</w:t>
            </w:r>
            <w:r>
              <w:t xml:space="preserve">,</w:t>
            </w:r>
            <w:r>
              <w:t xml:space="preserve"> </w:t>
            </w:r>
            <w:r>
              <w:t xml:space="preserve">“</w:t>
            </w:r>
            <w:r>
              <w:t xml:space="preserve">Invoice Paid</w:t>
            </w:r>
            <w:r>
              <w:t xml:space="preserve">”</w:t>
            </w:r>
            <w:r>
              <w:t xml:space="preserve">).</w:t>
            </w:r>
          </w:p>
        </w:tc>
      </w:tr>
      <w:tr>
        <w:tc>
          <w:tcPr/>
          <w:p>
            <w:pPr>
              <w:pStyle w:val="Compact"/>
              <w:jc w:val="left"/>
            </w:pPr>
            <w:r>
              <w:t xml:space="preserve">Automated Actions</w:t>
            </w:r>
          </w:p>
        </w:tc>
        <w:tc>
          <w:tcPr/>
          <w:p>
            <w:pPr>
              <w:pStyle w:val="Compact"/>
              <w:jc w:val="left"/>
            </w:pPr>
            <w:r>
              <w:t xml:space="preserve">Actions performed automatically.</w:t>
            </w:r>
          </w:p>
        </w:tc>
        <w:tc>
          <w:tcPr/>
          <w:p>
            <w:pPr>
              <w:pStyle w:val="Compact"/>
              <w:jc w:val="left"/>
            </w:pPr>
            <w:r>
              <w:t xml:space="preserve">Document side‑effects; ensure logs are reviewed.</w:t>
            </w:r>
          </w:p>
        </w:tc>
      </w:tr>
      <w:tr>
        <w:tc>
          <w:tcPr/>
          <w:p>
            <w:pPr>
              <w:pStyle w:val="Compact"/>
              <w:jc w:val="left"/>
            </w:pPr>
            <w:r>
              <w:t xml:space="preserve">Manual Actions</w:t>
            </w:r>
          </w:p>
        </w:tc>
        <w:tc>
          <w:tcPr/>
          <w:p>
            <w:pPr>
              <w:pStyle w:val="Compact"/>
              <w:jc w:val="left"/>
            </w:pPr>
            <w:r>
              <w:t xml:space="preserve">Human interventions required.</w:t>
            </w:r>
          </w:p>
        </w:tc>
        <w:tc>
          <w:tcPr/>
          <w:p>
            <w:pPr>
              <w:pStyle w:val="Compact"/>
              <w:jc w:val="left"/>
            </w:pPr>
            <w:r>
              <w:t xml:space="preserve">Keep checklists concise; avoid missing tasks.</w:t>
            </w:r>
          </w:p>
        </w:tc>
      </w:tr>
      <w:tr>
        <w:tc>
          <w:tcPr/>
          <w:p>
            <w:pPr>
              <w:pStyle w:val="Compact"/>
              <w:jc w:val="left"/>
            </w:pPr>
            <w:r>
              <w:t xml:space="preserve">Dependencies</w:t>
            </w:r>
          </w:p>
        </w:tc>
        <w:tc>
          <w:tcPr/>
          <w:p>
            <w:pPr>
              <w:pStyle w:val="Compact"/>
              <w:jc w:val="left"/>
            </w:pPr>
            <w:r>
              <w:t xml:space="preserve">Tasks that must be completed first.</w:t>
            </w:r>
          </w:p>
        </w:tc>
        <w:tc>
          <w:tcPr/>
          <w:p>
            <w:pPr>
              <w:pStyle w:val="Compact"/>
              <w:jc w:val="left"/>
            </w:pPr>
            <w:r>
              <w:t xml:space="preserve">Link tasks using sequence numbers or dependencies in SuiteDash.</w:t>
            </w:r>
          </w:p>
        </w:tc>
      </w:tr>
      <w:tr>
        <w:tc>
          <w:tcPr/>
          <w:p>
            <w:pPr>
              <w:pStyle w:val="Compact"/>
              <w:jc w:val="left"/>
            </w:pPr>
            <w:r>
              <w:t xml:space="preserve">Definition of Done</w:t>
            </w:r>
          </w:p>
        </w:tc>
        <w:tc>
          <w:tcPr/>
          <w:p>
            <w:pPr>
              <w:pStyle w:val="Compact"/>
              <w:jc w:val="left"/>
            </w:pPr>
            <w:r>
              <w:t xml:space="preserve">Non‑negotiable acceptance criteria.</w:t>
            </w:r>
          </w:p>
        </w:tc>
        <w:tc>
          <w:tcPr/>
          <w:p>
            <w:pPr>
              <w:pStyle w:val="Compact"/>
              <w:jc w:val="left"/>
            </w:pPr>
            <w:r>
              <w:t xml:space="preserve">Include checklists; ensures quality before passing gates.</w:t>
            </w:r>
          </w:p>
        </w:tc>
      </w:tr>
      <w:tr>
        <w:tc>
          <w:tcPr/>
          <w:p>
            <w:pPr>
              <w:pStyle w:val="Compact"/>
              <w:jc w:val="left"/>
            </w:pPr>
            <w:r>
              <w:t xml:space="preserve">QA Gate/Approval</w:t>
            </w:r>
          </w:p>
        </w:tc>
        <w:tc>
          <w:tcPr/>
          <w:p>
            <w:pPr>
              <w:pStyle w:val="Compact"/>
              <w:jc w:val="left"/>
            </w:pPr>
            <w:r>
              <w:t xml:space="preserve">Formal review or sign‑off.</w:t>
            </w:r>
          </w:p>
        </w:tc>
        <w:tc>
          <w:tcPr/>
          <w:p>
            <w:pPr>
              <w:pStyle w:val="Compact"/>
              <w:jc w:val="left"/>
            </w:pPr>
            <w:r>
              <w:t xml:space="preserve">Assign approvers; require comments or sign‑off in SuiteDash.</w:t>
            </w:r>
          </w:p>
        </w:tc>
      </w:tr>
      <w:tr>
        <w:tc>
          <w:tcPr/>
          <w:p>
            <w:pPr>
              <w:pStyle w:val="Compact"/>
              <w:jc w:val="left"/>
            </w:pPr>
            <w:r>
              <w:t xml:space="preserve">Exception Handling</w:t>
            </w:r>
          </w:p>
        </w:tc>
        <w:tc>
          <w:tcPr/>
          <w:p>
            <w:pPr>
              <w:pStyle w:val="Compact"/>
              <w:jc w:val="left"/>
            </w:pPr>
            <w:r>
              <w:t xml:space="preserve">Steps when things go wrong.</w:t>
            </w:r>
          </w:p>
        </w:tc>
        <w:tc>
          <w:tcPr/>
          <w:p>
            <w:pPr>
              <w:pStyle w:val="Compact"/>
              <w:jc w:val="left"/>
            </w:pPr>
            <w:r>
              <w:t xml:space="preserve">Provide playbooks and escalation paths; integrate with incident templates.</w:t>
            </w:r>
          </w:p>
        </w:tc>
      </w:tr>
      <w:tr>
        <w:tc>
          <w:tcPr/>
          <w:p>
            <w:pPr>
              <w:pStyle w:val="Compact"/>
              <w:jc w:val="left"/>
            </w:pPr>
            <w:r>
              <w:t xml:space="preserve">Escalation Path</w:t>
            </w:r>
          </w:p>
        </w:tc>
        <w:tc>
          <w:tcPr/>
          <w:p>
            <w:pPr>
              <w:pStyle w:val="Compact"/>
              <w:jc w:val="left"/>
            </w:pPr>
            <w:r>
              <w:t xml:space="preserve">Who to notify and when.</w:t>
            </w:r>
          </w:p>
        </w:tc>
        <w:tc>
          <w:tcPr/>
          <w:p>
            <w:pPr>
              <w:pStyle w:val="Compact"/>
              <w:jc w:val="left"/>
            </w:pPr>
            <w:r>
              <w:t xml:space="preserve">Use escalation matrix; configure notifications at SLA breaches.</w:t>
            </w:r>
          </w:p>
        </w:tc>
      </w:tr>
      <w:tr>
        <w:tc>
          <w:tcPr/>
          <w:p>
            <w:pPr>
              <w:pStyle w:val="Compact"/>
              <w:jc w:val="left"/>
            </w:pPr>
            <w:r>
              <w:t xml:space="preserve">Metrics/KPI</w:t>
            </w:r>
          </w:p>
        </w:tc>
        <w:tc>
          <w:tcPr/>
          <w:p>
            <w:pPr>
              <w:pStyle w:val="Compact"/>
              <w:jc w:val="left"/>
            </w:pPr>
            <w:r>
              <w:t xml:space="preserve">Metrics affected by the step.</w:t>
            </w:r>
          </w:p>
        </w:tc>
        <w:tc>
          <w:tcPr/>
          <w:p>
            <w:pPr>
              <w:pStyle w:val="Compact"/>
              <w:jc w:val="left"/>
            </w:pPr>
            <w:r>
              <w:t xml:space="preserve">Link steps to dashboards; track conversion, cycle time, utilisation.</w:t>
            </w:r>
          </w:p>
        </w:tc>
      </w:tr>
      <w:tr>
        <w:tc>
          <w:tcPr/>
          <w:p>
            <w:pPr>
              <w:pStyle w:val="Compact"/>
              <w:jc w:val="left"/>
            </w:pPr>
            <w:r>
              <w:t xml:space="preserve">Evidence Log/Where</w:t>
            </w:r>
          </w:p>
        </w:tc>
        <w:tc>
          <w:tcPr/>
          <w:p>
            <w:pPr>
              <w:pStyle w:val="Compact"/>
              <w:jc w:val="left"/>
            </w:pPr>
            <w:r>
              <w:t xml:space="preserve">Where proof is stored.</w:t>
            </w:r>
          </w:p>
        </w:tc>
        <w:tc>
          <w:tcPr/>
          <w:p>
            <w:pPr>
              <w:pStyle w:val="Compact"/>
              <w:jc w:val="left"/>
            </w:pPr>
            <w:r>
              <w:t xml:space="preserve">Keep audit trails; store in Files or Notes modules.</w:t>
            </w:r>
          </w:p>
        </w:tc>
      </w:tr>
      <w:tr>
        <w:tc>
          <w:tcPr/>
          <w:p>
            <w:pPr>
              <w:pStyle w:val="Compact"/>
              <w:jc w:val="left"/>
            </w:pPr>
            <w:r>
              <w:t xml:space="preserve">Security/Data Class</w:t>
            </w:r>
          </w:p>
        </w:tc>
        <w:tc>
          <w:tcPr/>
          <w:p>
            <w:pPr>
              <w:pStyle w:val="Compact"/>
              <w:jc w:val="left"/>
            </w:pPr>
            <w:r>
              <w:t xml:space="preserve">Sensitivity of data handled.</w:t>
            </w:r>
          </w:p>
        </w:tc>
        <w:tc>
          <w:tcPr/>
          <w:p>
            <w:pPr>
              <w:pStyle w:val="Compact"/>
              <w:jc w:val="left"/>
            </w:pPr>
            <w:r>
              <w:t xml:space="preserve">Apply least‑privilege access; restrict roles accordingly.</w:t>
            </w:r>
          </w:p>
        </w:tc>
      </w:tr>
      <w:tr>
        <w:tc>
          <w:tcPr/>
          <w:p>
            <w:pPr>
              <w:pStyle w:val="Compact"/>
              <w:jc w:val="left"/>
            </w:pPr>
            <w:r>
              <w:t xml:space="preserve">Tools/Integrations</w:t>
            </w:r>
          </w:p>
        </w:tc>
        <w:tc>
          <w:tcPr/>
          <w:p>
            <w:pPr>
              <w:pStyle w:val="Compact"/>
              <w:jc w:val="left"/>
            </w:pPr>
            <w:r>
              <w:t xml:space="preserve">External systems used.</w:t>
            </w:r>
          </w:p>
        </w:tc>
        <w:tc>
          <w:tcPr/>
          <w:p>
            <w:pPr>
              <w:pStyle w:val="Compact"/>
              <w:jc w:val="left"/>
            </w:pPr>
            <w:r>
              <w:t xml:space="preserve">Document integration points; track versions and owners.</w:t>
            </w:r>
          </w:p>
        </w:tc>
      </w:tr>
      <w:tr>
        <w:tc>
          <w:tcPr/>
          <w:p>
            <w:pPr>
              <w:pStyle w:val="Compact"/>
              <w:jc w:val="left"/>
            </w:pPr>
            <w:r>
              <w:t xml:space="preserve">Template ID/Link</w:t>
            </w:r>
          </w:p>
        </w:tc>
        <w:tc>
          <w:tcPr/>
          <w:p>
            <w:pPr>
              <w:pStyle w:val="Compact"/>
              <w:jc w:val="left"/>
            </w:pPr>
            <w:r>
              <w:t xml:space="preserve">Reference to template used.</w:t>
            </w:r>
          </w:p>
        </w:tc>
        <w:tc>
          <w:tcPr/>
          <w:p>
            <w:pPr>
              <w:pStyle w:val="Compact"/>
              <w:jc w:val="left"/>
            </w:pPr>
            <w:r>
              <w:t xml:space="preserve">Maintain a central template registry; link to relevant docs.</w:t>
            </w:r>
          </w:p>
        </w:tc>
      </w:tr>
      <w:tr>
        <w:tc>
          <w:tcPr/>
          <w:p>
            <w:pPr>
              <w:pStyle w:val="Compact"/>
              <w:jc w:val="left"/>
            </w:pPr>
            <w:r>
              <w:t xml:space="preserve">Owner (Role)</w:t>
            </w:r>
          </w:p>
        </w:tc>
        <w:tc>
          <w:tcPr/>
          <w:p>
            <w:pPr>
              <w:pStyle w:val="Compact"/>
              <w:jc w:val="left"/>
            </w:pPr>
            <w:r>
              <w:t xml:space="preserve">Role maintaining the field/section.</w:t>
            </w:r>
          </w:p>
        </w:tc>
        <w:tc>
          <w:tcPr/>
          <w:p>
            <w:pPr>
              <w:pStyle w:val="Compact"/>
              <w:jc w:val="left"/>
            </w:pPr>
            <w:r>
              <w:t xml:space="preserve">Assign a governance owner; ensures updates occur.</w:t>
            </w:r>
          </w:p>
        </w:tc>
      </w:tr>
      <w:tr>
        <w:tc>
          <w:tcPr/>
          <w:p>
            <w:pPr>
              <w:pStyle w:val="Compact"/>
              <w:jc w:val="left"/>
            </w:pPr>
            <w:r>
              <w:t xml:space="preserve">Version/Last Updated</w:t>
            </w:r>
          </w:p>
        </w:tc>
        <w:tc>
          <w:tcPr/>
          <w:p>
            <w:pPr>
              <w:pStyle w:val="Compact"/>
              <w:jc w:val="left"/>
            </w:pPr>
            <w:r>
              <w:t xml:space="preserve">Version tag and timestamp.</w:t>
            </w:r>
          </w:p>
        </w:tc>
        <w:tc>
          <w:tcPr/>
          <w:p>
            <w:pPr>
              <w:pStyle w:val="Compact"/>
              <w:jc w:val="left"/>
            </w:pPr>
            <w:r>
              <w:t xml:space="preserve">Update when fields change; maintain change log.</w:t>
            </w:r>
          </w:p>
        </w:tc>
      </w:tr>
    </w:tbl>
    <w:bookmarkEnd w:id="33"/>
    <w:bookmarkStart w:id="39" w:name="X833563d7dd7cb9f14d5d6a4bddc8d597e462a8f"/>
    <w:p>
      <w:pPr>
        <w:pStyle w:val="Heading3"/>
      </w:pPr>
      <w:r>
        <w:t xml:space="preserve">Appendix G – SuiteDash Click‑Path Training Guides</w:t>
      </w:r>
    </w:p>
    <w:p>
      <w:pPr>
        <w:pStyle w:val="FirstParagraph"/>
      </w:pPr>
      <w:r>
        <w:t xml:space="preserve">These step‑by‑step guides demonstrate how different team members interact with SuiteDash. Adjust the specifics based on your configuration.</w:t>
      </w:r>
    </w:p>
    <w:bookmarkStart w:id="34" w:name="sales-representative"/>
    <w:p>
      <w:pPr>
        <w:pStyle w:val="Heading4"/>
      </w:pPr>
      <w:r>
        <w:t xml:space="preserve">Sales Representative</w:t>
      </w:r>
    </w:p>
    <w:p>
      <w:pPr>
        <w:numPr>
          <w:ilvl w:val="0"/>
          <w:numId w:val="1002"/>
        </w:numPr>
        <w:pStyle w:val="Compact"/>
      </w:pPr>
      <w:r>
        <w:rPr>
          <w:bCs/>
          <w:b/>
        </w:rPr>
        <w:t xml:space="preserve">Add a Lead.</w:t>
      </w:r>
      <w:r>
        <w:t xml:space="preserve"> </w:t>
      </w:r>
      <w:r>
        <w:t xml:space="preserve">Navigate to</w:t>
      </w:r>
      <w:r>
        <w:t xml:space="preserve"> </w:t>
      </w:r>
      <w:r>
        <w:rPr>
          <w:bCs/>
          <w:b/>
        </w:rPr>
        <w:t xml:space="preserve">CRM → Contacts</w:t>
      </w:r>
      <w:r>
        <w:t xml:space="preserve">, click</w:t>
      </w:r>
      <w:r>
        <w:t xml:space="preserve"> </w:t>
      </w:r>
      <w:r>
        <w:rPr>
          <w:bCs/>
          <w:b/>
        </w:rPr>
        <w:t xml:space="preserve">New Contact</w:t>
      </w:r>
      <w:r>
        <w:t xml:space="preserve">, and enter the prospect’s details (name, company, email, phone). Assign the appropriate lead source and tag. Click</w:t>
      </w:r>
      <w:r>
        <w:t xml:space="preserve"> </w:t>
      </w:r>
      <w:r>
        <w:rPr>
          <w:bCs/>
          <w:b/>
        </w:rPr>
        <w:t xml:space="preserve">Save</w:t>
      </w:r>
      <w:r>
        <w:t xml:space="preserve">.</w:t>
      </w:r>
    </w:p>
    <w:p>
      <w:pPr>
        <w:numPr>
          <w:ilvl w:val="0"/>
          <w:numId w:val="1002"/>
        </w:numPr>
        <w:pStyle w:val="Compact"/>
      </w:pPr>
      <w:r>
        <w:rPr>
          <w:bCs/>
          <w:b/>
        </w:rPr>
        <w:t xml:space="preserve">Qualify the Lead.</w:t>
      </w:r>
      <w:r>
        <w:t xml:space="preserve"> </w:t>
      </w:r>
      <w:r>
        <w:t xml:space="preserve">In the contact record, create a new</w:t>
      </w:r>
      <w:r>
        <w:t xml:space="preserve"> </w:t>
      </w:r>
      <w:r>
        <w:rPr>
          <w:bCs/>
          <w:b/>
        </w:rPr>
        <w:t xml:space="preserve">Deal</w:t>
      </w:r>
      <w:r>
        <w:t xml:space="preserve">. Set the pipeline to your sales pipeline (e.g. </w:t>
      </w:r>
      <w:r>
        <w:t xml:space="preserve">“</w:t>
      </w:r>
      <w:r>
        <w:t xml:space="preserve">CLOSER Sales Process</w:t>
      </w:r>
      <w:r>
        <w:t xml:space="preserve">”</w:t>
      </w:r>
      <w:r>
        <w:t xml:space="preserve">), select the stage (</w:t>
      </w:r>
      <w:r>
        <w:t xml:space="preserve">“</w:t>
      </w:r>
      <w:r>
        <w:t xml:space="preserve">Lead</w:t>
      </w:r>
      <w:r>
        <w:t xml:space="preserve">”</w:t>
      </w:r>
      <w:r>
        <w:t xml:space="preserve">), assign an estimated close date, and save. Review the prospect’s needs and schedule a discovery call.</w:t>
      </w:r>
    </w:p>
    <w:p>
      <w:pPr>
        <w:numPr>
          <w:ilvl w:val="0"/>
          <w:numId w:val="1002"/>
        </w:numPr>
        <w:pStyle w:val="Compact"/>
      </w:pPr>
      <w:r>
        <w:rPr>
          <w:bCs/>
          <w:b/>
        </w:rPr>
        <w:t xml:space="preserve">Deliver Demo/Proposal.</w:t>
      </w:r>
      <w:r>
        <w:t xml:space="preserve"> </w:t>
      </w:r>
      <w:r>
        <w:t xml:space="preserve">After discovery, move the deal to the next stage (</w:t>
      </w:r>
      <w:r>
        <w:t xml:space="preserve">“</w:t>
      </w:r>
      <w:r>
        <w:t xml:space="preserve">Demo</w:t>
      </w:r>
      <w:r>
        <w:t xml:space="preserve">”</w:t>
      </w:r>
      <w:r>
        <w:t xml:space="preserve">). Create tasks for preparing the demo in the</w:t>
      </w:r>
      <w:r>
        <w:t xml:space="preserve"> </w:t>
      </w:r>
      <w:r>
        <w:rPr>
          <w:bCs/>
          <w:b/>
        </w:rPr>
        <w:t xml:space="preserve">Projects</w:t>
      </w:r>
      <w:r>
        <w:t xml:space="preserve"> </w:t>
      </w:r>
      <w:r>
        <w:t xml:space="preserve">module. Upon completion, draft the proposal using the</w:t>
      </w:r>
      <w:r>
        <w:t xml:space="preserve"> </w:t>
      </w:r>
      <w:r>
        <w:rPr>
          <w:bCs/>
          <w:b/>
        </w:rPr>
        <w:t xml:space="preserve">Forms/Proposals</w:t>
      </w:r>
      <w:r>
        <w:t xml:space="preserve"> </w:t>
      </w:r>
      <w:r>
        <w:t xml:space="preserve">module; send for electronic signature.</w:t>
      </w:r>
    </w:p>
    <w:p>
      <w:pPr>
        <w:numPr>
          <w:ilvl w:val="0"/>
          <w:numId w:val="1002"/>
        </w:numPr>
        <w:pStyle w:val="Compact"/>
      </w:pPr>
      <w:r>
        <w:rPr>
          <w:bCs/>
          <w:b/>
        </w:rPr>
        <w:t xml:space="preserve">Close &amp; Onboard.</w:t>
      </w:r>
      <w:r>
        <w:t xml:space="preserve"> </w:t>
      </w:r>
      <w:r>
        <w:t xml:space="preserve">When the client signs, move the deal to</w:t>
      </w:r>
      <w:r>
        <w:t xml:space="preserve"> </w:t>
      </w:r>
      <w:r>
        <w:t xml:space="preserve">“</w:t>
      </w:r>
      <w:r>
        <w:t xml:space="preserve">Won</w:t>
      </w:r>
      <w:r>
        <w:t xml:space="preserve">”</w:t>
      </w:r>
      <w:r>
        <w:t xml:space="preserve">, create an invoice in</w:t>
      </w:r>
      <w:r>
        <w:t xml:space="preserve"> </w:t>
      </w:r>
      <w:r>
        <w:rPr>
          <w:bCs/>
          <w:b/>
        </w:rPr>
        <w:t xml:space="preserve">Billing → Invoices</w:t>
      </w:r>
      <w:r>
        <w:t xml:space="preserve">, and enrol the client into the</w:t>
      </w:r>
      <w:r>
        <w:t xml:space="preserve"> </w:t>
      </w:r>
      <w:r>
        <w:rPr>
          <w:bCs/>
          <w:b/>
        </w:rPr>
        <w:t xml:space="preserve">Onboarding</w:t>
      </w:r>
      <w:r>
        <w:t xml:space="preserve"> </w:t>
      </w:r>
      <w:r>
        <w:t xml:space="preserve">workflow. Ensure automation triggers add the client to the appropriate Circle (community) and schedule kickoff tasks.</w:t>
      </w:r>
    </w:p>
    <w:bookmarkEnd w:id="34"/>
    <w:bookmarkStart w:id="35" w:name="operations-manager"/>
    <w:p>
      <w:pPr>
        <w:pStyle w:val="Heading4"/>
      </w:pPr>
      <w:r>
        <w:t xml:space="preserve">Operations Manager</w:t>
      </w:r>
    </w:p>
    <w:p>
      <w:pPr>
        <w:numPr>
          <w:ilvl w:val="0"/>
          <w:numId w:val="1003"/>
        </w:numPr>
        <w:pStyle w:val="Compact"/>
      </w:pPr>
      <w:r>
        <w:rPr>
          <w:bCs/>
          <w:b/>
        </w:rPr>
        <w:t xml:space="preserve">Project Creation.</w:t>
      </w:r>
      <w:r>
        <w:t xml:space="preserve"> </w:t>
      </w:r>
      <w:r>
        <w:t xml:space="preserve">Navigate to</w:t>
      </w:r>
      <w:r>
        <w:t xml:space="preserve"> </w:t>
      </w:r>
      <w:r>
        <w:rPr>
          <w:bCs/>
          <w:b/>
        </w:rPr>
        <w:t xml:space="preserve">Projects → Project Templates</w:t>
      </w:r>
      <w:r>
        <w:t xml:space="preserve">, select the appropriate template (e.g. </w:t>
      </w:r>
      <w:r>
        <w:t xml:space="preserve">“</w:t>
      </w:r>
      <w:r>
        <w:t xml:space="preserve">Onboarding</w:t>
      </w:r>
      <w:r>
        <w:t xml:space="preserve">”</w:t>
      </w:r>
      <w:r>
        <w:t xml:space="preserve">), and click</w:t>
      </w:r>
      <w:r>
        <w:t xml:space="preserve"> </w:t>
      </w:r>
      <w:r>
        <w:rPr>
          <w:bCs/>
          <w:b/>
        </w:rPr>
        <w:t xml:space="preserve">Start Project</w:t>
      </w:r>
      <w:r>
        <w:t xml:space="preserve">. Enter the project name, client, start date and due date.</w:t>
      </w:r>
    </w:p>
    <w:p>
      <w:pPr>
        <w:numPr>
          <w:ilvl w:val="0"/>
          <w:numId w:val="1003"/>
        </w:numPr>
        <w:pStyle w:val="Compact"/>
      </w:pPr>
      <w:r>
        <w:rPr>
          <w:bCs/>
          <w:b/>
        </w:rPr>
        <w:t xml:space="preserve">Assign Tasks.</w:t>
      </w:r>
      <w:r>
        <w:t xml:space="preserve"> </w:t>
      </w:r>
      <w:r>
        <w:t xml:space="preserve">Within the project, review the task lists and assign responsibilities. Set due dates according to SLA targets. Add dependencies where tasks must wait for predecessors.</w:t>
      </w:r>
    </w:p>
    <w:p>
      <w:pPr>
        <w:numPr>
          <w:ilvl w:val="0"/>
          <w:numId w:val="1003"/>
        </w:numPr>
        <w:pStyle w:val="Compact"/>
      </w:pPr>
      <w:r>
        <w:rPr>
          <w:bCs/>
          <w:b/>
        </w:rPr>
        <w:t xml:space="preserve">Monitor Progress.</w:t>
      </w:r>
      <w:r>
        <w:t xml:space="preserve"> </w:t>
      </w:r>
      <w:r>
        <w:t xml:space="preserve">Use the</w:t>
      </w:r>
      <w:r>
        <w:t xml:space="preserve"> </w:t>
      </w:r>
      <w:r>
        <w:rPr>
          <w:bCs/>
          <w:b/>
        </w:rPr>
        <w:t xml:space="preserve">Kanban</w:t>
      </w:r>
      <w:r>
        <w:t xml:space="preserve"> </w:t>
      </w:r>
      <w:r>
        <w:t xml:space="preserve">and</w:t>
      </w:r>
      <w:r>
        <w:t xml:space="preserve"> </w:t>
      </w:r>
      <w:r>
        <w:rPr>
          <w:bCs/>
          <w:b/>
        </w:rPr>
        <w:t xml:space="preserve">Gantt</w:t>
      </w:r>
      <w:r>
        <w:t xml:space="preserve"> </w:t>
      </w:r>
      <w:r>
        <w:t xml:space="preserve">views to track task completion. Ensure checklists are completed and definitions of done are met before tasks are marked complete.</w:t>
      </w:r>
    </w:p>
    <w:p>
      <w:pPr>
        <w:numPr>
          <w:ilvl w:val="0"/>
          <w:numId w:val="1003"/>
        </w:numPr>
        <w:pStyle w:val="Compact"/>
      </w:pPr>
      <w:r>
        <w:rPr>
          <w:bCs/>
          <w:b/>
        </w:rPr>
        <w:t xml:space="preserve">QA &amp; Offboarding.</w:t>
      </w:r>
      <w:r>
        <w:t xml:space="preserve"> </w:t>
      </w:r>
      <w:r>
        <w:t xml:space="preserve">At project end, conduct a QA audit via the</w:t>
      </w:r>
      <w:r>
        <w:t xml:space="preserve"> </w:t>
      </w:r>
      <w:r>
        <w:rPr>
          <w:bCs/>
          <w:b/>
        </w:rPr>
        <w:t xml:space="preserve">Governance &amp; QA</w:t>
      </w:r>
      <w:r>
        <w:t xml:space="preserve"> </w:t>
      </w:r>
      <w:r>
        <w:t xml:space="preserve">workflow. Document lessons learned and, if appropriate, generate an offboarding sequence using the</w:t>
      </w:r>
      <w:r>
        <w:t xml:space="preserve"> </w:t>
      </w:r>
      <w:r>
        <w:rPr>
          <w:bCs/>
          <w:b/>
        </w:rPr>
        <w:t xml:space="preserve">Offboarding</w:t>
      </w:r>
      <w:r>
        <w:t xml:space="preserve"> </w:t>
      </w:r>
      <w:r>
        <w:t xml:space="preserve">workflow.</w:t>
      </w:r>
    </w:p>
    <w:bookmarkEnd w:id="35"/>
    <w:bookmarkStart w:id="36" w:name="finance-clerk"/>
    <w:p>
      <w:pPr>
        <w:pStyle w:val="Heading4"/>
      </w:pPr>
      <w:r>
        <w:t xml:space="preserve">Finance Clerk</w:t>
      </w:r>
    </w:p>
    <w:p>
      <w:pPr>
        <w:numPr>
          <w:ilvl w:val="0"/>
          <w:numId w:val="1004"/>
        </w:numPr>
        <w:pStyle w:val="Compact"/>
      </w:pPr>
      <w:r>
        <w:rPr>
          <w:bCs/>
          <w:b/>
        </w:rPr>
        <w:t xml:space="preserve">Issue Invoice.</w:t>
      </w:r>
      <w:r>
        <w:t xml:space="preserve"> </w:t>
      </w:r>
      <w:r>
        <w:t xml:space="preserve">Go to</w:t>
      </w:r>
      <w:r>
        <w:t xml:space="preserve"> </w:t>
      </w:r>
      <w:r>
        <w:rPr>
          <w:bCs/>
          <w:b/>
        </w:rPr>
        <w:t xml:space="preserve">Billing → Invoices</w:t>
      </w:r>
      <w:r>
        <w:t xml:space="preserve">, click</w:t>
      </w:r>
      <w:r>
        <w:t xml:space="preserve"> </w:t>
      </w:r>
      <w:r>
        <w:rPr>
          <w:bCs/>
          <w:b/>
        </w:rPr>
        <w:t xml:space="preserve">New Invoice</w:t>
      </w:r>
      <w:r>
        <w:t xml:space="preserve">, select the client, add line items (service packages, one‑time fees), set due date and send via email.</w:t>
      </w:r>
    </w:p>
    <w:p>
      <w:pPr>
        <w:numPr>
          <w:ilvl w:val="0"/>
          <w:numId w:val="1004"/>
        </w:numPr>
        <w:pStyle w:val="Compact"/>
      </w:pPr>
      <w:r>
        <w:rPr>
          <w:bCs/>
          <w:b/>
        </w:rPr>
        <w:t xml:space="preserve">Record Payment.</w:t>
      </w:r>
      <w:r>
        <w:t xml:space="preserve"> </w:t>
      </w:r>
      <w:r>
        <w:t xml:space="preserve">When payment is received, open the invoice, click</w:t>
      </w:r>
      <w:r>
        <w:t xml:space="preserve"> </w:t>
      </w:r>
      <w:r>
        <w:rPr>
          <w:bCs/>
          <w:b/>
        </w:rPr>
        <w:t xml:space="preserve">Record Payment</w:t>
      </w:r>
      <w:r>
        <w:t xml:space="preserve">, enter the payment method and amount, and save. For card or ACH payments processed via SuiteDash, this step is automatic.</w:t>
      </w:r>
    </w:p>
    <w:p>
      <w:pPr>
        <w:numPr>
          <w:ilvl w:val="0"/>
          <w:numId w:val="1004"/>
        </w:numPr>
        <w:pStyle w:val="Compact"/>
      </w:pPr>
      <w:r>
        <w:rPr>
          <w:bCs/>
          <w:b/>
        </w:rPr>
        <w:t xml:space="preserve">Refund or Credit.</w:t>
      </w:r>
      <w:r>
        <w:t xml:space="preserve"> </w:t>
      </w:r>
      <w:r>
        <w:t xml:space="preserve">If a refund or credit is required, issue a</w:t>
      </w:r>
      <w:r>
        <w:t xml:space="preserve"> </w:t>
      </w:r>
      <w:r>
        <w:rPr>
          <w:bCs/>
          <w:b/>
        </w:rPr>
        <w:t xml:space="preserve">Credit Note</w:t>
      </w:r>
      <w:r>
        <w:t xml:space="preserve"> </w:t>
      </w:r>
      <w:r>
        <w:t xml:space="preserve">in the same module and apply it to the outstanding invoice.</w:t>
      </w:r>
    </w:p>
    <w:p>
      <w:pPr>
        <w:numPr>
          <w:ilvl w:val="0"/>
          <w:numId w:val="1004"/>
        </w:numPr>
        <w:pStyle w:val="Compact"/>
      </w:pPr>
      <w:r>
        <w:rPr>
          <w:bCs/>
          <w:b/>
        </w:rPr>
        <w:t xml:space="preserve">Reconcile Books.</w:t>
      </w:r>
      <w:r>
        <w:t xml:space="preserve"> </w:t>
      </w:r>
      <w:r>
        <w:t xml:space="preserve">At month end, export invoices and payments to your accounting software and reconcile bank statements. Report any discrepancies to the management company’s finance team.</w:t>
      </w:r>
    </w:p>
    <w:bookmarkEnd w:id="36"/>
    <w:bookmarkStart w:id="37" w:name="general-manager-gm"/>
    <w:p>
      <w:pPr>
        <w:pStyle w:val="Heading4"/>
      </w:pPr>
      <w:r>
        <w:t xml:space="preserve">General Manager (GM)</w:t>
      </w:r>
    </w:p>
    <w:p>
      <w:pPr>
        <w:numPr>
          <w:ilvl w:val="0"/>
          <w:numId w:val="1005"/>
        </w:numPr>
        <w:pStyle w:val="Compact"/>
      </w:pPr>
      <w:r>
        <w:rPr>
          <w:bCs/>
          <w:b/>
        </w:rPr>
        <w:t xml:space="preserve">Review Dashboards.</w:t>
      </w:r>
      <w:r>
        <w:t xml:space="preserve"> </w:t>
      </w:r>
      <w:r>
        <w:t xml:space="preserve">Open</w:t>
      </w:r>
      <w:r>
        <w:t xml:space="preserve"> </w:t>
      </w:r>
      <w:r>
        <w:rPr>
          <w:bCs/>
          <w:b/>
        </w:rPr>
        <w:t xml:space="preserve">Dashboards → KPI Dashboards</w:t>
      </w:r>
      <w:r>
        <w:t xml:space="preserve"> </w:t>
      </w:r>
      <w:r>
        <w:t xml:space="preserve">to view metrics across sales, delivery, support and finance. Look for trends in close rates, on‑time tasks, ticket resolution and cash collections.</w:t>
      </w:r>
    </w:p>
    <w:p>
      <w:pPr>
        <w:numPr>
          <w:ilvl w:val="0"/>
          <w:numId w:val="1005"/>
        </w:numPr>
        <w:pStyle w:val="Compact"/>
      </w:pPr>
      <w:r>
        <w:rPr>
          <w:bCs/>
          <w:b/>
        </w:rPr>
        <w:t xml:space="preserve">Run Weekly Meeting.</w:t>
      </w:r>
      <w:r>
        <w:t xml:space="preserve"> </w:t>
      </w:r>
      <w:r>
        <w:t xml:space="preserve">Generate a report of outstanding tasks and SLAs via the</w:t>
      </w:r>
      <w:r>
        <w:t xml:space="preserve"> </w:t>
      </w:r>
      <w:r>
        <w:rPr>
          <w:bCs/>
          <w:b/>
        </w:rPr>
        <w:t xml:space="preserve">Reporting</w:t>
      </w:r>
      <w:r>
        <w:t xml:space="preserve"> </w:t>
      </w:r>
      <w:r>
        <w:t xml:space="preserve">module. Hold a meeting with department heads, review backlog items and discuss blockers. Update due dates or reassign tasks as needed.</w:t>
      </w:r>
    </w:p>
    <w:p>
      <w:pPr>
        <w:numPr>
          <w:ilvl w:val="0"/>
          <w:numId w:val="1005"/>
        </w:numPr>
        <w:pStyle w:val="Compact"/>
      </w:pPr>
      <w:r>
        <w:rPr>
          <w:bCs/>
          <w:b/>
        </w:rPr>
        <w:t xml:space="preserve">Set New Objectives.</w:t>
      </w:r>
      <w:r>
        <w:t xml:space="preserve"> </w:t>
      </w:r>
      <w:r>
        <w:t xml:space="preserve">Create new projects or automation recipes when launching initiatives. Assign responsible roles and set deadlines.</w:t>
      </w:r>
    </w:p>
    <w:p>
      <w:pPr>
        <w:numPr>
          <w:ilvl w:val="0"/>
          <w:numId w:val="1005"/>
        </w:numPr>
        <w:pStyle w:val="Compact"/>
      </w:pPr>
      <w:r>
        <w:rPr>
          <w:bCs/>
          <w:b/>
        </w:rPr>
        <w:t xml:space="preserve">Escalate Risks.</w:t>
      </w:r>
      <w:r>
        <w:t xml:space="preserve"> </w:t>
      </w:r>
      <w:r>
        <w:t xml:space="preserve">Use the</w:t>
      </w:r>
      <w:r>
        <w:t xml:space="preserve"> </w:t>
      </w:r>
      <w:r>
        <w:rPr>
          <w:bCs/>
          <w:b/>
        </w:rPr>
        <w:t xml:space="preserve">Support Escalation</w:t>
      </w:r>
      <w:r>
        <w:t xml:space="preserve"> </w:t>
      </w:r>
      <w:r>
        <w:t xml:space="preserve">workflow when issues require senior attention. Document escalations and ensure resolution within agreed time frames.</w:t>
      </w:r>
    </w:p>
    <w:bookmarkEnd w:id="37"/>
    <w:bookmarkStart w:id="38" w:name="administrator"/>
    <w:p>
      <w:pPr>
        <w:pStyle w:val="Heading4"/>
      </w:pPr>
      <w:r>
        <w:t xml:space="preserve">Administrator</w:t>
      </w:r>
    </w:p>
    <w:p>
      <w:pPr>
        <w:numPr>
          <w:ilvl w:val="0"/>
          <w:numId w:val="1006"/>
        </w:numPr>
        <w:pStyle w:val="Compact"/>
      </w:pPr>
      <w:r>
        <w:rPr>
          <w:bCs/>
          <w:b/>
        </w:rPr>
        <w:t xml:space="preserve">User Provisioning.</w:t>
      </w:r>
      <w:r>
        <w:t xml:space="preserve"> </w:t>
      </w:r>
      <w:r>
        <w:t xml:space="preserve">Navigate to</w:t>
      </w:r>
      <w:r>
        <w:t xml:space="preserve"> </w:t>
      </w:r>
      <w:r>
        <w:rPr>
          <w:bCs/>
          <w:b/>
        </w:rPr>
        <w:t xml:space="preserve">CRM → Circles</w:t>
      </w:r>
      <w:r>
        <w:t xml:space="preserve"> </w:t>
      </w:r>
      <w:r>
        <w:t xml:space="preserve">(or</w:t>
      </w:r>
      <w:r>
        <w:t xml:space="preserve"> </w:t>
      </w:r>
      <w:r>
        <w:rPr>
          <w:bCs/>
          <w:b/>
        </w:rPr>
        <w:t xml:space="preserve">Portal Users</w:t>
      </w:r>
      <w:r>
        <w:t xml:space="preserve">), click</w:t>
      </w:r>
      <w:r>
        <w:t xml:space="preserve"> </w:t>
      </w:r>
      <w:r>
        <w:rPr>
          <w:bCs/>
          <w:b/>
        </w:rPr>
        <w:t xml:space="preserve">Add</w:t>
      </w:r>
      <w:r>
        <w:t xml:space="preserve">, enter user details, assign roles and Circles (groups). Send the invitation email.</w:t>
      </w:r>
    </w:p>
    <w:p>
      <w:pPr>
        <w:numPr>
          <w:ilvl w:val="0"/>
          <w:numId w:val="1006"/>
        </w:numPr>
        <w:pStyle w:val="Compact"/>
      </w:pPr>
      <w:r>
        <w:rPr>
          <w:bCs/>
          <w:b/>
        </w:rPr>
        <w:t xml:space="preserve">Role &amp; Permission Management.</w:t>
      </w:r>
      <w:r>
        <w:t xml:space="preserve"> </w:t>
      </w:r>
      <w:r>
        <w:t xml:space="preserve">Under</w:t>
      </w:r>
      <w:r>
        <w:t xml:space="preserve"> </w:t>
      </w:r>
      <w:r>
        <w:rPr>
          <w:bCs/>
          <w:b/>
        </w:rPr>
        <w:t xml:space="preserve">Settings → Roles &amp; Permissions</w:t>
      </w:r>
      <w:r>
        <w:t xml:space="preserve">, create or modify roles to grant appropriate access. Apply least‑privilege principles and review permissions quarterly.</w:t>
      </w:r>
    </w:p>
    <w:p>
      <w:pPr>
        <w:numPr>
          <w:ilvl w:val="0"/>
          <w:numId w:val="1006"/>
        </w:numPr>
        <w:pStyle w:val="Compact"/>
      </w:pPr>
      <w:r>
        <w:rPr>
          <w:bCs/>
          <w:b/>
        </w:rPr>
        <w:t xml:space="preserve">Security &amp; Backups.</w:t>
      </w:r>
      <w:r>
        <w:t xml:space="preserve"> </w:t>
      </w:r>
      <w:r>
        <w:t xml:space="preserve">Configure multifactor authentication for all users, enable IP restrictions if required, and schedule database backups. Review logs under</w:t>
      </w:r>
      <w:r>
        <w:t xml:space="preserve"> </w:t>
      </w:r>
      <w:r>
        <w:rPr>
          <w:bCs/>
          <w:b/>
        </w:rPr>
        <w:t xml:space="preserve">Security</w:t>
      </w:r>
      <w:r>
        <w:t xml:space="preserve"> </w:t>
      </w:r>
      <w:r>
        <w:t xml:space="preserve">to monitor suspicious activity.</w:t>
      </w:r>
    </w:p>
    <w:p>
      <w:pPr>
        <w:numPr>
          <w:ilvl w:val="0"/>
          <w:numId w:val="1006"/>
        </w:numPr>
        <w:pStyle w:val="Compact"/>
      </w:pPr>
      <w:r>
        <w:rPr>
          <w:bCs/>
          <w:b/>
        </w:rPr>
        <w:t xml:space="preserve">Compliance Audits.</w:t>
      </w:r>
      <w:r>
        <w:t xml:space="preserve"> </w:t>
      </w:r>
      <w:r>
        <w:t xml:space="preserve">Use the</w:t>
      </w:r>
      <w:r>
        <w:t xml:space="preserve"> </w:t>
      </w:r>
      <w:r>
        <w:rPr>
          <w:bCs/>
          <w:b/>
        </w:rPr>
        <w:t xml:space="preserve">Maintenance Checks</w:t>
      </w:r>
      <w:r>
        <w:t xml:space="preserve"> </w:t>
      </w:r>
      <w:r>
        <w:t xml:space="preserve">workbook to perform monthly audits (fields, pipelines, automations, security assignments). Address any issues found and document completion.</w:t>
      </w:r>
    </w:p>
    <w:bookmarkEnd w:id="38"/>
    <w:bookmarkEnd w:id="39"/>
    <w:bookmarkStart w:id="40" w:name="X662cd518eef90e019bbd1f6d97ef293f46edb78"/>
    <w:p>
      <w:pPr>
        <w:pStyle w:val="Heading3"/>
      </w:pPr>
      <w:r>
        <w:t xml:space="preserve">Appendix H – 100‑Day Integration Timeline (Narrative)</w:t>
      </w:r>
    </w:p>
    <w:p>
      <w:pPr>
        <w:pStyle w:val="FirstParagraph"/>
      </w:pPr>
      <w:r>
        <w:t xml:space="preserve">The 100‑day integration plan is divided into weekly milestones. A visual Gantt chart accompanies this appendix. Below is a narrative description:</w:t>
      </w:r>
    </w:p>
    <w:p>
      <w:pPr>
        <w:numPr>
          <w:ilvl w:val="0"/>
          <w:numId w:val="1007"/>
        </w:numPr>
        <w:pStyle w:val="Compact"/>
      </w:pPr>
      <w:r>
        <w:rPr>
          <w:bCs/>
          <w:b/>
        </w:rPr>
        <w:t xml:space="preserve">Week 1 – Stabilisation:</w:t>
      </w:r>
      <w:r>
        <w:t xml:space="preserve"> </w:t>
      </w:r>
      <w:r>
        <w:t xml:space="preserve">Issue introductory communications to employees and customers announcing the acquisition. Review payroll, benefits and insurance policies to ensure continuity. Transfer utility accounts and lease agreements to the appropriate entities. Schedule</w:t>
      </w:r>
      <w:r>
        <w:t xml:space="preserve"> </w:t>
      </w:r>
      <w:r>
        <w:t xml:space="preserve">“</w:t>
      </w:r>
      <w:r>
        <w:t xml:space="preserve">all hands</w:t>
      </w:r>
      <w:r>
        <w:t xml:space="preserve">”</w:t>
      </w:r>
      <w:r>
        <w:t xml:space="preserve"> </w:t>
      </w:r>
      <w:r>
        <w:t xml:space="preserve">meetings to align everyone on the integration timeline and assign interim leadership roles.</w:t>
      </w:r>
    </w:p>
    <w:p>
      <w:pPr>
        <w:numPr>
          <w:ilvl w:val="0"/>
          <w:numId w:val="1007"/>
        </w:numPr>
        <w:pStyle w:val="Compact"/>
      </w:pPr>
      <w:r>
        <w:rPr>
          <w:bCs/>
          <w:b/>
        </w:rPr>
        <w:t xml:space="preserve">Weeks 2–3 – Portal Setup &amp; Data Migration:</w:t>
      </w:r>
      <w:r>
        <w:t xml:space="preserve"> </w:t>
      </w:r>
      <w:r>
        <w:t xml:space="preserve">Configure the SuiteDash portal, import contact and deal data, and build out project templates. Migrate historical documents and invoices. Create new email addresses and unify branding across digital channels. Ensure all employees are added to Circles with proper roles and permissions.</w:t>
      </w:r>
    </w:p>
    <w:p>
      <w:pPr>
        <w:numPr>
          <w:ilvl w:val="0"/>
          <w:numId w:val="1007"/>
        </w:numPr>
        <w:pStyle w:val="Compact"/>
      </w:pPr>
      <w:r>
        <w:rPr>
          <w:bCs/>
          <w:b/>
        </w:rPr>
        <w:t xml:space="preserve">Weeks 4–5 – Brand &amp; Pricing Harmonisation:</w:t>
      </w:r>
      <w:r>
        <w:t xml:space="preserve"> </w:t>
      </w:r>
      <w:r>
        <w:t xml:space="preserve">Engage ToriMedia to update logos, websites and marketing collateral. Conduct market research to determine standard pricing for services and adjust the acquired company’s rates accordingly. Publish updated MSAs and service schedules to clients and negotiate renewals if necessary.</w:t>
      </w:r>
    </w:p>
    <w:p>
      <w:pPr>
        <w:numPr>
          <w:ilvl w:val="0"/>
          <w:numId w:val="1007"/>
        </w:numPr>
        <w:pStyle w:val="Compact"/>
      </w:pPr>
      <w:r>
        <w:rPr>
          <w:bCs/>
          <w:b/>
        </w:rPr>
        <w:t xml:space="preserve">Weeks 6–8 – Process &amp; Staff Alignment:</w:t>
      </w:r>
      <w:r>
        <w:t xml:space="preserve"> </w:t>
      </w:r>
      <w:r>
        <w:t xml:space="preserve">Map out current processes and compare them to the BOS workflows. Train staff on the new processes using the click‑path guides. Reassign roles to align with RACI structures. Introduce performance incentives linked to KPIs (e.g. on‑time delivery, customer satisfaction).</w:t>
      </w:r>
    </w:p>
    <w:p>
      <w:pPr>
        <w:numPr>
          <w:ilvl w:val="0"/>
          <w:numId w:val="1007"/>
        </w:numPr>
        <w:pStyle w:val="Compact"/>
      </w:pPr>
      <w:r>
        <w:rPr>
          <w:bCs/>
          <w:b/>
        </w:rPr>
        <w:t xml:space="preserve">Weeks 9–10 – Legal &amp; Financial Integration:</w:t>
      </w:r>
      <w:r>
        <w:t xml:space="preserve"> </w:t>
      </w:r>
      <w:r>
        <w:t xml:space="preserve">Finalise lease agreements between PropCo and OpCo entities. Execute intercompany loan agreements if working capital is needed. Consolidate bank accounts into the treasury structure and implement cash‑management policies. Transition payroll to the management company.</w:t>
      </w:r>
    </w:p>
    <w:p>
      <w:pPr>
        <w:numPr>
          <w:ilvl w:val="0"/>
          <w:numId w:val="1007"/>
        </w:numPr>
        <w:pStyle w:val="Compact"/>
      </w:pPr>
      <w:r>
        <w:rPr>
          <w:bCs/>
          <w:b/>
        </w:rPr>
        <w:t xml:space="preserve">Weeks 11–12 – Automation &amp; Reporting:</w:t>
      </w:r>
      <w:r>
        <w:t xml:space="preserve"> </w:t>
      </w:r>
      <w:r>
        <w:t xml:space="preserve">Build external automations (n8n/Activepieces) for recurring tasks such as follow‑ups, reminders and reporting. Configure dashboards for financial, operational and marketing metrics. Conduct a mid‑integration audit to ensure data integrity and compliance.</w:t>
      </w:r>
    </w:p>
    <w:p>
      <w:pPr>
        <w:numPr>
          <w:ilvl w:val="0"/>
          <w:numId w:val="1007"/>
        </w:numPr>
        <w:pStyle w:val="Compact"/>
      </w:pPr>
      <w:r>
        <w:rPr>
          <w:bCs/>
          <w:b/>
        </w:rPr>
        <w:t xml:space="preserve">Weeks 13–14 – Post‑Integration Audit:</w:t>
      </w:r>
      <w:r>
        <w:t xml:space="preserve"> </w:t>
      </w:r>
      <w:r>
        <w:t xml:space="preserve">Hold a final review with department heads to assess progress against integration KPIs. Collect feedback from employees and clients. Finalise any outstanding tasks and prepare a lessons‑learned report. Plan the next acquisition based on insights gained.</w:t>
      </w:r>
    </w:p>
    <w:bookmarkEnd w:id="40"/>
    <w:bookmarkStart w:id="41" w:name="appendix-i-compliance-calendar-excerpt"/>
    <w:p>
      <w:pPr>
        <w:pStyle w:val="Heading3"/>
      </w:pPr>
      <w:r>
        <w:t xml:space="preserve">Appendix I – Compliance Calendar (Excerpt)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Frequency</w:t>
            </w:r>
          </w:p>
        </w:tc>
        <w:tc>
          <w:tcPr/>
          <w:p>
            <w:pPr>
              <w:pStyle w:val="Compact"/>
              <w:jc w:val="left"/>
            </w:pPr>
            <w:r>
              <w:t xml:space="preserve">Responsibility</w:t>
            </w:r>
          </w:p>
        </w:tc>
        <w:tc>
          <w:tcPr/>
          <w:p>
            <w:pPr>
              <w:pStyle w:val="Compact"/>
              <w:jc w:val="left"/>
            </w:pPr>
            <w:r>
              <w:t xml:space="preserve">Activity</w:t>
            </w:r>
          </w:p>
        </w:tc>
      </w:tr>
      <w:tr>
        <w:tc>
          <w:tcPr/>
          <w:p>
            <w:pPr>
              <w:pStyle w:val="Compact"/>
              <w:jc w:val="left"/>
            </w:pPr>
            <w:r>
              <w:t xml:space="preserve">Monthly</w:t>
            </w:r>
          </w:p>
        </w:tc>
        <w:tc>
          <w:tcPr/>
          <w:p>
            <w:pPr>
              <w:pStyle w:val="Compact"/>
              <w:jc w:val="left"/>
            </w:pPr>
            <w:r>
              <w:t xml:space="preserve">Finance Clerk</w:t>
            </w:r>
          </w:p>
        </w:tc>
        <w:tc>
          <w:tcPr/>
          <w:p>
            <w:pPr>
              <w:pStyle w:val="Compact"/>
              <w:jc w:val="left"/>
            </w:pPr>
            <w:r>
              <w:t xml:space="preserve">Close books for each entity, reconcile bank statements, file sales tax returns, perform SuiteDash maintenance checks</w:t>
            </w:r>
          </w:p>
        </w:tc>
      </w:tr>
      <w:tr>
        <w:tc>
          <w:tcPr/>
          <w:p>
            <w:pPr>
              <w:pStyle w:val="Compact"/>
              <w:jc w:val="left"/>
            </w:pPr>
            <w:r>
              <w:t xml:space="preserve">Quarterly</w:t>
            </w:r>
          </w:p>
        </w:tc>
        <w:tc>
          <w:tcPr/>
          <w:p>
            <w:pPr>
              <w:pStyle w:val="Compact"/>
              <w:jc w:val="left"/>
            </w:pPr>
            <w:r>
              <w:t xml:space="preserve">General Manager</w:t>
            </w:r>
          </w:p>
        </w:tc>
        <w:tc>
          <w:tcPr/>
          <w:p>
            <w:pPr>
              <w:pStyle w:val="Compact"/>
              <w:jc w:val="left"/>
            </w:pPr>
            <w:r>
              <w:t xml:space="preserve">Review KPIs, hold board meetings, update RACI and data dictionaries, file estimated tax payments</w:t>
            </w:r>
          </w:p>
        </w:tc>
      </w:tr>
      <w:tr>
        <w:tc>
          <w:tcPr/>
          <w:p>
            <w:pPr>
              <w:pStyle w:val="Compact"/>
              <w:jc w:val="left"/>
            </w:pPr>
            <w:r>
              <w:t xml:space="preserve">Annually</w:t>
            </w:r>
          </w:p>
        </w:tc>
        <w:tc>
          <w:tcPr/>
          <w:p>
            <w:pPr>
              <w:pStyle w:val="Compact"/>
              <w:jc w:val="left"/>
            </w:pPr>
            <w:r>
              <w:t xml:space="preserve">Administrator</w:t>
            </w:r>
          </w:p>
        </w:tc>
        <w:tc>
          <w:tcPr/>
          <w:p>
            <w:pPr>
              <w:pStyle w:val="Compact"/>
              <w:jc w:val="left"/>
            </w:pPr>
            <w:r>
              <w:t xml:space="preserve">Renew business licences, file annual reports in Wyoming/Delaware, renew registered agent services, review insurance coverages</w:t>
            </w:r>
          </w:p>
        </w:tc>
      </w:tr>
      <w:tr>
        <w:tc>
          <w:tcPr/>
          <w:p>
            <w:pPr>
              <w:pStyle w:val="Compact"/>
              <w:jc w:val="left"/>
            </w:pPr>
            <w:r>
              <w:t xml:space="preserve">As Required</w:t>
            </w:r>
          </w:p>
        </w:tc>
        <w:tc>
          <w:tcPr/>
          <w:p>
            <w:pPr>
              <w:pStyle w:val="Compact"/>
              <w:jc w:val="left"/>
            </w:pPr>
            <w:r>
              <w:t xml:space="preserve">CPA/Attorney</w:t>
            </w:r>
          </w:p>
        </w:tc>
        <w:tc>
          <w:tcPr/>
          <w:p>
            <w:pPr>
              <w:pStyle w:val="Compact"/>
              <w:jc w:val="left"/>
            </w:pPr>
            <w:r>
              <w:t xml:space="preserve">File Form 1023 for foundation (once), Form 990 for foundation (annual), Form 5500 for Solo 401(k) (when assets &gt; $250k), trust tax returns, ILIT Crummey notices</w:t>
            </w:r>
          </w:p>
        </w:tc>
      </w:tr>
    </w:tbl>
    <w:p>
      <w:r>
        <w:pict>
          <v:rect style="width:0;height:1.5pt" o:hralign="center" o:hrstd="t" o:hr="t"/>
        </w:pict>
      </w:r>
    </w:p>
    <w:p>
      <w:pPr>
        <w:pStyle w:val="FirstParagraph"/>
      </w:pPr>
      <w:r>
        <w:t xml:space="preserve">This manual is a living document. As your organisation evolves, update the data dictionary, click‑path guides, integration timelines and agreement templates to reflect new processes and regulatory requirements. Always consult your legal and tax advisors before implementing structural changes.</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2025-09-07T13:23:34Z</dcterms:created>
  <dcterms:modified xsi:type="dcterms:W3CDTF">2025-09-07T13:23:34Z</dcterms:modified>
</cp:coreProperties>
</file>

<file path=docProps/custom.xml><?xml version="1.0" encoding="utf-8"?>
<Properties xmlns="http://schemas.openxmlformats.org/officeDocument/2006/custom-properties" xmlns:vt="http://schemas.openxmlformats.org/officeDocument/2006/docPropsVTypes"/>
</file>