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>Шершиков Филипп Антонович · ЭУ-121</w:t>
      </w:r>
    </w:p>
    <w:p>
      <w:pPr>
        <w:keepNext/>
        <w:spacing w:after="2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ПРАКТИЧЕСКАЯ РАБОТА № 5</w:t>
      </w:r>
    </w:p>
    <w:p>
      <w:pPr>
        <w:keepNext/>
        <w:spacing w:after="22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РАБОТА С ГРАФИЧЕСКИМИ ЭЛЕМЕНТАМИ</w:t>
      </w:r>
    </w:p>
    <w:p>
      <w:pPr>
        <w:keepNext/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1 Работа с готовыми изображениями</w:t>
      </w:r>
    </w:p>
    <w:p>
      <w:pPr>
        <w:keepNext/>
        <w:spacing w:before="140" w:after="80"/>
        <w:ind w:firstLine="0"/>
      </w:pPr>
      <w:r>
        <w:rPr>
          <w:rFonts w:ascii="Times New Roman" w:hAnsi="Times New Roman" w:eastAsia="Times New Roman" w:cs="Times New Roman"/>
          <w:b/>
          <w:color w:val="214265"/>
          <w:sz w:val="24"/>
        </w:rPr>
        <w:t>1-й абзац — вокруг рамки</w:t>
      </w:r>
    </w:p>
    <w:p>
      <w:pPr>
        <w:spacing w:after="280"/>
        <w:ind w:firstLine="0"/>
      </w:pPr>
      <w:r>
        <w:drawing>
          <wp:anchor distT="35000" distB="35000" distL="50000" distR="50000" simplePos="0" relativeHeight="251658240" behindDoc="0" locked="0" layoutInCell="1" allowOverlap="1">
            <wp:simplePos x="0" y="0"/>
            <wp:positionH relativeFrom="column">
              <wp:posOffset>36000</wp:posOffset>
            </wp:positionH>
            <wp:positionV relativeFrom="paragraph">
              <wp:posOffset>0</wp:posOffset>
            </wp:positionV>
            <wp:extent cx="1908000" cy="127800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_meeting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8000" cy="12780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0"/>
          <w:sz w:val="26"/>
        </w:rPr>
        <w:t>Деловое общение — вид общения, цель которого лежит за пределами процесса общения и которое подчинено решению определенной задачи (производственной, научной, коммерческой и т. д.) исходя из общих интересов и целей коммуникантов. Деловое общение — это коммуникативная предметно-целевая и по преимуществу профессиональная деятельность в сфере социально-правовых и экономических отношений. Особенности делового общения: партнер в деловом общении всегда выступает как личность, значимая для субъекта; общающихся людей отличает хорошее взаимопонимание в вопросах дела; основная задача делового общения — продуктивное сотрудничество.</w:t>
      </w:r>
    </w:p>
    <w:p>
      <w:pPr>
        <w:spacing w:after="180"/>
      </w:pPr>
    </w:p>
    <w:p>
      <w:pPr>
        <w:keepNext/>
        <w:spacing w:before="140" w:after="80"/>
        <w:ind w:firstLine="0"/>
      </w:pPr>
      <w:r>
        <w:rPr>
          <w:rFonts w:ascii="Times New Roman" w:hAnsi="Times New Roman" w:eastAsia="Times New Roman" w:cs="Times New Roman"/>
          <w:b/>
          <w:color w:val="214265"/>
          <w:sz w:val="24"/>
        </w:rPr>
        <w:t>2-й абзац — перед текстом</w:t>
      </w:r>
    </w:p>
    <w:p>
      <w:pPr>
        <w:spacing w:after="200"/>
        <w:ind w:firstLine="0"/>
      </w:pPr>
      <w:r>
        <w:drawing>
          <wp:anchor distT="35000" distB="35000" distL="50000" distR="50000" simplePos="0" relativeHeight="251658240" behindDoc="0" locked="0" layoutInCell="1" allowOverlap="1">
            <wp:simplePos x="0" y="0"/>
            <wp:positionH relativeFrom="column">
              <wp:posOffset>4248000</wp:posOffset>
            </wp:positionH>
            <wp:positionV relativeFrom="paragraph">
              <wp:posOffset>198000</wp:posOffset>
            </wp:positionV>
            <wp:extent cx="1512000" cy="102600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_meeting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260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0"/>
          <w:sz w:val="26"/>
        </w:rPr>
        <w:t>Деловое общение — вид общения, цель которого лежит за пределами процесса общения и которое подчинено решению определенной задачи (производственной, научной, коммерческой и т. д.) исходя из общих интересов и целей коммуникантов. Деловое общение — это коммуникативная предметно-целевая и по преимуществу профессиональная деятельность в сфере социально-правовых и экономических отношений. Особенности делового общения: партнер в деловом общении всегда выступает как личность, значимая для субъекта; общающихся людей отличает хорошее взаимопонимание в вопросах дела; основная задача делового общения — продуктивное сотрудничество.</w:t>
      </w:r>
    </w:p>
    <w:p>
      <w:pPr>
        <w:keepNext/>
        <w:pageBreakBefore/>
        <w:spacing w:before="140" w:after="80"/>
        <w:ind w:firstLine="0"/>
      </w:pPr>
      <w:r>
        <w:rPr>
          <w:rFonts w:ascii="Times New Roman" w:hAnsi="Times New Roman" w:eastAsia="Times New Roman" w:cs="Times New Roman"/>
          <w:b/>
          <w:color w:val="214265"/>
          <w:sz w:val="24"/>
        </w:rPr>
        <w:t>3-й абзац — за текстом</w:t>
      </w:r>
    </w:p>
    <w:p>
      <w:pPr>
        <w:spacing w:after="260"/>
        <w:ind w:firstLine="0"/>
      </w:pPr>
      <w:r>
        <w:drawing>
          <wp:anchor distT="35000" distB="35000" distL="50000" distR="50000" simplePos="0" relativeHeight="251658240" behindDoc="1" locked="0" layoutInCell="1" allowOverlap="1">
            <wp:simplePos x="0" y="0"/>
            <wp:positionH relativeFrom="column">
              <wp:posOffset>2160000</wp:posOffset>
            </wp:positionH>
            <wp:positionV relativeFrom="paragraph">
              <wp:posOffset>180000</wp:posOffset>
            </wp:positionV>
            <wp:extent cx="1584000" cy="108000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_meeting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800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0"/>
          <w:sz w:val="26"/>
        </w:rPr>
        <w:t>Деловое общение — вид общения, цель которого лежит за пределами процесса общения и которое подчинено решению определенной задачи (производственной, научной, коммерческой и т. д.) исходя из общих интересов и целей коммуникантов. Деловое общение — это коммуникативная предметно-целевая и по преимуществу профессиональная деятельность в сфере социально-правовых и экономических отношений. Особенности делового общения: партнер в деловом общении всегда выступает как личность, значимая для субъекта; общающихся людей отличает хорошее взаимопонимание в вопросах дела; основная задача делового общения — продуктивное сотрудничество.</w:t>
      </w:r>
    </w:p>
    <w:p>
      <w:pPr>
        <w:spacing w:after="120"/>
      </w:pPr>
    </w:p>
    <w:p>
      <w:pPr>
        <w:keepNext/>
        <w:spacing w:before="140" w:after="80"/>
        <w:ind w:firstLine="0"/>
      </w:pPr>
      <w:r>
        <w:rPr>
          <w:rFonts w:ascii="Times New Roman" w:hAnsi="Times New Roman" w:eastAsia="Times New Roman" w:cs="Times New Roman"/>
          <w:b/>
          <w:color w:val="214265"/>
          <w:sz w:val="24"/>
        </w:rPr>
        <w:t>4-й абзац — сверху и снизу</w:t>
      </w:r>
    </w:p>
    <w:p>
      <w:pPr>
        <w:spacing w:after="200"/>
        <w:ind w:firstLine="0"/>
      </w:pPr>
      <w:r>
        <w:drawing>
          <wp:anchor distT="35000" distB="35000" distL="50000" distR="50000" simplePos="0" relativeHeight="251658240" behindDoc="0" locked="0" layoutInCell="1" allowOverlap="1">
            <wp:simplePos x="0" y="0"/>
            <wp:positionH relativeFrom="column">
              <wp:posOffset>1800000</wp:posOffset>
            </wp:positionH>
            <wp:positionV relativeFrom="paragraph">
              <wp:posOffset>0</wp:posOffset>
            </wp:positionV>
            <wp:extent cx="1980000" cy="131400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_meeting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3140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0"/>
          <w:sz w:val="26"/>
        </w:rPr>
        <w:t>Деловое общение — вид общения, цель которого лежит за пределами процесса общения и которое подчинено решению определенной задачи (производственной, научной, коммерческой и т. д.) исходя из общих интересов и целей коммуникантов. Деловое общение — это коммуникативная предметно-целевая и по преимуществу профессиональная деятельность в сфере социально-правовых и экономических отношений. Особенности делового общения: партнер в деловом общении всегда выступает как личность, значимая для субъекта; общающихся людей отличает хорошее взаимопонимание в вопросах дела; основная задача делового общения — продуктивное сотрудничество.</w:t>
      </w:r>
    </w:p>
    <w:p>
      <w:pPr>
        <w:spacing w:after="120"/>
      </w:pPr>
    </w:p>
    <w:p>
      <w:pPr>
        <w:keepNext/>
        <w:spacing w:before="140" w:after="80"/>
        <w:ind w:firstLine="0"/>
      </w:pPr>
      <w:r>
        <w:rPr>
          <w:rFonts w:ascii="Times New Roman" w:hAnsi="Times New Roman" w:eastAsia="Times New Roman" w:cs="Times New Roman"/>
          <w:b/>
          <w:color w:val="214265"/>
          <w:sz w:val="24"/>
        </w:rPr>
        <w:t>5-й абзац — в тексте</w:t>
      </w:r>
    </w:p>
    <w:p>
      <w:pPr>
        <w:spacing w:after="200"/>
        <w:ind w:firstLine="0"/>
      </w:pPr>
      <w:r>
        <w:rPr>
          <w:rFonts w:ascii="Times New Roman" w:hAnsi="Times New Roman" w:eastAsia="Times New Roman" w:cs="Times New Roman"/>
          <w:b w:val="0"/>
          <w:sz w:val="26"/>
        </w:rPr>
        <w:t>Деловое общение — вид общения, цель которого лежит за пределами процесса общения и которое подчинено решению определенной задачи (производственной, научной, коммерческой и т. д.) исходя из общих интересов и целей коммуникантов. Деловое общение —</w:t>
      </w:r>
      <w:r>
        <w:drawing>
          <wp:inline xmlns:a="http://schemas.openxmlformats.org/drawingml/2006/main" xmlns:pic="http://schemas.openxmlformats.org/drawingml/2006/picture">
            <wp:extent cx="1548000" cy="104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eting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04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b w:val="0"/>
          <w:sz w:val="26"/>
        </w:rPr>
        <w:t xml:space="preserve"> это коммуникативная предметно-целевая и по преимуществу профессиональная деятельность в сфере социально-правовых и экономических отношений. Особенности делового общения: партнер в деловом общении всегда выступает как личность, значимая для субъекта; общающихся людей отличает хорошее взаимопонимание в вопросах дела; основная задача делового общения — продуктивное сотрудничество.</w:t>
      </w:r>
    </w:p>
    <w:p>
      <w:pPr>
        <w:keepNext/>
        <w:pageBreakBefore/>
        <w:spacing w:after="50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2 Вставка символов</w:t>
      </w:r>
    </w:p>
    <w:p>
      <w:pPr>
        <w:spacing w:after="480"/>
        <w:ind w:firstLine="0"/>
        <w:jc w:val="center"/>
        <w:pBdr>
          <w:top w:val="double" w:sz="14" w:color="222222" w:space="8"/>
          <w:bottom w:val="double" w:sz="14" w:color="222222" w:space="8"/>
        </w:pBdr>
      </w:pPr>
      <w:r>
        <w:rPr>
          <w:rFonts w:ascii="Times New Roman" w:hAnsi="Times New Roman" w:eastAsia="Times New Roman" w:cs="Times New Roman"/>
          <w:b/>
          <w:sz w:val="38"/>
        </w:rPr>
        <w:t>⚒  СТРОИМ НА ВЕКА  ⚒</w:t>
      </w:r>
    </w:p>
    <w:p>
      <w:pPr>
        <w:spacing w:after="340"/>
        <w:ind w:left="1871" w:firstLine="0"/>
      </w:pPr>
      <w:r>
        <w:rPr>
          <w:rFonts w:ascii="Noto Sans Symbols 2" w:hAnsi="Noto Sans Symbols 2" w:eastAsia="Noto Sans Symbols 2" w:cs="Noto Sans Symbols 2"/>
          <w:b w:val="0"/>
          <w:color w:val="1E6888"/>
          <w:sz w:val="28"/>
        </w:rPr>
        <w:t xml:space="preserve">☞  </w:t>
      </w:r>
      <w:r>
        <w:rPr>
          <w:vanish/>
        </w:rPr>
        <w:sym w:font="Wingdings" w:char="F046"/>
      </w:r>
      <w:r>
        <w:rPr>
          <w:rFonts w:ascii="Times New Roman" w:hAnsi="Times New Roman" w:eastAsia="Times New Roman" w:cs="Times New Roman"/>
          <w:b w:val="0"/>
          <w:sz w:val="28"/>
        </w:rPr>
        <w:t>Впервые на рынке</w:t>
      </w:r>
    </w:p>
    <w:p>
      <w:pPr>
        <w:spacing w:after="340"/>
        <w:ind w:left="1871" w:firstLine="0"/>
      </w:pPr>
      <w:r>
        <w:rPr>
          <w:rFonts w:ascii="Noto Sans Symbols 2" w:hAnsi="Noto Sans Symbols 2" w:eastAsia="Noto Sans Symbols 2" w:cs="Noto Sans Symbols 2"/>
          <w:b w:val="0"/>
          <w:color w:val="1E6888"/>
          <w:sz w:val="28"/>
        </w:rPr>
        <w:t xml:space="preserve">⌂  </w:t>
      </w:r>
      <w:r>
        <w:rPr>
          <w:vanish/>
        </w:rPr>
        <w:sym w:font="Webdings" w:char="F048"/>
      </w:r>
      <w:r>
        <w:rPr>
          <w:rFonts w:ascii="Times New Roman" w:hAnsi="Times New Roman" w:eastAsia="Times New Roman" w:cs="Times New Roman"/>
          <w:b w:val="0"/>
          <w:sz w:val="28"/>
        </w:rPr>
        <w:t>3 спальни</w:t>
      </w:r>
    </w:p>
    <w:p>
      <w:pPr>
        <w:spacing w:after="340"/>
        <w:ind w:left="1871" w:firstLine="0"/>
      </w:pPr>
      <w:r>
        <w:rPr>
          <w:rFonts w:ascii="Noto Sans Symbols 2" w:hAnsi="Noto Sans Symbols 2" w:eastAsia="Noto Sans Symbols 2" w:cs="Noto Sans Symbols 2"/>
          <w:b w:val="0"/>
          <w:color w:val="1E6888"/>
          <w:sz w:val="28"/>
        </w:rPr>
        <w:t xml:space="preserve">▣  </w:t>
      </w:r>
      <w:r>
        <w:rPr>
          <w:vanish/>
        </w:rPr>
        <w:sym w:font="Wingdings" w:char="F06E"/>
      </w:r>
      <w:r>
        <w:rPr>
          <w:rFonts w:ascii="Times New Roman" w:hAnsi="Times New Roman" w:eastAsia="Times New Roman" w:cs="Times New Roman"/>
          <w:b w:val="0"/>
          <w:sz w:val="28"/>
        </w:rPr>
        <w:t>Отдельный гараж</w:t>
      </w:r>
    </w:p>
    <w:p>
      <w:pPr>
        <w:spacing w:after="340"/>
        <w:ind w:left="1871" w:firstLine="0"/>
      </w:pPr>
      <w:r>
        <w:rPr>
          <w:rFonts w:ascii="Noto Sans Symbols 2" w:hAnsi="Noto Sans Symbols 2" w:eastAsia="Noto Sans Symbols 2" w:cs="Noto Sans Symbols 2"/>
          <w:b w:val="0"/>
          <w:color w:val="1E6888"/>
          <w:sz w:val="28"/>
        </w:rPr>
        <w:t xml:space="preserve">♣  </w:t>
      </w:r>
      <w:r>
        <w:rPr>
          <w:vanish/>
        </w:rPr>
        <w:sym w:font="Wingdings" w:char="F06A"/>
      </w:r>
      <w:r>
        <w:rPr>
          <w:rFonts w:ascii="Times New Roman" w:hAnsi="Times New Roman" w:eastAsia="Times New Roman" w:cs="Times New Roman"/>
          <w:b w:val="0"/>
          <w:sz w:val="28"/>
        </w:rPr>
        <w:t>Вид на холмы и леса</w:t>
      </w:r>
    </w:p>
    <w:p>
      <w:pPr>
        <w:spacing w:after="340"/>
        <w:ind w:left="1871" w:firstLine="0"/>
      </w:pPr>
      <w:r>
        <w:rPr>
          <w:rFonts w:ascii="Noto Sans Symbols 2" w:hAnsi="Noto Sans Symbols 2" w:eastAsia="Noto Sans Symbols 2" w:cs="Noto Sans Symbols 2"/>
          <w:b w:val="0"/>
          <w:color w:val="1E6888"/>
          <w:sz w:val="28"/>
        </w:rPr>
        <w:t xml:space="preserve">♜  </w:t>
      </w:r>
      <w:r>
        <w:rPr>
          <w:vanish/>
        </w:rPr>
        <w:sym w:font="Webdings" w:char="F064"/>
      </w:r>
      <w:r>
        <w:rPr>
          <w:rFonts w:ascii="Times New Roman" w:hAnsi="Times New Roman" w:eastAsia="Times New Roman" w:cs="Times New Roman"/>
          <w:b w:val="0"/>
          <w:sz w:val="28"/>
        </w:rPr>
        <w:t>Неподалеку школа</w:t>
      </w:r>
    </w:p>
    <w:p>
      <w:pPr>
        <w:spacing w:before="44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AC362E"/>
          <w:sz w:val="32"/>
        </w:rPr>
        <w:t>Желаете посмотреть?</w:t>
      </w:r>
    </w:p>
    <w:p>
      <w:pPr>
        <w:spacing w:after="120"/>
        <w:ind w:left="1871" w:firstLine="0"/>
      </w:pPr>
      <w:r>
        <w:rPr>
          <w:rFonts w:ascii="Times New Roman" w:hAnsi="Times New Roman" w:eastAsia="Times New Roman" w:cs="Times New Roman"/>
          <w:b w:val="0"/>
          <w:sz w:val="26"/>
        </w:rPr>
        <w:t>◷  Понедельник – пятница с 10:00 до 17:00</w:t>
      </w:r>
    </w:p>
    <w:p>
      <w:pPr>
        <w:spacing w:after="120"/>
        <w:ind w:left="1871" w:firstLine="0"/>
      </w:pPr>
      <w:r>
        <w:rPr>
          <w:rFonts w:ascii="Times New Roman" w:hAnsi="Times New Roman" w:eastAsia="Times New Roman" w:cs="Times New Roman"/>
          <w:b w:val="0"/>
          <w:sz w:val="26"/>
        </w:rPr>
        <w:t>◷  Суббота с 13:00 до 17:00</w:t>
      </w:r>
    </w:p>
    <w:p>
      <w:pPr>
        <w:spacing w:before="50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Справки по телефону  ☎  555-7777</w:t>
      </w:r>
    </w:p>
    <w:p>
      <w:pPr>
        <w:keepNext/>
        <w:pageBreakBefore/>
        <w:spacing w:after="2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3 Использование примитивов для создания рисунка</w:t>
      </w:r>
    </w:p>
    <w:p>
      <w:pPr>
        <w:ind w:firstLine="397"/>
      </w:pPr>
      <w:r>
        <w:t>График сетевого планирования работ построен из фигур и соединительных линий Word.</w:t>
      </w:r>
    </w:p>
    <w:p>
      <w:pPr>
        <w:spacing w:before="120" w:after="3680"/>
        <w:ind w:firstLine="0"/>
        <w:jc w:val="center"/>
      </w:pPr>
      <w:r>
        <w:pict>
          <v:group id="network_editable_19" style="position:relative;width:450pt;height:181pt" coordorigin="0,0" coordsize="450,181">
            <v:line id="edge0" from="31.914494646760993pt,80.59150454008878pt" to="90.32285191887277pt,31.055302802981316pt" strokecolor="#202831" strokeweight="1.1pt"/>
            <v:line id="edge0a" from="86.22672720746021pt,38.593987194077386pt" to="90.32285191887277pt,31.055302802981316pt" strokecolor="#202831" strokeweight="1.1pt"/>
            <v:line id="edge0b" from="82.21652168042564pt,33.86553590100675pt" to="90.32285191887277pt,31.055302802981316pt" strokecolor="#202831" strokeweight="1.1pt"/>
            <v:line id="edge1" from="35.0pt,89.0pt" to="87.0pt,89.0pt" strokecolor="#202831" strokeweight="1.1pt"/>
            <v:line id="edge1a" from="79.0pt,92.1pt" to="87.0pt,89.0pt" strokecolor="#202831" strokeweight="1.1pt"/>
            <v:line id="edge1b" from="79.0pt,85.9pt" to="87.0pt,89.0pt" strokecolor="#202831" strokeweight="1.1pt"/>
            <v:line id="edge2" from="114.0pt,22.0pt" to="170.0pt,22.0pt" strokecolor="#202831" strokeweight="1.1pt"/>
            <v:line id="edge2a" from="162.0pt,25.1pt" to="170.0pt,22.0pt" strokecolor="#202831" strokeweight="1.1pt"/>
            <v:line id="edge2b" from="162.0pt,18.9pt" to="170.0pt,22.0pt" strokecolor="#202831" strokeweight="1.1pt"/>
            <v:line id="edge3" from="197.0pt,22.0pt" to="257.0pt,22.0pt" strokecolor="#202831" strokeweight="1.1pt"/>
            <v:line id="edge3a" from="249.0pt,25.1pt" to="257.0pt,22.0pt" strokecolor="#202831" strokeweight="1.1pt"/>
            <v:line id="edge3b" from="249.0pt,18.9pt" to="257.0pt,22.0pt" strokecolor="#202831" strokeweight="1.1pt"/>
            <v:line id="edge4" from="114.0pt,89.0pt" to="170.0pt,89.0pt" strokecolor="#202831" strokeweight="1.1pt"/>
            <v:line id="edge4a" from="162.0pt,92.1pt" to="170.0pt,89.0pt" strokecolor="#202831" strokeweight="1.1pt"/>
            <v:line id="edge4b" from="162.0pt,85.9pt" to="170.0pt,89.0pt" strokecolor="#202831" strokeweight="1.1pt"/>
            <v:line id="edge5" from="111.47523447131515pt,96.69866629819548pt" to="172.7189782616606pt,141.70912860194335pt" strokecolor="#202831" strokeweight="1.1pt"/>
            <v:line id="edge5a" from="164.43684431589696pt,139.46942833082898pt" to="172.7189782616606pt,141.70912860194335pt" strokecolor="#202831" strokeweight="1.1pt"/>
            <v:line id="edge5b" from="168.10851593503634pt,134.4735472752787pt" to="172.7189782616606pt,141.70912860194335pt" strokecolor="#202831" strokeweight="1.1pt"/>
            <v:line id="edge6" from="194.29970924906908pt,81.06804000359048pt" to="259.9080054240795pt,30.542110765364097pt" strokecolor="#202831" strokeweight="1.1pt"/>
            <v:line id="edge6a" from="255.46119019302694pt,37.87940143024028pt" to="259.9080054240795pt,30.542110765364097pt" strokecolor="#202831" strokeweight="1.1pt"/>
            <v:line id="edge6b" from="251.67825542550855pt,32.96723240376117pt" to="259.9080054240795pt,30.542110765364097pt" strokecolor="#202831" strokeweight="1.1pt"/>
            <v:line id="edge7" from="197.0pt,89.0pt" to="257.0pt,89.0pt" strokecolor="#202831" strokeweight="1.1pt"/>
            <v:line id="edge7a" from="249.0pt,92.1pt" to="257.0pt,89.0pt" strokecolor="#202831" strokeweight="1.1pt"/>
            <v:line id="edge7b" from="249.0pt,85.9pt" to="257.0pt,89.0pt" strokecolor="#202831" strokeweight="1.1pt"/>
            <v:line id="edge8" from="284.0pt,89.0pt" to="396.0pt,89.0pt" strokecolor="#202831" strokeweight="1.1pt"/>
            <v:line id="edge8a" from="388.0pt,92.1pt" to="396.0pt,89.0pt" strokecolor="#202831" strokeweight="1.1pt"/>
            <v:line id="edge8b" from="388.0pt,85.9pt" to="396.0pt,89.0pt" strokecolor="#202831" strokeweight="1.1pt"/>
            <v:line id="edge9" from="197.0pt,150.0pt" to="257.0pt,150.0pt" strokecolor="#202831" strokeweight="1.1pt"/>
            <v:line id="edge9a" from="249.0pt,153.1pt" to="257.0pt,150.0pt" strokecolor="#202831" strokeweight="1.1pt"/>
            <v:line id="edge9b" from="249.0pt,146.9pt" to="257.0pt,150.0pt" strokecolor="#202831" strokeweight="1.1pt"/>
            <v:line id="edge10" from="282.9041411132629pt,144.77588051864004pt" to="397.18015572417846pt,94.62597482607995pt" strokecolor="#202831" strokeweight="1.1pt"/>
            <v:line id="edge10a" from="391.10028199234097pt,100.67949738777185pt" to="397.18015572417846pt,94.62597482607995pt" strokecolor="#202831" strokeweight="1.1pt"/>
            <v:line id="edge10b" from="388.608778855077pt,95.00213777990803pt" to="397.18015572417846pt,94.62597482607995pt" strokecolor="#202831" strokeweight="1.1pt"/>
            <v:line id="edge11" from="282.71058133679514pt,27.644668701908458pt" to="397.3886047142206pt,82.92112601332936pt" strokecolor="#202831" strokeweight="1.1pt"/>
            <v:line id="edge11a" from="388.83605673958385pt,82.240006977083pt" to="397.3886047142206pt,82.92112601332936pt" strokecolor="#202831" strokeweight="1.1pt"/>
            <v:line id="edge11b" from="391.52812950510946pt,76.65496049338068pt" to="397.3886047142206pt,82.92112601332936pt" strokecolor="#202831" strokeweight="1.1pt"/>
            <v:oval id="node1" style="position:absolute;left:9pt;top:76pt;width:26pt;height:26pt;v-text-anchor:middle" fillcolor="#FFFFFF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1</w:t>
                    </w:r>
                  </w:p>
                </w:txbxContent>
              </v:textbox>
            </v:oval>
            <v:oval id="node2" style="position:absolute;left:88pt;top:9pt;width:26pt;height:26pt;v-text-anchor:middle" fillcolor="#FFFFFF" strokecolor="#263b4d" strokeweight="1pt">
              <v:stroke dashstyle="dash"/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2</w:t>
                    </w:r>
                  </w:p>
                </w:txbxContent>
              </v:textbox>
            </v:oval>
            <v:oval id="node3" style="position:absolute;left:88pt;top:76pt;width:26pt;height:26pt;v-text-anchor:middle" fillcolor="#d3d9dd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3</w:t>
                    </w:r>
                  </w:p>
                </w:txbxContent>
              </v:textbox>
            </v:oval>
            <v:oval id="node4" style="position:absolute;left:171pt;top:9pt;width:26pt;height:26pt;v-text-anchor:middle" fillcolor="#FFFFFF" strokecolor="#263b4d" strokeweight="1pt">
              <v:stroke dashstyle="dash"/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4</w:t>
                    </w:r>
                  </w:p>
                </w:txbxContent>
              </v:textbox>
            </v:oval>
            <v:oval id="node6" style="position:absolute;left:171pt;top:76pt;width:26pt;height:26pt;v-text-anchor:middle" fillcolor="#d3d9dd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6</w:t>
                    </w:r>
                  </w:p>
                </w:txbxContent>
              </v:textbox>
            </v:oval>
            <v:oval id="node8" style="position:absolute;left:171pt;top:137pt;width:26pt;height:26pt;v-text-anchor:middle" fillcolor="#FFFFFF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8</w:t>
                    </w:r>
                  </w:p>
                </w:txbxContent>
              </v:textbox>
            </v:oval>
            <v:oval id="node5" style="position:absolute;left:258pt;top:9pt;width:26pt;height:26pt;v-text-anchor:middle" fillcolor="#FFFFFF" strokecolor="#263b4d" strokeweight="1pt">
              <v:stroke dashstyle="dash"/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5</w:t>
                    </w:r>
                  </w:p>
                </w:txbxContent>
              </v:textbox>
            </v:oval>
            <v:oval id="node7" style="position:absolute;left:258pt;top:76pt;width:26pt;height:26pt;v-text-anchor:middle" fillcolor="#d3d9dd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7</w:t>
                    </w:r>
                  </w:p>
                </w:txbxContent>
              </v:textbox>
            </v:oval>
            <v:oval id="node9" style="position:absolute;left:258pt;top:137pt;width:26pt;height:26pt;v-text-anchor:middle" fillcolor="#FFFFFF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9</w:t>
                    </w:r>
                  </w:p>
                </w:txbxContent>
              </v:textbox>
            </v:oval>
            <v:oval id="node10" style="position:absolute;left:397pt;top:76pt;width:26pt;height:26pt;v-text-anchor:middle" fillcolor="#FFFFFF" strokecolor="#263b4d" strokeweight="1pt">
              <v:textbox inset="0,0,0,0">
                <w:txbxContent>
                  <w:p>
                    <w:pPr>
                      <w:spacing w:before="0" w:after="0"/>
                      <w:jc w:val="center"/>
                    </w:pPr>
                    <w:r>
                      <w:rPr>
                        <w:rFonts w:ascii="Times New Roman" w:hAnsi="Times New Roman"/>
                        <w:sz w:val="18"/>
                      </w:rPr>
                      <w:t>10</w:t>
                    </w:r>
                  </w:p>
                </w:txbxContent>
              </v:textbox>
            </v:oval>
          </v:group>
        </w:pic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1 – График сетевого планирования работ</w:t>
      </w:r>
    </w:p>
    <w:p>
      <w:pPr>
        <w:spacing w:before="440"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Вариант 19. Геометрические фигуры</w:t>
      </w:r>
    </w:p>
    <w:p>
      <w:pPr>
        <w:spacing w:after="3840"/>
        <w:ind w:firstLine="0"/>
        <w:jc w:val="center"/>
      </w:pPr>
      <w:r>
        <w:pict>
          <v:group id="pyramid_editable_19" style="position:relative;width:435pt;height:190pt" coordorigin="0,0" coordsize="435,190">
            <v:line id="pyrV0" from="90pt,155pt" to="280pt,155pt" strokecolor="#26567c" strokeweight="2pt"/>
            <v:line id="pyrV1" from="280pt,155pt" to="351pt,104pt" strokecolor="#26567c" strokeweight="2pt"/>
            <v:line id="pyrV2" from="206pt,24pt" to="351pt,104pt" strokecolor="#26567c" strokeweight="2pt"/>
            <v:line id="pyrV3" from="206pt,24pt" to="90pt,155pt" strokecolor="#26567c" strokeweight="2pt"/>
            <v:line id="pyrV4" from="206pt,24pt" to="280pt,155pt" strokecolor="#26567c" strokeweight="2pt"/>
            <v:line id="pyrH0" from="90pt,155pt" to="174pt,104pt" strokecolor="#5c7285" strokeweight="1.2pt">
              <v:stroke dashstyle="dash"/>
            </v:line>
            <v:line id="pyrH1" from="174pt,104pt" to="351pt,104pt" strokecolor="#5c7285" strokeweight="1.2pt">
              <v:stroke dashstyle="dash"/>
            </v:line>
            <v:line id="pyrH2" from="174pt,104pt" to="206pt,24pt" strokecolor="#5c7285" strokeweight="1.2pt">
              <v:stroke dashstyle="dash"/>
            </v:line>
          </v:group>
        </w:pic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2 – Геометрические фигуры. Четырёхугольная пирамида</w:t>
      </w:r>
    </w:p>
    <w:p>
      <w:pPr>
        <w:sectPr>
          <w:footerReference w:type="default" r:id="rId9"/>
          <w:pgSz w:w="11906" w:h="16838"/>
          <w:pgMar w:top="1134" w:right="567" w:bottom="1474" w:left="1417" w:header="720" w:footer="1134" w:gutter="0"/>
          <w:cols w:space="720"/>
          <w:docGrid w:linePitch="360"/>
        </w:sectPr>
      </w:pPr>
    </w:p>
    <w:p>
      <w:pPr>
        <w:keepNext/>
        <w:spacing w:after="8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4 Использование колонок. Вариант 19 – Россия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 w:cs="Times New Roman"/>
          <w:b/>
          <w:i/>
          <w:color w:val="255D97"/>
          <w:sz w:val="60"/>
          <w:shadow/>
        </w:rPr>
        <w:t>Россия</w:t>
      </w:r>
    </w:p>
    <w:p>
      <w:pPr>
        <w:sectPr>
          <w:pgSz w:w="16838" w:h="11906" w:orient="landscape"/>
          <w:pgMar w:top="1134" w:right="567" w:bottom="1474" w:left="1417" w:header="720" w:footer="1134" w:gutter="0"/>
          <w:cols w:space="720"/>
          <w:docGrid w:linePitch="360"/>
        </w:sectPr>
      </w:pPr>
    </w:p>
    <w:p>
      <w:pPr>
        <w:keepNext/>
        <w:spacing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Общие сведения о России</w:t>
      </w:r>
      <w:r>
        <w:rPr>
          <w:vertAlign w:val="superscript"/>
        </w:rPr>
        <w:footnoteReference w:id="1"/>
      </w:r>
      <w:r>
        <w:drawing>
          <wp:anchor distT="35000" distB="35000" distL="50000" distR="50000" simplePos="0" relativeHeight="251658240" behindDoc="1" locked="0" layoutInCell="1" allowOverlap="1">
            <wp:simplePos x="0" y="0"/>
            <wp:positionH relativeFrom="page">
              <wp:posOffset>900000</wp:posOffset>
            </wp:positionH>
            <wp:positionV relativeFrom="page">
              <wp:posOffset>1908000</wp:posOffset>
            </wp:positionV>
            <wp:extent cx="9216000" cy="381600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_russia19_b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16000" cy="3816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20" w:line="240" w:lineRule="auto"/>
        <w:ind w:firstLine="17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Россия — страна, расположенная в Восточной Европе и Северной Азии. Является самым большим государством мира (17 075 400 км² или 11,46 % площади всей суши Земли, или 12,65 % заселённой человеком суши, что почти вдвое больше, чем у занимающей второе место Канады).</w:t>
      </w:r>
    </w:p>
    <w:p>
      <w:pPr>
        <w:ind w:firstLine="0"/>
      </w:pPr>
      <w:r>
        <w:br w:type="column"/>
      </w:r>
    </w:p>
    <w:p>
      <w:pPr>
        <w:keepNext/>
        <w:spacing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Административное деление России</w:t>
      </w:r>
    </w:p>
    <w:p>
      <w:pPr>
        <w:spacing w:after="20" w:line="240" w:lineRule="auto"/>
        <w:ind w:firstLine="17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Россия — государство с федеративным устройством. В составе Российской Федерации 83 равноправных субъекта федерации, в том числе 21 республика, 9 краёв, 46 областей, 2 города федерального значения, 1 автономная область, 4 автономных округа.</w:t>
      </w:r>
    </w:p>
    <w:p>
      <w:pPr>
        <w:ind w:firstLine="0"/>
      </w:pPr>
      <w:r>
        <w:br w:type="column"/>
      </w:r>
    </w:p>
    <w:p>
      <w:pPr>
        <w:keepNext/>
        <w:spacing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Рельеф России</w:t>
      </w:r>
    </w:p>
    <w:p>
      <w:pPr>
        <w:spacing w:after="20" w:line="240" w:lineRule="auto"/>
        <w:ind w:firstLine="17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Более 70 % территории России занято равнинами и низменностями. Западная часть страны находится в пределах обширной Восточно-Европейской равнины, характеризующейся чередованием низменностей (Прикаспийская и др.) и возвышенностей (Валдайская, Среднерусская и т. д.).</w:t>
      </w:r>
    </w:p>
    <w:p>
      <w:pPr>
        <w:ind w:firstLine="0"/>
      </w:pPr>
      <w:r>
        <w:br w:type="column"/>
      </w:r>
    </w:p>
    <w:p>
      <w:pPr>
        <w:keepNext/>
        <w:spacing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Население России</w:t>
      </w:r>
    </w:p>
    <w:p>
      <w:pPr>
        <w:spacing w:after="20" w:line="240" w:lineRule="auto"/>
        <w:ind w:firstLine="17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Согласно ежегодному Докладу Фонда ООН в области народонаселения за 2004 год, в России продолжается демографический кризис. В 2006 году, согласно данным Росстата, родилось 1 млн 479,6 тыс. человек, что на 22,2 тыс. больше, чем в 2005 году.</w:t>
      </w:r>
    </w:p>
    <w:p>
      <w:pPr>
        <w:ind w:firstLine="0"/>
      </w:pPr>
      <w:r>
        <w:br w:type="column"/>
      </w:r>
    </w:p>
    <w:p>
      <w:pPr>
        <w:keepNext/>
        <w:spacing w:after="1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Язык России</w:t>
      </w:r>
    </w:p>
    <w:p>
      <w:pPr>
        <w:spacing w:after="20" w:line="240" w:lineRule="auto"/>
        <w:ind w:firstLine="17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Народы России говорят более чем на 100 языках и диалектах, принадлежащих к индоевропейской, алтайской и уральской языковым семьям, кавказской и палеоазиатской языковым группам. Русский язык является родным примерно для 130 млн граждан России (92 % населения России).</w:t>
      </w:r>
    </w:p>
    <w:sectPr w:rsidR="00FC693F" w:rsidRPr="0006063C" w:rsidSect="00034616">
      <w:type w:val="continuous"/>
      <w:pgSz w:w="16838" w:h="11906" w:orient="landscape"/>
      <w:pgMar w:top="1134" w:right="567" w:bottom="1474" w:left="1417" w:header="720" w:footer="1134" w:gutter="0"/>
      <w:cols w:space="250" w:num="5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 информация была взята с сайта http://www.wikipedia.org/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100"/>
      <w:ind w:firstLine="397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g"/><Relationship Id="rIdActualFootnote1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5. Вариант 19</dc:title>
  <dc:subject/>
  <dc:creator>Шершиков Филипп Антонович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