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E39C2" w14:textId="5953E7F0" w:rsidR="008618A3" w:rsidRPr="008618A3" w:rsidRDefault="007238ED" w:rsidP="008618A3">
      <w:pPr>
        <w:spacing w:after="160" w:line="48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GROUP 12: </w:t>
      </w:r>
      <w:r w:rsidR="008618A3" w:rsidRPr="008618A3">
        <w:rPr>
          <w:rFonts w:ascii="Times New Roman" w:eastAsia="Times New Roman" w:hAnsi="Times New Roman" w:cs="Times New Roman"/>
          <w:b/>
          <w:bCs/>
          <w:color w:val="000000"/>
        </w:rPr>
        <w:t>THE FINAL REPORT</w:t>
      </w:r>
    </w:p>
    <w:p w14:paraId="1FAA721D" w14:textId="77777777" w:rsidR="008618A3" w:rsidRPr="008618A3" w:rsidRDefault="008618A3" w:rsidP="008618A3">
      <w:pPr>
        <w:spacing w:line="480" w:lineRule="auto"/>
        <w:jc w:val="center"/>
        <w:rPr>
          <w:rFonts w:ascii="Times New Roman" w:eastAsia="Times New Roman" w:hAnsi="Times New Roman" w:cs="Times New Roman"/>
        </w:rPr>
      </w:pPr>
      <w:r w:rsidRPr="008618A3">
        <w:rPr>
          <w:rFonts w:ascii="Times New Roman" w:eastAsia="Times New Roman" w:hAnsi="Times New Roman" w:cs="Times New Roman"/>
          <w:b/>
          <w:bCs/>
          <w:color w:val="000000"/>
        </w:rPr>
        <w:t> </w:t>
      </w:r>
      <w:r w:rsidRPr="008618A3">
        <w:rPr>
          <w:rFonts w:ascii="Times New Roman" w:eastAsia="Times New Roman" w:hAnsi="Times New Roman" w:cs="Times New Roman"/>
          <w:b/>
          <w:bCs/>
          <w:color w:val="000000"/>
        </w:rPr>
        <w:br/>
        <w:t>(A) Expectation Before Analysis</w:t>
      </w:r>
    </w:p>
    <w:p w14:paraId="68E88392" w14:textId="77777777" w:rsidR="008618A3" w:rsidRPr="008618A3" w:rsidRDefault="008618A3" w:rsidP="008618A3">
      <w:pPr>
        <w:spacing w:line="480" w:lineRule="auto"/>
        <w:rPr>
          <w:rFonts w:ascii="Times New Roman" w:eastAsia="Times New Roman" w:hAnsi="Times New Roman" w:cs="Times New Roman"/>
        </w:rPr>
      </w:pPr>
    </w:p>
    <w:p w14:paraId="3B0C76DB" w14:textId="658307FA" w:rsidR="008618A3" w:rsidRPr="008618A3" w:rsidRDefault="008618A3" w:rsidP="008618A3">
      <w:pPr>
        <w:spacing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 xml:space="preserve">For this study, our group has decided to focus our analysis on the potential correlations between affordable housing concentrations and crime rates, primarily in ten different Brooklyn neighborhoods. Our hypothesis denotes that </w:t>
      </w:r>
      <w:r w:rsidR="00265D47">
        <w:rPr>
          <w:rFonts w:ascii="Times New Roman" w:eastAsia="Times New Roman" w:hAnsi="Times New Roman" w:cs="Times New Roman"/>
          <w:color w:val="000000"/>
        </w:rPr>
        <w:t>neighborhoods</w:t>
      </w:r>
      <w:r w:rsidRPr="008618A3">
        <w:rPr>
          <w:rFonts w:ascii="Times New Roman" w:eastAsia="Times New Roman" w:hAnsi="Times New Roman" w:cs="Times New Roman"/>
          <w:color w:val="000000"/>
        </w:rPr>
        <w:t xml:space="preserve"> with higher densities of affordable housing— particularly in areas dominated by families with lower income— may result in increased criminal activity, especially during major holidays. Based on this prediction, we believe these results may be triggered by current economic challenges that contribute to the limited resources in less wealthy communities, which can incentivize elevated crime rates in poorer neighborhoods. </w:t>
      </w:r>
    </w:p>
    <w:p w14:paraId="683886A0" w14:textId="77777777" w:rsidR="008618A3" w:rsidRPr="008618A3" w:rsidRDefault="008618A3" w:rsidP="008618A3">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To further extend our study, we compared various crimes to the income rates in that particular neighborhood during the last two weeks of 2023’s holiday season. These dates range from December 17 to December 31. Since these two weeks center around the two most celebrated holidays: Christmas and New Year, we decided this timeframe would be ideal for discovering the correlation between crime rates and the ten chosen neighborhoods.</w:t>
      </w:r>
    </w:p>
    <w:p w14:paraId="5B918483" w14:textId="5E3F64CD" w:rsidR="008618A3" w:rsidRPr="008618A3" w:rsidRDefault="008618A3" w:rsidP="008618A3">
      <w:pPr>
        <w:spacing w:before="240" w:after="240" w:line="480" w:lineRule="auto"/>
        <w:jc w:val="center"/>
        <w:rPr>
          <w:rFonts w:ascii="Times New Roman" w:eastAsia="Times New Roman" w:hAnsi="Times New Roman" w:cs="Times New Roman"/>
        </w:rPr>
      </w:pPr>
      <w:r w:rsidRPr="008618A3">
        <w:rPr>
          <w:rFonts w:ascii="Times New Roman" w:eastAsia="Times New Roman" w:hAnsi="Times New Roman" w:cs="Times New Roman"/>
          <w:b/>
          <w:bCs/>
          <w:color w:val="000000"/>
        </w:rPr>
        <w:t>(B) The Analysis Results</w:t>
      </w:r>
    </w:p>
    <w:p w14:paraId="78956E01" w14:textId="77777777" w:rsidR="008618A3" w:rsidRPr="008618A3" w:rsidRDefault="008618A3" w:rsidP="008618A3">
      <w:pPr>
        <w:spacing w:line="480" w:lineRule="auto"/>
        <w:rPr>
          <w:rFonts w:ascii="Times New Roman" w:eastAsia="Times New Roman" w:hAnsi="Times New Roman" w:cs="Times New Roman"/>
        </w:rPr>
      </w:pPr>
    </w:p>
    <w:p w14:paraId="0329CBCD" w14:textId="77777777" w:rsidR="008618A3" w:rsidRPr="008618A3" w:rsidRDefault="008618A3" w:rsidP="008618A3">
      <w:pPr>
        <w:spacing w:line="480" w:lineRule="auto"/>
        <w:rPr>
          <w:rFonts w:ascii="Times New Roman" w:eastAsia="Times New Roman" w:hAnsi="Times New Roman" w:cs="Times New Roman"/>
        </w:rPr>
      </w:pPr>
    </w:p>
    <w:p w14:paraId="0A7555DF" w14:textId="77777777" w:rsidR="008618A3" w:rsidRDefault="008618A3" w:rsidP="008618A3">
      <w:pPr>
        <w:spacing w:line="480" w:lineRule="auto"/>
        <w:rPr>
          <w:rFonts w:ascii="Times New Roman" w:eastAsia="Times New Roman" w:hAnsi="Times New Roman" w:cs="Times New Roman"/>
          <w:b/>
          <w:bCs/>
          <w:color w:val="000000"/>
        </w:rPr>
      </w:pPr>
    </w:p>
    <w:p w14:paraId="1540840F" w14:textId="77777777" w:rsidR="008618A3" w:rsidRDefault="008618A3" w:rsidP="008618A3">
      <w:pPr>
        <w:spacing w:line="480" w:lineRule="auto"/>
        <w:rPr>
          <w:rFonts w:ascii="Times New Roman" w:eastAsia="Times New Roman" w:hAnsi="Times New Roman" w:cs="Times New Roman"/>
          <w:b/>
          <w:bCs/>
          <w:color w:val="000000"/>
        </w:rPr>
      </w:pPr>
    </w:p>
    <w:p w14:paraId="757C3583" w14:textId="526C0674" w:rsidR="008618A3" w:rsidRDefault="008618A3" w:rsidP="008618A3">
      <w:pPr>
        <w:spacing w:line="480" w:lineRule="auto"/>
        <w:rPr>
          <w:rFonts w:ascii="Times New Roman" w:eastAsia="Times New Roman" w:hAnsi="Times New Roman" w:cs="Times New Roman"/>
          <w:b/>
          <w:bCs/>
          <w:color w:val="000000"/>
        </w:rPr>
      </w:pPr>
      <w:r w:rsidRPr="008618A3">
        <w:rPr>
          <w:rFonts w:ascii="Times New Roman" w:eastAsia="Times New Roman" w:hAnsi="Times New Roman" w:cs="Times New Roman"/>
          <w:b/>
          <w:bCs/>
          <w:color w:val="000000"/>
        </w:rPr>
        <w:lastRenderedPageBreak/>
        <w:t>The Relationship Between Affordable Housing and Arrests</w:t>
      </w:r>
    </w:p>
    <w:p w14:paraId="7CECF894" w14:textId="22DF3DEB" w:rsidR="00467395" w:rsidRPr="00A45286" w:rsidRDefault="00467395" w:rsidP="00467395">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Before we</w:t>
      </w:r>
      <w:r w:rsidR="00240573">
        <w:rPr>
          <w:rFonts w:ascii="Times New Roman" w:eastAsia="Times New Roman" w:hAnsi="Times New Roman" w:cs="Times New Roman"/>
          <w:color w:val="000000"/>
        </w:rPr>
        <w:t xml:space="preserve"> even </w:t>
      </w:r>
      <w:r>
        <w:rPr>
          <w:rFonts w:ascii="Times New Roman" w:eastAsia="Times New Roman" w:hAnsi="Times New Roman" w:cs="Times New Roman"/>
          <w:color w:val="000000"/>
        </w:rPr>
        <w:t>started hypothesizing</w:t>
      </w:r>
      <w:r w:rsidR="00214DBA">
        <w:rPr>
          <w:rFonts w:ascii="Times New Roman" w:eastAsia="Times New Roman" w:hAnsi="Times New Roman" w:cs="Times New Roman"/>
          <w:color w:val="000000"/>
        </w:rPr>
        <w:t xml:space="preserve"> on the outcomes</w:t>
      </w:r>
      <w:r>
        <w:rPr>
          <w:rFonts w:ascii="Times New Roman" w:eastAsia="Times New Roman" w:hAnsi="Times New Roman" w:cs="Times New Roman"/>
          <w:color w:val="000000"/>
        </w:rPr>
        <w:t xml:space="preserve">, we </w:t>
      </w:r>
      <w:r w:rsidR="00A431DF">
        <w:rPr>
          <w:rFonts w:ascii="Times New Roman" w:eastAsia="Times New Roman" w:hAnsi="Times New Roman" w:cs="Times New Roman"/>
          <w:color w:val="000000"/>
        </w:rPr>
        <w:t>all agreed on</w:t>
      </w:r>
      <w:r w:rsidR="00214DBA">
        <w:rPr>
          <w:rFonts w:ascii="Times New Roman" w:eastAsia="Times New Roman" w:hAnsi="Times New Roman" w:cs="Times New Roman"/>
          <w:color w:val="000000"/>
        </w:rPr>
        <w:t xml:space="preserve"> one key point:</w:t>
      </w:r>
      <w:r>
        <w:rPr>
          <w:rFonts w:ascii="Times New Roman" w:eastAsia="Times New Roman" w:hAnsi="Times New Roman" w:cs="Times New Roman"/>
          <w:color w:val="000000"/>
        </w:rPr>
        <w:t xml:space="preserve"> </w:t>
      </w:r>
      <w:r w:rsidR="00447C13">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correlation between poverty/ </w:t>
      </w:r>
      <w:r w:rsidR="007226EE">
        <w:rPr>
          <w:rFonts w:ascii="Times New Roman" w:eastAsia="Times New Roman" w:hAnsi="Times New Roman" w:cs="Times New Roman"/>
          <w:color w:val="000000"/>
        </w:rPr>
        <w:t>low-income</w:t>
      </w:r>
      <w:r w:rsidR="00214DBA">
        <w:rPr>
          <w:rFonts w:ascii="Times New Roman" w:eastAsia="Times New Roman" w:hAnsi="Times New Roman" w:cs="Times New Roman"/>
          <w:color w:val="000000"/>
        </w:rPr>
        <w:t xml:space="preserve"> zones</w:t>
      </w:r>
      <w:r>
        <w:rPr>
          <w:rFonts w:ascii="Times New Roman" w:eastAsia="Times New Roman" w:hAnsi="Times New Roman" w:cs="Times New Roman"/>
          <w:color w:val="000000"/>
        </w:rPr>
        <w:t xml:space="preserve"> and </w:t>
      </w:r>
      <w:r w:rsidR="005B3C3F">
        <w:rPr>
          <w:rFonts w:ascii="Times New Roman" w:eastAsia="Times New Roman" w:hAnsi="Times New Roman" w:cs="Times New Roman"/>
          <w:color w:val="000000"/>
        </w:rPr>
        <w:t xml:space="preserve">high </w:t>
      </w:r>
      <w:r>
        <w:rPr>
          <w:rFonts w:ascii="Times New Roman" w:eastAsia="Times New Roman" w:hAnsi="Times New Roman" w:cs="Times New Roman"/>
          <w:color w:val="000000"/>
        </w:rPr>
        <w:t>crime</w:t>
      </w:r>
      <w:r w:rsidR="005B3C3F">
        <w:rPr>
          <w:rFonts w:ascii="Times New Roman" w:eastAsia="Times New Roman" w:hAnsi="Times New Roman" w:cs="Times New Roman"/>
          <w:color w:val="000000"/>
        </w:rPr>
        <w:t xml:space="preserve"> rates</w:t>
      </w:r>
      <w:r>
        <w:rPr>
          <w:rFonts w:ascii="Times New Roman" w:eastAsia="Times New Roman" w:hAnsi="Times New Roman" w:cs="Times New Roman"/>
          <w:color w:val="000000"/>
        </w:rPr>
        <w:t xml:space="preserve">. This is a concept that is widely accepted as a fact, but where do these claims come from, and how can we confirm it? </w:t>
      </w:r>
    </w:p>
    <w:p w14:paraId="02D9E9DA" w14:textId="69F14945" w:rsidR="00467395" w:rsidRPr="00B274D9" w:rsidRDefault="00467395" w:rsidP="008618A3">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An article by Huang, Laing, and Wang (2004) explores how crime and poverty</w:t>
      </w:r>
      <w:r w:rsidRPr="00A4528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are connected through</w:t>
      </w:r>
      <w:r w:rsidRPr="00A45286">
        <w:rPr>
          <w:rFonts w:ascii="Times New Roman" w:eastAsia="Times New Roman" w:hAnsi="Times New Roman" w:cs="Times New Roman"/>
          <w:color w:val="000000"/>
        </w:rPr>
        <w:t xml:space="preserve"> geographic and </w:t>
      </w:r>
      <w:r>
        <w:rPr>
          <w:rFonts w:ascii="Times New Roman" w:eastAsia="Times New Roman" w:hAnsi="Times New Roman" w:cs="Times New Roman"/>
          <w:color w:val="000000"/>
        </w:rPr>
        <w:t>environmental changes</w:t>
      </w:r>
      <w:r w:rsidRPr="00A45286">
        <w:rPr>
          <w:rFonts w:ascii="Times New Roman" w:eastAsia="Times New Roman" w:hAnsi="Times New Roman" w:cs="Times New Roman"/>
          <w:color w:val="000000"/>
        </w:rPr>
        <w:t xml:space="preserve">, often concentrated in less </w:t>
      </w:r>
      <w:r>
        <w:rPr>
          <w:rFonts w:ascii="Times New Roman" w:eastAsia="Times New Roman" w:hAnsi="Times New Roman" w:cs="Times New Roman"/>
          <w:color w:val="000000"/>
        </w:rPr>
        <w:t>wealthy</w:t>
      </w:r>
      <w:r w:rsidRPr="00A45286">
        <w:rPr>
          <w:rFonts w:ascii="Times New Roman" w:eastAsia="Times New Roman" w:hAnsi="Times New Roman" w:cs="Times New Roman"/>
          <w:color w:val="000000"/>
        </w:rPr>
        <w:t xml:space="preserve"> communities with chronic poverty, low education levels, and limited employment opportunities. A search-equilibrium model highlights how crime and labor market opportunities</w:t>
      </w:r>
      <w:r w:rsidR="006A0B31">
        <w:rPr>
          <w:rFonts w:ascii="Times New Roman" w:eastAsia="Times New Roman" w:hAnsi="Times New Roman" w:cs="Times New Roman"/>
          <w:color w:val="000000"/>
        </w:rPr>
        <w:t xml:space="preserve"> actively influence each other</w:t>
      </w:r>
      <w:r w:rsidRPr="00A45286">
        <w:rPr>
          <w:rFonts w:ascii="Times New Roman" w:eastAsia="Times New Roman" w:hAnsi="Times New Roman" w:cs="Times New Roman"/>
          <w:color w:val="000000"/>
        </w:rPr>
        <w:t xml:space="preserve">, showing that lower wages and unemployment increase the likelihood of engaging in criminal behavior. For example, a 20% decline in youth wages can result in a 20% rise in crime rates. Additionally, high crime rates reduce the benefits of education and formal employment, acting as an indirect "tax" on </w:t>
      </w:r>
      <w:r w:rsidR="003A4177">
        <w:rPr>
          <w:rFonts w:ascii="Times New Roman" w:eastAsia="Times New Roman" w:hAnsi="Times New Roman" w:cs="Times New Roman"/>
          <w:color w:val="000000"/>
        </w:rPr>
        <w:t>social</w:t>
      </w:r>
      <w:r w:rsidRPr="00A45286">
        <w:rPr>
          <w:rFonts w:ascii="Times New Roman" w:eastAsia="Times New Roman" w:hAnsi="Times New Roman" w:cs="Times New Roman"/>
          <w:color w:val="000000"/>
        </w:rPr>
        <w:t xml:space="preserve"> capital and discouraging schooling</w:t>
      </w:r>
      <w:r w:rsidR="001013BA">
        <w:rPr>
          <w:rFonts w:ascii="Times New Roman" w:eastAsia="Times New Roman" w:hAnsi="Times New Roman" w:cs="Times New Roman"/>
          <w:color w:val="000000"/>
        </w:rPr>
        <w:t xml:space="preserve">, education </w:t>
      </w:r>
      <w:r w:rsidRPr="00A45286">
        <w:rPr>
          <w:rFonts w:ascii="Times New Roman" w:eastAsia="Times New Roman" w:hAnsi="Times New Roman" w:cs="Times New Roman"/>
          <w:color w:val="000000"/>
        </w:rPr>
        <w:t xml:space="preserve">and workforce participation. This </w:t>
      </w:r>
      <w:r w:rsidR="009B6617">
        <w:rPr>
          <w:rFonts w:ascii="Times New Roman" w:eastAsia="Times New Roman" w:hAnsi="Times New Roman" w:cs="Times New Roman"/>
          <w:color w:val="000000"/>
        </w:rPr>
        <w:t xml:space="preserve">perpetuates dangerous loops </w:t>
      </w:r>
      <w:r w:rsidRPr="00A45286">
        <w:rPr>
          <w:rFonts w:ascii="Times New Roman" w:eastAsia="Times New Roman" w:hAnsi="Times New Roman" w:cs="Times New Roman"/>
          <w:color w:val="000000"/>
        </w:rPr>
        <w:t>where high crime, low education, poverty, and unemployment reinforce each other</w:t>
      </w:r>
      <w:r w:rsidR="005157F5">
        <w:rPr>
          <w:rFonts w:ascii="Times New Roman" w:eastAsia="Times New Roman" w:hAnsi="Times New Roman" w:cs="Times New Roman"/>
          <w:color w:val="000000"/>
        </w:rPr>
        <w:t xml:space="preserve"> </w:t>
      </w:r>
      <w:r w:rsidR="005157F5" w:rsidRPr="00A45286">
        <w:rPr>
          <w:rFonts w:ascii="Times New Roman" w:eastAsia="Times New Roman" w:hAnsi="Times New Roman" w:cs="Times New Roman"/>
          <w:color w:val="000000"/>
        </w:rPr>
        <w:t>(</w:t>
      </w:r>
      <w:r w:rsidR="005157F5" w:rsidRPr="00B274D9">
        <w:rPr>
          <w:rFonts w:ascii="Times New Roman" w:eastAsia="Times New Roman" w:hAnsi="Times New Roman" w:cs="Times New Roman"/>
          <w:color w:val="000000"/>
        </w:rPr>
        <w:t>Huang et al., 2004)</w:t>
      </w:r>
      <w:r w:rsidRPr="00A45286">
        <w:rPr>
          <w:rFonts w:ascii="Times New Roman" w:eastAsia="Times New Roman" w:hAnsi="Times New Roman" w:cs="Times New Roman"/>
          <w:color w:val="000000"/>
        </w:rPr>
        <w:t xml:space="preserve">. Policies addressing education and employment access could play a </w:t>
      </w:r>
      <w:r w:rsidR="00720AE3">
        <w:rPr>
          <w:rFonts w:ascii="Times New Roman" w:eastAsia="Times New Roman" w:hAnsi="Times New Roman" w:cs="Times New Roman"/>
          <w:color w:val="000000"/>
        </w:rPr>
        <w:t>crucial</w:t>
      </w:r>
      <w:r w:rsidRPr="00A45286">
        <w:rPr>
          <w:rFonts w:ascii="Times New Roman" w:eastAsia="Times New Roman" w:hAnsi="Times New Roman" w:cs="Times New Roman"/>
          <w:color w:val="000000"/>
        </w:rPr>
        <w:t xml:space="preserve"> role in breaking these cycles</w:t>
      </w:r>
      <w:r w:rsidR="0021429B">
        <w:rPr>
          <w:rFonts w:ascii="Times New Roman" w:eastAsia="Times New Roman" w:hAnsi="Times New Roman" w:cs="Times New Roman"/>
          <w:color w:val="000000"/>
        </w:rPr>
        <w:t xml:space="preserve">, which is a concept that will be </w:t>
      </w:r>
      <w:r w:rsidR="00E938B2">
        <w:rPr>
          <w:rFonts w:ascii="Times New Roman" w:eastAsia="Times New Roman" w:hAnsi="Times New Roman" w:cs="Times New Roman"/>
          <w:color w:val="000000"/>
        </w:rPr>
        <w:t xml:space="preserve">proposed in a </w:t>
      </w:r>
      <w:r w:rsidR="00A443E6">
        <w:rPr>
          <w:rFonts w:ascii="Times New Roman" w:eastAsia="Times New Roman" w:hAnsi="Times New Roman" w:cs="Times New Roman"/>
          <w:color w:val="000000"/>
        </w:rPr>
        <w:t>later section of this report</w:t>
      </w:r>
      <w:r w:rsidR="005157F5">
        <w:rPr>
          <w:rFonts w:ascii="Times New Roman" w:eastAsia="Times New Roman" w:hAnsi="Times New Roman" w:cs="Times New Roman"/>
          <w:color w:val="000000"/>
        </w:rPr>
        <w:t>.</w:t>
      </w:r>
    </w:p>
    <w:p w14:paraId="777C3E22" w14:textId="7D79464E" w:rsidR="008618A3" w:rsidRPr="008618A3" w:rsidRDefault="008618A3" w:rsidP="004D1146">
      <w:pPr>
        <w:pStyle w:val="NormalWeb"/>
        <w:spacing w:line="480" w:lineRule="auto"/>
        <w:ind w:firstLine="720"/>
      </w:pPr>
      <w:r w:rsidRPr="008618A3">
        <w:t xml:space="preserve">To investigate the relationship between affordable housing and arrests in Brooklyn, we analyzed data from two key sources: the </w:t>
      </w:r>
      <w:r w:rsidRPr="008618A3">
        <w:rPr>
          <w:rStyle w:val="Strong"/>
          <w:rFonts w:eastAsiaTheme="majorEastAsia"/>
          <w:b w:val="0"/>
          <w:bCs w:val="0"/>
        </w:rPr>
        <w:t>Arrests Data frame</w:t>
      </w:r>
      <w:r w:rsidRPr="008618A3">
        <w:t xml:space="preserve"> and the </w:t>
      </w:r>
      <w:r w:rsidRPr="008618A3">
        <w:rPr>
          <w:rStyle w:val="Strong"/>
          <w:rFonts w:eastAsiaTheme="majorEastAsia"/>
          <w:b w:val="0"/>
          <w:bCs w:val="0"/>
        </w:rPr>
        <w:t>Affordable Housing Data frame</w:t>
      </w:r>
      <w:r w:rsidRPr="008618A3">
        <w:rPr>
          <w:b/>
          <w:bCs/>
        </w:rPr>
        <w:t>.</w:t>
      </w:r>
      <w:r w:rsidRPr="008618A3">
        <w:t xml:space="preserve"> The Affordable Housing Data frame provides detailed information on the number of affordable housing units across Brooklyn’s ten postal codes, categorized into extremely low-income, low-income, and middle-income units. We then examined how these housing variables correlate with crime rates, as measured by the number of arrests in each neighborhood, from the Arrests Data frame.</w:t>
      </w:r>
    </w:p>
    <w:p w14:paraId="74689CE7" w14:textId="6E4E6568" w:rsidR="008618A3" w:rsidRPr="008618A3" w:rsidRDefault="004D1146" w:rsidP="004D1146">
      <w:pPr>
        <w:pStyle w:val="NormalWeb"/>
        <w:spacing w:line="480" w:lineRule="auto"/>
        <w:ind w:firstLine="720"/>
      </w:pPr>
      <w:r>
        <w:lastRenderedPageBreak/>
        <w:t>We hypothesized</w:t>
      </w:r>
      <w:r w:rsidR="008618A3" w:rsidRPr="008618A3">
        <w:t xml:space="preserve"> that neighborhoods with a higher concentration of low-income affordable housing units would experience a higher incidence of crime. Our analysis largely supports this hypothesis, indicating that neighborhoods with greater numbers of low-income households tend to have higher arrest rates.</w:t>
      </w:r>
    </w:p>
    <w:p w14:paraId="6C58422D" w14:textId="77777777" w:rsidR="008618A3" w:rsidRPr="008618A3" w:rsidRDefault="008618A3" w:rsidP="008618A3">
      <w:pPr>
        <w:pStyle w:val="NormalWeb"/>
        <w:spacing w:line="480" w:lineRule="auto"/>
      </w:pPr>
      <w:r w:rsidRPr="008618A3">
        <w:t>Key findings from our analysis include:</w:t>
      </w:r>
    </w:p>
    <w:p w14:paraId="10EFA6B8" w14:textId="3EEDA219" w:rsidR="008618A3" w:rsidRPr="008618A3" w:rsidRDefault="008618A3" w:rsidP="008618A3">
      <w:pPr>
        <w:pStyle w:val="NormalWeb"/>
        <w:spacing w:line="480" w:lineRule="auto"/>
      </w:pPr>
      <w:r w:rsidRPr="008618A3">
        <w:rPr>
          <w:rStyle w:val="Strong"/>
          <w:rFonts w:eastAsiaTheme="majorEastAsia"/>
        </w:rPr>
        <w:t>Strong Positive Correlation with Low-Income Units</w:t>
      </w:r>
      <w:r w:rsidRPr="008618A3">
        <w:t xml:space="preserve">: </w:t>
      </w:r>
      <w:r w:rsidR="00A0126E">
        <w:t xml:space="preserve">A robust positive correlation exists </w:t>
      </w:r>
      <w:r w:rsidRPr="008618A3">
        <w:t>between the number of low-income housing units and the number of arrests. This suggests that neighborhoods with a higher density of low-income housing tend to experience more crime, reinforcing the idea that housing affordability plays a key role in crime rates.</w:t>
      </w:r>
    </w:p>
    <w:p w14:paraId="54DBA9BF" w14:textId="77777777" w:rsidR="008618A3" w:rsidRPr="008618A3" w:rsidRDefault="008618A3" w:rsidP="008618A3">
      <w:pPr>
        <w:pStyle w:val="NormalWeb"/>
        <w:spacing w:line="480" w:lineRule="auto"/>
      </w:pPr>
      <w:r w:rsidRPr="008618A3">
        <w:rPr>
          <w:rStyle w:val="Strong"/>
          <w:rFonts w:eastAsiaTheme="majorEastAsia"/>
        </w:rPr>
        <w:t>Weak Negative Correlation with Middle-Income Units</w:t>
      </w:r>
      <w:r w:rsidRPr="008618A3">
        <w:t>: In contrast, middle-income housing units show a weak negative correlation with arrests. This indicates that neighborhoods with more middle-income housing tend to report slightly fewer crimes, though this relationship is not strong enough to draw definitive conclusions.</w:t>
      </w:r>
    </w:p>
    <w:p w14:paraId="0A0BFA7A" w14:textId="47274915" w:rsidR="008618A3" w:rsidRPr="008618A3" w:rsidRDefault="008618A3" w:rsidP="008618A3">
      <w:pPr>
        <w:pStyle w:val="NormalWeb"/>
        <w:spacing w:line="480" w:lineRule="auto"/>
      </w:pPr>
      <w:r w:rsidRPr="008618A3">
        <w:rPr>
          <w:rStyle w:val="Strong"/>
          <w:rFonts w:eastAsiaTheme="majorEastAsia"/>
        </w:rPr>
        <w:t>High Arrest Rates in East New York</w:t>
      </w:r>
      <w:r w:rsidRPr="008618A3">
        <w:t>:</w:t>
      </w:r>
      <w:r w:rsidRPr="008618A3">
        <w:rPr>
          <w:b/>
          <w:bCs/>
        </w:rPr>
        <w:t xml:space="preserve"> </w:t>
      </w:r>
      <w:r w:rsidRPr="008618A3">
        <w:t xml:space="preserve">Among the ten postal codes analyzed, </w:t>
      </w:r>
      <w:r w:rsidRPr="008618A3">
        <w:rPr>
          <w:rStyle w:val="Strong"/>
          <w:rFonts w:eastAsiaTheme="majorEastAsia"/>
          <w:b w:val="0"/>
          <w:bCs w:val="0"/>
        </w:rPr>
        <w:t>East New York (zip code 11208)</w:t>
      </w:r>
      <w:r w:rsidRPr="008618A3">
        <w:t xml:space="preserve"> stands out with the highest number of arrests, recording a total of 199 crimes during the observed period.</w:t>
      </w:r>
    </w:p>
    <w:p w14:paraId="0894D7FD" w14:textId="77777777" w:rsidR="008618A3" w:rsidRPr="008618A3" w:rsidRDefault="008618A3" w:rsidP="008618A3">
      <w:pPr>
        <w:pStyle w:val="NormalWeb"/>
        <w:spacing w:line="480" w:lineRule="auto"/>
      </w:pPr>
      <w:r w:rsidRPr="008618A3">
        <w:t>In our analysis, the correlation matrix revealed the following insights:</w:t>
      </w:r>
    </w:p>
    <w:p w14:paraId="512ECB31" w14:textId="77777777" w:rsidR="008618A3" w:rsidRPr="008618A3" w:rsidRDefault="008618A3" w:rsidP="008618A3">
      <w:pPr>
        <w:pStyle w:val="NormalWeb"/>
        <w:numPr>
          <w:ilvl w:val="0"/>
          <w:numId w:val="2"/>
        </w:numPr>
        <w:spacing w:line="480" w:lineRule="auto"/>
      </w:pPr>
      <w:r w:rsidRPr="008618A3">
        <w:t xml:space="preserve">The correlation between arrest counts and </w:t>
      </w:r>
      <w:r w:rsidRPr="008618A3">
        <w:rPr>
          <w:rStyle w:val="Strong"/>
          <w:rFonts w:eastAsiaTheme="majorEastAsia"/>
          <w:b w:val="0"/>
          <w:bCs w:val="0"/>
        </w:rPr>
        <w:t>extremely low-income housing units</w:t>
      </w:r>
      <w:r w:rsidRPr="008618A3">
        <w:t xml:space="preserve"> is moderate, with a correlation coefficient of </w:t>
      </w:r>
      <w:r w:rsidRPr="008618A3">
        <w:rPr>
          <w:rStyle w:val="Strong"/>
          <w:rFonts w:eastAsiaTheme="majorEastAsia"/>
          <w:b w:val="0"/>
          <w:bCs w:val="0"/>
        </w:rPr>
        <w:t>0.4008</w:t>
      </w:r>
      <w:r w:rsidRPr="008618A3">
        <w:rPr>
          <w:b/>
          <w:bCs/>
        </w:rPr>
        <w:t>.</w:t>
      </w:r>
      <w:r w:rsidRPr="008618A3">
        <w:t xml:space="preserve"> While this suggests a notable relationship, it is not definitive enough to claim a direct cause-and-effect link.</w:t>
      </w:r>
    </w:p>
    <w:p w14:paraId="0B35FF2E" w14:textId="77777777" w:rsidR="008618A3" w:rsidRPr="008618A3" w:rsidRDefault="008618A3" w:rsidP="008618A3">
      <w:pPr>
        <w:pStyle w:val="NormalWeb"/>
        <w:numPr>
          <w:ilvl w:val="0"/>
          <w:numId w:val="2"/>
        </w:numPr>
        <w:spacing w:line="480" w:lineRule="auto"/>
      </w:pPr>
      <w:r w:rsidRPr="008618A3">
        <w:lastRenderedPageBreak/>
        <w:t xml:space="preserve">The correlation between arrest counts and </w:t>
      </w:r>
      <w:r w:rsidRPr="008618A3">
        <w:rPr>
          <w:rStyle w:val="Strong"/>
          <w:rFonts w:eastAsiaTheme="majorEastAsia"/>
          <w:b w:val="0"/>
          <w:bCs w:val="0"/>
        </w:rPr>
        <w:t>low-income housing units</w:t>
      </w:r>
      <w:r w:rsidRPr="008618A3">
        <w:t xml:space="preserve"> is very strong, at </w:t>
      </w:r>
      <w:r w:rsidRPr="008618A3">
        <w:rPr>
          <w:rStyle w:val="Strong"/>
          <w:rFonts w:eastAsiaTheme="majorEastAsia"/>
          <w:b w:val="0"/>
          <w:bCs w:val="0"/>
        </w:rPr>
        <w:t>0.7936</w:t>
      </w:r>
      <w:r w:rsidRPr="008618A3">
        <w:t>. This highlights a significant and consistent association between the density of low-income housing and the frequency of crimes, reinforcing the idea that low-income housing concentrations are strongly linked to higher crime rates.</w:t>
      </w:r>
    </w:p>
    <w:p w14:paraId="318B3C29" w14:textId="77777777" w:rsidR="008618A3" w:rsidRPr="008618A3" w:rsidRDefault="008618A3" w:rsidP="008618A3">
      <w:pPr>
        <w:pStyle w:val="NormalWeb"/>
        <w:numPr>
          <w:ilvl w:val="0"/>
          <w:numId w:val="2"/>
        </w:numPr>
        <w:spacing w:line="480" w:lineRule="auto"/>
      </w:pPr>
      <w:r w:rsidRPr="008618A3">
        <w:t xml:space="preserve">The correlation between arrest counts and </w:t>
      </w:r>
      <w:r w:rsidRPr="008618A3">
        <w:rPr>
          <w:rStyle w:val="Strong"/>
          <w:rFonts w:eastAsiaTheme="majorEastAsia"/>
          <w:b w:val="0"/>
          <w:bCs w:val="0"/>
        </w:rPr>
        <w:t>middle-income housing units</w:t>
      </w:r>
      <w:r w:rsidRPr="008618A3">
        <w:t xml:space="preserve"> is weakly negative at</w:t>
      </w:r>
      <w:r w:rsidRPr="008618A3">
        <w:rPr>
          <w:b/>
          <w:bCs/>
        </w:rPr>
        <w:t xml:space="preserve"> </w:t>
      </w:r>
      <w:r w:rsidRPr="008618A3">
        <w:rPr>
          <w:rStyle w:val="Strong"/>
          <w:rFonts w:eastAsiaTheme="majorEastAsia"/>
          <w:b w:val="0"/>
          <w:bCs w:val="0"/>
        </w:rPr>
        <w:t>-0.2611</w:t>
      </w:r>
      <w:r w:rsidRPr="008618A3">
        <w:rPr>
          <w:b/>
          <w:bCs/>
        </w:rPr>
        <w:t>,</w:t>
      </w:r>
      <w:r w:rsidRPr="008618A3">
        <w:t xml:space="preserve"> indicating that areas with more middle-income housing experience slightly fewer crimes.</w:t>
      </w:r>
    </w:p>
    <w:p w14:paraId="393BD624" w14:textId="1D384855" w:rsidR="008618A3" w:rsidRPr="008618A3" w:rsidRDefault="008618A3" w:rsidP="004D1146">
      <w:pPr>
        <w:pStyle w:val="NormalWeb"/>
        <w:spacing w:line="480" w:lineRule="auto"/>
        <w:ind w:firstLine="360"/>
      </w:pPr>
      <w:r w:rsidRPr="008618A3">
        <w:t>These findings strongly support the hypothesis that the concentration of low-income housing is a significant factor influencing crime levels in these neighborhoods, with a clear increase in arrests in areas with higher low-income housing density. Our analysis suggests that affordable housing, particularly low-income housing, plays a crucial role in shaping crime patterns in Brooklyn. Neighborhoods with higher concentrations of low-income units tend to experience higher crime rates, while areas with middle-income housing report fewer arrests.</w:t>
      </w:r>
    </w:p>
    <w:p w14:paraId="1FE8EFE3" w14:textId="77777777" w:rsidR="008618A3" w:rsidRDefault="008618A3" w:rsidP="008618A3">
      <w:pPr>
        <w:spacing w:line="480" w:lineRule="auto"/>
        <w:rPr>
          <w:rFonts w:ascii="Times New Roman" w:eastAsia="Times New Roman" w:hAnsi="Times New Roman" w:cs="Times New Roman"/>
          <w:b/>
          <w:bCs/>
          <w:color w:val="000000"/>
        </w:rPr>
      </w:pPr>
      <w:r w:rsidRPr="008618A3">
        <w:rPr>
          <w:rFonts w:ascii="Times New Roman" w:eastAsia="Times New Roman" w:hAnsi="Times New Roman" w:cs="Times New Roman"/>
          <w:b/>
          <w:bCs/>
          <w:color w:val="000000"/>
        </w:rPr>
        <w:t> </w:t>
      </w:r>
    </w:p>
    <w:p w14:paraId="63532947" w14:textId="23BCA029" w:rsidR="004D1146" w:rsidRPr="004D1146" w:rsidRDefault="008618A3" w:rsidP="008618A3">
      <w:pPr>
        <w:spacing w:line="480" w:lineRule="auto"/>
        <w:rPr>
          <w:rFonts w:ascii="Times New Roman" w:eastAsia="Times New Roman" w:hAnsi="Times New Roman" w:cs="Times New Roman"/>
          <w:b/>
          <w:bCs/>
          <w:color w:val="000000"/>
        </w:rPr>
      </w:pPr>
      <w:r w:rsidRPr="008618A3">
        <w:rPr>
          <w:rFonts w:ascii="Times New Roman" w:eastAsia="Times New Roman" w:hAnsi="Times New Roman" w:cs="Times New Roman"/>
          <w:b/>
          <w:bCs/>
          <w:color w:val="000000"/>
        </w:rPr>
        <w:t>Is there a relationship between crime and whether it is a holiday or a regular day?</w:t>
      </w:r>
    </w:p>
    <w:p w14:paraId="2D30DBBF" w14:textId="5CC8B986" w:rsidR="00B02D42" w:rsidRDefault="008618A3" w:rsidP="00B02D42">
      <w:pPr>
        <w:spacing w:after="160" w:line="480" w:lineRule="auto"/>
        <w:ind w:firstLine="720"/>
        <w:rPr>
          <w:rFonts w:ascii="Times New Roman" w:eastAsia="Times New Roman" w:hAnsi="Times New Roman" w:cs="Times New Roman"/>
          <w:color w:val="000000"/>
        </w:rPr>
      </w:pPr>
      <w:r w:rsidRPr="008618A3">
        <w:rPr>
          <w:rFonts w:ascii="Times New Roman" w:eastAsia="Times New Roman" w:hAnsi="Times New Roman" w:cs="Times New Roman"/>
          <w:color w:val="000000"/>
        </w:rPr>
        <w:t xml:space="preserve">During the holiday season, we initially expected crime rates to increase explicitly on Christmas </w:t>
      </w:r>
      <w:r w:rsidR="00152767">
        <w:rPr>
          <w:rFonts w:ascii="Times New Roman" w:eastAsia="Times New Roman" w:hAnsi="Times New Roman" w:cs="Times New Roman"/>
          <w:color w:val="000000"/>
        </w:rPr>
        <w:t>Day</w:t>
      </w:r>
      <w:r w:rsidRPr="008618A3">
        <w:rPr>
          <w:rFonts w:ascii="Times New Roman" w:eastAsia="Times New Roman" w:hAnsi="Times New Roman" w:cs="Times New Roman"/>
          <w:color w:val="000000"/>
        </w:rPr>
        <w:t xml:space="preserve"> and New </w:t>
      </w:r>
      <w:r w:rsidR="00152767">
        <w:rPr>
          <w:rFonts w:ascii="Times New Roman" w:eastAsia="Times New Roman" w:hAnsi="Times New Roman" w:cs="Times New Roman"/>
          <w:color w:val="000000"/>
        </w:rPr>
        <w:t>Year's</w:t>
      </w:r>
      <w:r w:rsidRPr="008618A3">
        <w:rPr>
          <w:rFonts w:ascii="Times New Roman" w:eastAsia="Times New Roman" w:hAnsi="Times New Roman" w:cs="Times New Roman"/>
          <w:color w:val="000000"/>
        </w:rPr>
        <w:t xml:space="preserve"> Eve. Since these days would essentially have the largest crowds of people gathering around to celebrate, we expected these days to hold the biggest opportunities for crime. However, interestingly, the arrests concentrated on December 30th have the highest number of arrests (91) with arrests being generally lower on holidays. Christmas (12/25) and New Year’s Eve (12/31) show the fewest arrests (27 and 40, respectively).</w:t>
      </w:r>
    </w:p>
    <w:p w14:paraId="7DD965D8" w14:textId="1B823654" w:rsidR="00B02D42" w:rsidRPr="008618A3" w:rsidRDefault="00B02D42" w:rsidP="00B02D42">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lastRenderedPageBreak/>
        <w:t xml:space="preserve">This unexpected finding is supported by several research studies. An article from the </w:t>
      </w:r>
      <w:r w:rsidRPr="008618A3">
        <w:rPr>
          <w:rFonts w:ascii="Times New Roman" w:eastAsia="Times New Roman" w:hAnsi="Times New Roman" w:cs="Times New Roman"/>
          <w:i/>
          <w:iCs/>
          <w:color w:val="000000"/>
        </w:rPr>
        <w:t>Journal of Criminal Justice</w:t>
      </w:r>
      <w:r w:rsidRPr="008618A3">
        <w:rPr>
          <w:rFonts w:ascii="Times New Roman" w:eastAsia="Times New Roman" w:hAnsi="Times New Roman" w:cs="Times New Roman"/>
          <w:color w:val="000000"/>
        </w:rPr>
        <w:t xml:space="preserve"> (Volume 31) by Ellen G. Cohn explains, "During major holidays, changes in routine activities—such as family gatherings and staying at home—lead to reduced opportunities for crimes like burglary and theft" (Cohn, 2003). The study, based on Routine Activity (RA) theory, further suggests that "family gatherings on major holidays like Christmas and New Year's create an environment where 'motivated offenders' are less likely to find suitable victims for property crimes" (Cohn et al., 2003).</w:t>
      </w:r>
    </w:p>
    <w:p w14:paraId="18250303" w14:textId="77777777" w:rsidR="00B02D42" w:rsidRPr="008618A3" w:rsidRDefault="00B02D42" w:rsidP="00B02D42">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 xml:space="preserve">Similarly, Simon Field’s </w:t>
      </w:r>
      <w:r w:rsidRPr="008618A3">
        <w:rPr>
          <w:rFonts w:ascii="Times New Roman" w:eastAsia="Times New Roman" w:hAnsi="Times New Roman" w:cs="Times New Roman"/>
          <w:i/>
          <w:iCs/>
          <w:color w:val="000000"/>
        </w:rPr>
        <w:t>The Effect of Temperature on Crime</w:t>
      </w:r>
      <w:r w:rsidRPr="008618A3">
        <w:rPr>
          <w:rFonts w:ascii="Times New Roman" w:eastAsia="Times New Roman" w:hAnsi="Times New Roman" w:cs="Times New Roman"/>
          <w:color w:val="000000"/>
        </w:rPr>
        <w:t xml:space="preserve"> emphasizes the role of cold weather during major holidays like Christmas and New Year’s, noting that "colder temperatures create unfavorable conditions for criminal activity, making it more difficult for offenders to commit crimes" (Field, 2012). This view aligns with the findings of Anderson and Anderson (1984), who concluded that "lower temperatures during colder seasons significantly deter violent crimes by reducing outdoor activities and limiting interactions between potential offenders and victims" (Anderson &amp; Anderson, 1984).</w:t>
      </w:r>
    </w:p>
    <w:p w14:paraId="507CE5D8" w14:textId="3C0F3818" w:rsidR="008618A3" w:rsidRPr="008618A3" w:rsidRDefault="00B02D42" w:rsidP="001019F8">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 xml:space="preserve">Furthermore, Cohn's study in </w:t>
      </w:r>
      <w:r w:rsidRPr="008618A3">
        <w:rPr>
          <w:rFonts w:ascii="Times New Roman" w:eastAsia="Times New Roman" w:hAnsi="Times New Roman" w:cs="Times New Roman"/>
          <w:i/>
          <w:iCs/>
          <w:color w:val="000000"/>
        </w:rPr>
        <w:t>Journal of Criminal Justice</w:t>
      </w:r>
      <w:r w:rsidRPr="008618A3">
        <w:rPr>
          <w:rFonts w:ascii="Times New Roman" w:eastAsia="Times New Roman" w:hAnsi="Times New Roman" w:cs="Times New Roman"/>
          <w:color w:val="000000"/>
        </w:rPr>
        <w:t xml:space="preserve"> highlights that "both violent and property crimes were significantly related to major holidays, with crimes of expressive violence (e.g., assaults) being more prevalent and property crimes less frequent" (Cohn et al., 2003). The article explains that the presence of family members during these holidays reduces the likelihood of property crimes, as "families tend to gather in larger groups, providing more 'guardians' to deter theft or burglary" (Cohn et al., 2003). This aligns with Routine Activity (RA) theory, which posits that "the absence of a capable guardian is a key requirement for crimes like burglary, and family gatherings increase the likelihood of guardianship" (Felson, 1998).</w:t>
      </w:r>
      <w:r w:rsidR="008618A3" w:rsidRPr="008618A3">
        <w:rPr>
          <w:rFonts w:ascii="Times New Roman" w:eastAsia="Times New Roman" w:hAnsi="Times New Roman" w:cs="Times New Roman"/>
        </w:rPr>
        <w:br/>
      </w:r>
    </w:p>
    <w:p w14:paraId="628A675C" w14:textId="77777777" w:rsidR="008618A3" w:rsidRPr="008618A3" w:rsidRDefault="008618A3" w:rsidP="008618A3">
      <w:pPr>
        <w:spacing w:line="480" w:lineRule="auto"/>
        <w:jc w:val="center"/>
        <w:rPr>
          <w:rFonts w:ascii="Times New Roman" w:eastAsia="Times New Roman" w:hAnsi="Times New Roman" w:cs="Times New Roman"/>
        </w:rPr>
      </w:pPr>
      <w:r w:rsidRPr="008618A3">
        <w:rPr>
          <w:rFonts w:ascii="Times New Roman" w:eastAsia="Times New Roman" w:hAnsi="Times New Roman" w:cs="Times New Roman"/>
          <w:b/>
          <w:bCs/>
          <w:color w:val="000000"/>
        </w:rPr>
        <w:lastRenderedPageBreak/>
        <w:t>(C) Business Implications</w:t>
      </w:r>
    </w:p>
    <w:p w14:paraId="72AC10BB" w14:textId="77777777" w:rsidR="008618A3" w:rsidRPr="008618A3" w:rsidRDefault="008618A3" w:rsidP="008618A3">
      <w:pPr>
        <w:spacing w:before="240" w:after="240" w:line="480" w:lineRule="auto"/>
        <w:rPr>
          <w:rFonts w:ascii="Times New Roman" w:eastAsia="Times New Roman" w:hAnsi="Times New Roman" w:cs="Times New Roman"/>
        </w:rPr>
      </w:pPr>
      <w:r w:rsidRPr="008618A3">
        <w:rPr>
          <w:rFonts w:ascii="Times New Roman" w:eastAsia="Times New Roman" w:hAnsi="Times New Roman" w:cs="Times New Roman"/>
          <w:color w:val="000000"/>
        </w:rPr>
        <w:t>These findings can offer several benefits to the city and its residents:</w:t>
      </w:r>
    </w:p>
    <w:p w14:paraId="4E0ACDBE" w14:textId="77777777" w:rsidR="008618A3" w:rsidRPr="008618A3" w:rsidRDefault="008618A3" w:rsidP="008618A3">
      <w:pPr>
        <w:numPr>
          <w:ilvl w:val="0"/>
          <w:numId w:val="3"/>
        </w:numPr>
        <w:spacing w:before="240"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b/>
          <w:bCs/>
          <w:color w:val="000000"/>
        </w:rPr>
        <w:t>For City Authorities</w:t>
      </w:r>
      <w:r w:rsidRPr="008618A3">
        <w:rPr>
          <w:rFonts w:ascii="Times New Roman" w:eastAsia="Times New Roman" w:hAnsi="Times New Roman" w:cs="Times New Roman"/>
          <w:color w:val="000000"/>
        </w:rPr>
        <w:t>:</w:t>
      </w:r>
    </w:p>
    <w:p w14:paraId="0F83DCF3" w14:textId="77777777" w:rsidR="008618A3" w:rsidRPr="008618A3" w:rsidRDefault="008618A3" w:rsidP="008618A3">
      <w:pPr>
        <w:numPr>
          <w:ilvl w:val="1"/>
          <w:numId w:val="3"/>
        </w:numPr>
        <w:spacing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color w:val="000000"/>
        </w:rPr>
        <w:t>The city can use this data to allocate funds strategically to low-income neighborhoods. Investments in education, community programs, and improved access to safety resources can help address the root causes of crime and lead to a reduction in crime rates over time.</w:t>
      </w:r>
    </w:p>
    <w:p w14:paraId="50C01178" w14:textId="77777777" w:rsidR="008618A3" w:rsidRPr="008618A3" w:rsidRDefault="008618A3" w:rsidP="008618A3">
      <w:pPr>
        <w:numPr>
          <w:ilvl w:val="1"/>
          <w:numId w:val="3"/>
        </w:numPr>
        <w:spacing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color w:val="000000"/>
        </w:rPr>
        <w:t>Targeted initiatives, such as job training programs or after-school activities, can improve living conditions and provide alternative pathways for residents in these areas.</w:t>
      </w:r>
    </w:p>
    <w:p w14:paraId="736B1576" w14:textId="77777777" w:rsidR="008618A3" w:rsidRPr="008618A3" w:rsidRDefault="008618A3" w:rsidP="008618A3">
      <w:pPr>
        <w:numPr>
          <w:ilvl w:val="0"/>
          <w:numId w:val="3"/>
        </w:numPr>
        <w:spacing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b/>
          <w:bCs/>
          <w:color w:val="000000"/>
        </w:rPr>
        <w:t>For the Public</w:t>
      </w:r>
      <w:r w:rsidRPr="008618A3">
        <w:rPr>
          <w:rFonts w:ascii="Times New Roman" w:eastAsia="Times New Roman" w:hAnsi="Times New Roman" w:cs="Times New Roman"/>
          <w:color w:val="000000"/>
        </w:rPr>
        <w:t>:</w:t>
      </w:r>
    </w:p>
    <w:p w14:paraId="6E234D25" w14:textId="77777777" w:rsidR="008618A3" w:rsidRPr="008618A3" w:rsidRDefault="008618A3" w:rsidP="008618A3">
      <w:pPr>
        <w:numPr>
          <w:ilvl w:val="1"/>
          <w:numId w:val="3"/>
        </w:numPr>
        <w:spacing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color w:val="000000"/>
        </w:rPr>
        <w:t>Residents and visitors can use this analysis as a public safety advisory (PSA) to understand which neighborhoods may pose higher risks during travel, allowing them to make informed decisions to ensure their safety.</w:t>
      </w:r>
    </w:p>
    <w:p w14:paraId="5B537941" w14:textId="77777777" w:rsidR="008618A3" w:rsidRPr="008618A3" w:rsidRDefault="008618A3" w:rsidP="008618A3">
      <w:pPr>
        <w:numPr>
          <w:ilvl w:val="0"/>
          <w:numId w:val="3"/>
        </w:numPr>
        <w:spacing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b/>
          <w:bCs/>
          <w:color w:val="000000"/>
        </w:rPr>
        <w:t>Long-Term Community Impact</w:t>
      </w:r>
      <w:r w:rsidRPr="008618A3">
        <w:rPr>
          <w:rFonts w:ascii="Times New Roman" w:eastAsia="Times New Roman" w:hAnsi="Times New Roman" w:cs="Times New Roman"/>
          <w:color w:val="000000"/>
        </w:rPr>
        <w:t>:</w:t>
      </w:r>
    </w:p>
    <w:p w14:paraId="2C5F9359" w14:textId="77777777" w:rsidR="008618A3" w:rsidRPr="008618A3" w:rsidRDefault="008618A3" w:rsidP="008618A3">
      <w:pPr>
        <w:numPr>
          <w:ilvl w:val="1"/>
          <w:numId w:val="3"/>
        </w:numPr>
        <w:spacing w:after="240" w:line="480" w:lineRule="auto"/>
        <w:textAlignment w:val="baseline"/>
        <w:rPr>
          <w:rFonts w:ascii="Times New Roman" w:eastAsia="Times New Roman" w:hAnsi="Times New Roman" w:cs="Times New Roman"/>
          <w:color w:val="000000"/>
        </w:rPr>
      </w:pPr>
      <w:r w:rsidRPr="008618A3">
        <w:rPr>
          <w:rFonts w:ascii="Times New Roman" w:eastAsia="Times New Roman" w:hAnsi="Times New Roman" w:cs="Times New Roman"/>
          <w:color w:val="000000"/>
        </w:rPr>
        <w:t>By prioritizing neighborhoods most in need of resources and focusing on long-term improvements, the city can create safer, more sustainable communities. Addressing the underlying socio-economic challenges will not only reduce crime but also enhance the overall quality of life for residents.</w:t>
      </w:r>
    </w:p>
    <w:p w14:paraId="69A483EA" w14:textId="77777777" w:rsidR="008618A3" w:rsidRPr="008618A3" w:rsidRDefault="008618A3" w:rsidP="008618A3">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By leveraging these insights, city policymakers and residents can work together to create targeted strategies that address specific challenges faced by high-crime, low-income neighborhoods, ultimately fostering safer and more equitable urban environments.</w:t>
      </w:r>
    </w:p>
    <w:p w14:paraId="676585E4" w14:textId="77777777" w:rsidR="008618A3" w:rsidRPr="008618A3" w:rsidRDefault="008618A3" w:rsidP="008618A3">
      <w:pPr>
        <w:spacing w:before="240" w:after="240"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lastRenderedPageBreak/>
        <w:t>Being that the lowest crime rates in Brooklyn occur during holidays (with those days having the most intense security measures), the major should implement more security measures within these neighborhoods outside of holiday seasons. Not only will this ensure the safety of lower-income neighborhoods, but it will also benefit the economy. </w:t>
      </w:r>
    </w:p>
    <w:p w14:paraId="3CCE6C85" w14:textId="77777777" w:rsidR="008618A3" w:rsidRPr="008618A3" w:rsidRDefault="008618A3" w:rsidP="008618A3">
      <w:pPr>
        <w:spacing w:after="240" w:line="480" w:lineRule="auto"/>
        <w:rPr>
          <w:rFonts w:ascii="Times New Roman" w:eastAsia="Times New Roman" w:hAnsi="Times New Roman" w:cs="Times New Roman"/>
        </w:rPr>
      </w:pPr>
    </w:p>
    <w:p w14:paraId="56260B59" w14:textId="77777777" w:rsidR="008618A3" w:rsidRPr="008618A3" w:rsidRDefault="008618A3" w:rsidP="008618A3">
      <w:pPr>
        <w:spacing w:line="480" w:lineRule="auto"/>
        <w:jc w:val="center"/>
        <w:rPr>
          <w:rFonts w:ascii="Times New Roman" w:eastAsia="Times New Roman" w:hAnsi="Times New Roman" w:cs="Times New Roman"/>
        </w:rPr>
      </w:pPr>
      <w:r w:rsidRPr="008618A3">
        <w:rPr>
          <w:rFonts w:ascii="Times New Roman" w:eastAsia="Times New Roman" w:hAnsi="Times New Roman" w:cs="Times New Roman"/>
          <w:b/>
          <w:bCs/>
          <w:color w:val="000000"/>
        </w:rPr>
        <w:t>(D) Future Work (Limitations of This Project)</w:t>
      </w:r>
    </w:p>
    <w:p w14:paraId="0C8E37CB" w14:textId="77777777" w:rsidR="008618A3" w:rsidRPr="008618A3" w:rsidRDefault="008618A3" w:rsidP="008618A3">
      <w:pPr>
        <w:spacing w:line="480" w:lineRule="auto"/>
        <w:rPr>
          <w:rFonts w:ascii="Times New Roman" w:eastAsia="Times New Roman" w:hAnsi="Times New Roman" w:cs="Times New Roman"/>
        </w:rPr>
      </w:pPr>
    </w:p>
    <w:p w14:paraId="41C0A3D9" w14:textId="17BA070E" w:rsidR="008618A3" w:rsidRDefault="008618A3" w:rsidP="008E6A4E">
      <w:pPr>
        <w:spacing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One limitation of this project is the narrow time frame of the analysis, which focuses on only two weeks during the holiday season. This period may not represent typical trends, as arrest rates during the holidays could be higher or lower than in an average week. For example, while overall arrests were elevated, we observed a significant decrease in crime on specific holidays, such as December 25th (Christmas) and December 31st (New Year’s Eve). These anomalies suggest that seasonal factors can heavily influence the data.</w:t>
      </w:r>
    </w:p>
    <w:p w14:paraId="52194B97" w14:textId="77777777" w:rsidR="008E6A4E" w:rsidRPr="008618A3" w:rsidRDefault="008E6A4E" w:rsidP="008E6A4E">
      <w:pPr>
        <w:spacing w:line="480" w:lineRule="auto"/>
        <w:ind w:firstLine="720"/>
        <w:rPr>
          <w:rFonts w:ascii="Times New Roman" w:eastAsia="Times New Roman" w:hAnsi="Times New Roman" w:cs="Times New Roman"/>
        </w:rPr>
      </w:pPr>
    </w:p>
    <w:p w14:paraId="165A8EC8" w14:textId="77777777" w:rsidR="008618A3" w:rsidRPr="008618A3" w:rsidRDefault="008618A3" w:rsidP="008618A3">
      <w:pPr>
        <w:spacing w:line="480" w:lineRule="auto"/>
        <w:ind w:firstLine="720"/>
        <w:rPr>
          <w:rFonts w:ascii="Times New Roman" w:eastAsia="Times New Roman" w:hAnsi="Times New Roman" w:cs="Times New Roman"/>
        </w:rPr>
      </w:pPr>
      <w:r w:rsidRPr="008618A3">
        <w:rPr>
          <w:rFonts w:ascii="Times New Roman" w:eastAsia="Times New Roman" w:hAnsi="Times New Roman" w:cs="Times New Roman"/>
          <w:color w:val="000000"/>
        </w:rPr>
        <w:t>Additionally, we attempted to explore correlations between the types of crimes commonly committed in each neighborhood. However, this analysis was limited due to the incompatibility of data types (strings for crime types and integers for numerical correlations), making it challenging to quantify these relationships in the current coding framework.</w:t>
      </w:r>
    </w:p>
    <w:p w14:paraId="0BEC63AB" w14:textId="38BD1876" w:rsidR="008618A3" w:rsidRPr="008618A3" w:rsidRDefault="008E6A4E" w:rsidP="00B02D42">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color w:val="000000"/>
        </w:rPr>
        <w:t>Overall, t</w:t>
      </w:r>
      <w:r w:rsidR="008618A3" w:rsidRPr="008618A3">
        <w:rPr>
          <w:rFonts w:ascii="Times New Roman" w:eastAsia="Times New Roman" w:hAnsi="Times New Roman" w:cs="Times New Roman"/>
          <w:color w:val="000000"/>
        </w:rPr>
        <w:t>hese combined findings challenge the conventional belief that crime rates rise during festive periods and provide strong evidence that holidays, particularly those involving family gatherings, may lead to a reduction in certain types of crime.</w:t>
      </w:r>
    </w:p>
    <w:p w14:paraId="538338F7" w14:textId="77777777" w:rsidR="008618A3" w:rsidRDefault="008618A3" w:rsidP="004D1146">
      <w:pPr>
        <w:pStyle w:val="NormalWeb"/>
        <w:spacing w:line="480" w:lineRule="auto"/>
        <w:ind w:firstLine="720"/>
      </w:pPr>
      <w:r>
        <w:lastRenderedPageBreak/>
        <w:t>In conclusion, our study provides valuable insights into the relationship between affordable housing and crime rates in Brooklyn, particularly during the holiday season. The findings suggest that low-income housing density is closely linked to higher crime rates, while middle-income housing areas tend to report fewer arrests. The analysis also challenges traditional assumptions about crime spikes during holidays, revealing that increased security measures and family gatherings can reduce opportunities for certain crimes.</w:t>
      </w:r>
    </w:p>
    <w:p w14:paraId="6C2D3DF6" w14:textId="77777777" w:rsidR="008618A3" w:rsidRDefault="008618A3" w:rsidP="004D1146">
      <w:pPr>
        <w:pStyle w:val="NormalWeb"/>
        <w:spacing w:line="480" w:lineRule="auto"/>
        <w:ind w:firstLine="720"/>
      </w:pPr>
      <w:r>
        <w:t>By leveraging these insights, city officials can create more targeted and effective policies to address the challenges faced by low-income neighborhoods, ultimately fostering safer and more resilient communities.</w:t>
      </w:r>
    </w:p>
    <w:p w14:paraId="64ED7DBB" w14:textId="77777777" w:rsidR="004D1146" w:rsidRDefault="004D1146" w:rsidP="004D1146">
      <w:pPr>
        <w:pStyle w:val="NormalWeb"/>
        <w:spacing w:line="480" w:lineRule="auto"/>
        <w:ind w:firstLine="720"/>
      </w:pPr>
    </w:p>
    <w:p w14:paraId="668FBBA1" w14:textId="77777777" w:rsidR="00DC4D26" w:rsidRDefault="00DC4D26" w:rsidP="008618A3">
      <w:pPr>
        <w:spacing w:after="240" w:line="480" w:lineRule="auto"/>
        <w:rPr>
          <w:rFonts w:ascii="Times New Roman" w:eastAsia="Times New Roman" w:hAnsi="Times New Roman" w:cs="Times New Roman"/>
          <w:b/>
          <w:bCs/>
        </w:rPr>
      </w:pPr>
    </w:p>
    <w:p w14:paraId="45D97DF1" w14:textId="77777777" w:rsidR="00625454" w:rsidRDefault="00625454" w:rsidP="006C3204">
      <w:pPr>
        <w:spacing w:after="240" w:line="480" w:lineRule="auto"/>
        <w:jc w:val="center"/>
        <w:rPr>
          <w:rFonts w:ascii="Times New Roman" w:eastAsia="Times New Roman" w:hAnsi="Times New Roman" w:cs="Times New Roman"/>
          <w:b/>
          <w:bCs/>
        </w:rPr>
      </w:pPr>
    </w:p>
    <w:p w14:paraId="6A068BBE" w14:textId="77777777" w:rsidR="00625454" w:rsidRDefault="00625454" w:rsidP="006C3204">
      <w:pPr>
        <w:spacing w:after="240" w:line="480" w:lineRule="auto"/>
        <w:jc w:val="center"/>
        <w:rPr>
          <w:rFonts w:ascii="Times New Roman" w:eastAsia="Times New Roman" w:hAnsi="Times New Roman" w:cs="Times New Roman"/>
          <w:b/>
          <w:bCs/>
        </w:rPr>
      </w:pPr>
    </w:p>
    <w:p w14:paraId="681E2EEA" w14:textId="77777777" w:rsidR="00625454" w:rsidRDefault="00625454" w:rsidP="006C3204">
      <w:pPr>
        <w:spacing w:after="240" w:line="480" w:lineRule="auto"/>
        <w:jc w:val="center"/>
        <w:rPr>
          <w:rFonts w:ascii="Times New Roman" w:eastAsia="Times New Roman" w:hAnsi="Times New Roman" w:cs="Times New Roman"/>
          <w:b/>
          <w:bCs/>
        </w:rPr>
      </w:pPr>
    </w:p>
    <w:p w14:paraId="76438519" w14:textId="77777777" w:rsidR="00625454" w:rsidRDefault="00625454" w:rsidP="006C3204">
      <w:pPr>
        <w:spacing w:after="240" w:line="480" w:lineRule="auto"/>
        <w:jc w:val="center"/>
        <w:rPr>
          <w:rFonts w:ascii="Times New Roman" w:eastAsia="Times New Roman" w:hAnsi="Times New Roman" w:cs="Times New Roman"/>
          <w:b/>
          <w:bCs/>
        </w:rPr>
      </w:pPr>
    </w:p>
    <w:p w14:paraId="5B76955E" w14:textId="77777777" w:rsidR="00625454" w:rsidRDefault="00625454" w:rsidP="006C3204">
      <w:pPr>
        <w:spacing w:after="240" w:line="480" w:lineRule="auto"/>
        <w:jc w:val="center"/>
        <w:rPr>
          <w:rFonts w:ascii="Times New Roman" w:eastAsia="Times New Roman" w:hAnsi="Times New Roman" w:cs="Times New Roman"/>
          <w:b/>
          <w:bCs/>
        </w:rPr>
      </w:pPr>
    </w:p>
    <w:p w14:paraId="7EDE7A0C" w14:textId="77777777" w:rsidR="00625454" w:rsidRDefault="00625454" w:rsidP="006C3204">
      <w:pPr>
        <w:spacing w:after="240" w:line="480" w:lineRule="auto"/>
        <w:jc w:val="center"/>
        <w:rPr>
          <w:rFonts w:ascii="Times New Roman" w:eastAsia="Times New Roman" w:hAnsi="Times New Roman" w:cs="Times New Roman"/>
          <w:b/>
          <w:bCs/>
        </w:rPr>
      </w:pPr>
    </w:p>
    <w:p w14:paraId="03AA1627" w14:textId="77777777" w:rsidR="00625454" w:rsidRDefault="00625454" w:rsidP="006C3204">
      <w:pPr>
        <w:spacing w:after="240" w:line="480" w:lineRule="auto"/>
        <w:jc w:val="center"/>
        <w:rPr>
          <w:rFonts w:ascii="Times New Roman" w:eastAsia="Times New Roman" w:hAnsi="Times New Roman" w:cs="Times New Roman"/>
          <w:b/>
          <w:bCs/>
        </w:rPr>
      </w:pPr>
    </w:p>
    <w:p w14:paraId="06B85012" w14:textId="37FD18B8" w:rsidR="008618A3" w:rsidRPr="008618A3" w:rsidRDefault="006C3204" w:rsidP="006C3204">
      <w:pPr>
        <w:spacing w:after="24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42D54605" w14:textId="77777777" w:rsidR="008618A3" w:rsidRDefault="008618A3" w:rsidP="006C3204">
      <w:pPr>
        <w:spacing w:line="480" w:lineRule="auto"/>
        <w:ind w:left="720" w:hanging="720"/>
        <w:rPr>
          <w:rFonts w:ascii="Times New Roman" w:eastAsia="Times New Roman" w:hAnsi="Times New Roman" w:cs="Times New Roman"/>
          <w:color w:val="467886"/>
          <w:u w:val="single"/>
        </w:rPr>
      </w:pPr>
      <w:r w:rsidRPr="008618A3">
        <w:rPr>
          <w:rFonts w:ascii="Times New Roman" w:eastAsia="Times New Roman" w:hAnsi="Times New Roman" w:cs="Times New Roman"/>
          <w:color w:val="000000"/>
        </w:rPr>
        <w:t xml:space="preserve">Cohn, E. G., &amp; Rotton, J. (2003). Even criminals take a holiday: Instrumental and expressive crimes on major and minor holidays. </w:t>
      </w:r>
      <w:r w:rsidRPr="008618A3">
        <w:rPr>
          <w:rFonts w:ascii="Times New Roman" w:eastAsia="Times New Roman" w:hAnsi="Times New Roman" w:cs="Times New Roman"/>
          <w:i/>
          <w:iCs/>
          <w:color w:val="000000"/>
        </w:rPr>
        <w:t>Journal of Criminal Justice, 31</w:t>
      </w:r>
      <w:r w:rsidRPr="008618A3">
        <w:rPr>
          <w:rFonts w:ascii="Times New Roman" w:eastAsia="Times New Roman" w:hAnsi="Times New Roman" w:cs="Times New Roman"/>
          <w:color w:val="000000"/>
        </w:rPr>
        <w:t>(4), 351–360.</w:t>
      </w:r>
      <w:hyperlink r:id="rId10" w:history="1">
        <w:r w:rsidRPr="008618A3">
          <w:rPr>
            <w:rFonts w:ascii="Times New Roman" w:eastAsia="Times New Roman" w:hAnsi="Times New Roman" w:cs="Times New Roman"/>
            <w:color w:val="000000"/>
            <w:u w:val="single"/>
          </w:rPr>
          <w:t xml:space="preserve"> </w:t>
        </w:r>
        <w:r w:rsidRPr="008618A3">
          <w:rPr>
            <w:rFonts w:ascii="Times New Roman" w:eastAsia="Times New Roman" w:hAnsi="Times New Roman" w:cs="Times New Roman"/>
            <w:color w:val="467886"/>
            <w:u w:val="single"/>
          </w:rPr>
          <w:t>https://doi.org/10.1016/S0047-2352(03)00029-1</w:t>
        </w:r>
      </w:hyperlink>
    </w:p>
    <w:p w14:paraId="29D82563" w14:textId="46F0EE10" w:rsidR="00EE06A9" w:rsidRPr="008618A3" w:rsidRDefault="00EE06A9" w:rsidP="00EE06A9">
      <w:pPr>
        <w:spacing w:line="480" w:lineRule="auto"/>
        <w:ind w:left="720" w:hanging="720"/>
        <w:rPr>
          <w:rFonts w:ascii="Times New Roman" w:eastAsia="Times New Roman" w:hAnsi="Times New Roman" w:cs="Times New Roman"/>
        </w:rPr>
      </w:pPr>
      <w:r w:rsidRPr="008618A3">
        <w:rPr>
          <w:rFonts w:ascii="Times New Roman" w:eastAsia="Times New Roman" w:hAnsi="Times New Roman" w:cs="Times New Roman"/>
          <w:color w:val="000000"/>
        </w:rPr>
        <w:t xml:space="preserve">Bouffard, L. A., &amp; Bouffard, J. A. (2016). Understanding the role of opportunities and decision-making processes in holiday crime. </w:t>
      </w:r>
      <w:r w:rsidRPr="008618A3">
        <w:rPr>
          <w:rFonts w:ascii="Times New Roman" w:eastAsia="Times New Roman" w:hAnsi="Times New Roman" w:cs="Times New Roman"/>
          <w:i/>
          <w:iCs/>
          <w:color w:val="000000"/>
        </w:rPr>
        <w:t>International Journal of Offender Therapy and Comparative Criminology, 60</w:t>
      </w:r>
      <w:r w:rsidRPr="008618A3">
        <w:rPr>
          <w:rFonts w:ascii="Times New Roman" w:eastAsia="Times New Roman" w:hAnsi="Times New Roman" w:cs="Times New Roman"/>
          <w:color w:val="000000"/>
        </w:rPr>
        <w:t>(14), 1659–1679.</w:t>
      </w:r>
      <w:hyperlink r:id="rId11" w:history="1">
        <w:r w:rsidRPr="008618A3">
          <w:rPr>
            <w:rFonts w:ascii="Times New Roman" w:eastAsia="Times New Roman" w:hAnsi="Times New Roman" w:cs="Times New Roman"/>
            <w:color w:val="000000"/>
            <w:u w:val="single"/>
          </w:rPr>
          <w:t xml:space="preserve"> </w:t>
        </w:r>
        <w:r w:rsidRPr="008618A3">
          <w:rPr>
            <w:rFonts w:ascii="Times New Roman" w:eastAsia="Times New Roman" w:hAnsi="Times New Roman" w:cs="Times New Roman"/>
            <w:color w:val="467886"/>
            <w:u w:val="single"/>
          </w:rPr>
          <w:t>https://doi.org/10.1177/0306624X16632259</w:t>
        </w:r>
      </w:hyperlink>
    </w:p>
    <w:p w14:paraId="1E4A2E8C" w14:textId="0A01A740" w:rsidR="008618A3" w:rsidRDefault="008618A3" w:rsidP="006C3204">
      <w:pPr>
        <w:spacing w:line="480" w:lineRule="auto"/>
        <w:ind w:left="720" w:hanging="720"/>
        <w:rPr>
          <w:rFonts w:ascii="Times New Roman" w:eastAsia="Times New Roman" w:hAnsi="Times New Roman" w:cs="Times New Roman"/>
          <w:color w:val="467886"/>
          <w:u w:val="single"/>
        </w:rPr>
      </w:pPr>
      <w:r w:rsidRPr="008618A3">
        <w:rPr>
          <w:rFonts w:ascii="Times New Roman" w:eastAsia="Times New Roman" w:hAnsi="Times New Roman" w:cs="Times New Roman"/>
          <w:color w:val="000000"/>
        </w:rPr>
        <w:t xml:space="preserve">Field, S. (1992). The effect of temperature on crime. </w:t>
      </w:r>
      <w:r w:rsidRPr="008618A3">
        <w:rPr>
          <w:rFonts w:ascii="Times New Roman" w:eastAsia="Times New Roman" w:hAnsi="Times New Roman" w:cs="Times New Roman"/>
          <w:i/>
          <w:iCs/>
          <w:color w:val="000000"/>
        </w:rPr>
        <w:t>The British Journal of Criminology, 32</w:t>
      </w:r>
      <w:r w:rsidRPr="008618A3">
        <w:rPr>
          <w:rFonts w:ascii="Times New Roman" w:eastAsia="Times New Roman" w:hAnsi="Times New Roman" w:cs="Times New Roman"/>
          <w:color w:val="000000"/>
        </w:rPr>
        <w:t>(3), 340–351.</w:t>
      </w:r>
      <w:hyperlink r:id="rId12" w:history="1">
        <w:r w:rsidRPr="008618A3">
          <w:rPr>
            <w:rFonts w:ascii="Times New Roman" w:eastAsia="Times New Roman" w:hAnsi="Times New Roman" w:cs="Times New Roman"/>
            <w:color w:val="000000"/>
            <w:u w:val="single"/>
          </w:rPr>
          <w:t xml:space="preserve"> </w:t>
        </w:r>
        <w:r w:rsidRPr="008618A3">
          <w:rPr>
            <w:rFonts w:ascii="Times New Roman" w:eastAsia="Times New Roman" w:hAnsi="Times New Roman" w:cs="Times New Roman"/>
            <w:color w:val="467886"/>
            <w:u w:val="single"/>
          </w:rPr>
          <w:t>https://doi.org/10.1093/oxfordjournals.bjc.a048222</w:t>
        </w:r>
      </w:hyperlink>
    </w:p>
    <w:p w14:paraId="3CA2A002" w14:textId="77777777" w:rsidR="00E94439" w:rsidRPr="00E94439" w:rsidRDefault="00E94439" w:rsidP="00E94439">
      <w:pPr>
        <w:spacing w:line="480" w:lineRule="auto"/>
        <w:ind w:left="720" w:hanging="720"/>
        <w:rPr>
          <w:rFonts w:ascii="Times New Roman" w:eastAsia="Times New Roman" w:hAnsi="Times New Roman" w:cs="Times New Roman"/>
        </w:rPr>
      </w:pPr>
      <w:r w:rsidRPr="00E94439">
        <w:rPr>
          <w:rFonts w:ascii="Times New Roman" w:eastAsia="Times New Roman" w:hAnsi="Times New Roman" w:cs="Times New Roman"/>
        </w:rPr>
        <w:t xml:space="preserve">Huang, C., Laing, D., &amp; Wang, P. (2004). Crime and poverty: A search-theoretic approach. </w:t>
      </w:r>
      <w:r w:rsidRPr="00E94439">
        <w:rPr>
          <w:rFonts w:ascii="Times New Roman" w:eastAsia="Times New Roman" w:hAnsi="Times New Roman" w:cs="Times New Roman"/>
          <w:i/>
          <w:iCs/>
        </w:rPr>
        <w:t>International Economic Review (Philadelphia)</w:t>
      </w:r>
      <w:r w:rsidRPr="00E94439">
        <w:rPr>
          <w:rFonts w:ascii="Times New Roman" w:eastAsia="Times New Roman" w:hAnsi="Times New Roman" w:cs="Times New Roman"/>
        </w:rPr>
        <w:t xml:space="preserve">, </w:t>
      </w:r>
      <w:r w:rsidRPr="00E94439">
        <w:rPr>
          <w:rFonts w:ascii="Times New Roman" w:eastAsia="Times New Roman" w:hAnsi="Times New Roman" w:cs="Times New Roman"/>
          <w:i/>
          <w:iCs/>
        </w:rPr>
        <w:t>45</w:t>
      </w:r>
      <w:r w:rsidRPr="00E94439">
        <w:rPr>
          <w:rFonts w:ascii="Times New Roman" w:eastAsia="Times New Roman" w:hAnsi="Times New Roman" w:cs="Times New Roman"/>
        </w:rPr>
        <w:t>(3), 909–938. https://doi.org/10.1111/j.0020-6598.2004.00291.x</w:t>
      </w:r>
    </w:p>
    <w:p w14:paraId="51B36157" w14:textId="77777777" w:rsidR="00E94439" w:rsidRPr="008618A3" w:rsidRDefault="00E94439" w:rsidP="006C3204">
      <w:pPr>
        <w:spacing w:line="480" w:lineRule="auto"/>
        <w:ind w:left="720" w:hanging="720"/>
        <w:rPr>
          <w:rFonts w:ascii="Times New Roman" w:eastAsia="Times New Roman" w:hAnsi="Times New Roman" w:cs="Times New Roman"/>
        </w:rPr>
      </w:pPr>
    </w:p>
    <w:p w14:paraId="56D66C76" w14:textId="77777777" w:rsidR="008618A3" w:rsidRPr="008618A3" w:rsidRDefault="008618A3" w:rsidP="008618A3">
      <w:pPr>
        <w:spacing w:line="480" w:lineRule="auto"/>
        <w:rPr>
          <w:rFonts w:ascii="Times New Roman" w:eastAsia="Times New Roman" w:hAnsi="Times New Roman" w:cs="Times New Roman"/>
        </w:rPr>
      </w:pPr>
    </w:p>
    <w:p w14:paraId="32CC93C1" w14:textId="77777777" w:rsidR="008618A3" w:rsidRPr="008618A3" w:rsidRDefault="008618A3" w:rsidP="008618A3">
      <w:pPr>
        <w:spacing w:line="480" w:lineRule="auto"/>
        <w:rPr>
          <w:rFonts w:ascii="Times New Roman" w:eastAsia="Times New Roman" w:hAnsi="Times New Roman" w:cs="Times New Roman"/>
        </w:rPr>
      </w:pPr>
    </w:p>
    <w:p w14:paraId="377CDC9E" w14:textId="77777777" w:rsidR="00EE6BD5" w:rsidRPr="008618A3" w:rsidRDefault="00EE6BD5" w:rsidP="008618A3">
      <w:pPr>
        <w:spacing w:line="480" w:lineRule="auto"/>
        <w:rPr>
          <w:rFonts w:ascii="Times New Roman" w:hAnsi="Times New Roman" w:cs="Times New Roman"/>
        </w:rPr>
      </w:pPr>
    </w:p>
    <w:sectPr w:rsidR="00EE6BD5" w:rsidRPr="008618A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E8B0E" w14:textId="77777777" w:rsidR="007A3543" w:rsidRDefault="007A3543" w:rsidP="007A3543">
      <w:r>
        <w:separator/>
      </w:r>
    </w:p>
  </w:endnote>
  <w:endnote w:type="continuationSeparator" w:id="0">
    <w:p w14:paraId="6E0A841A" w14:textId="77777777" w:rsidR="007A3543" w:rsidRDefault="007A3543" w:rsidP="007A3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2693695"/>
      <w:docPartObj>
        <w:docPartGallery w:val="Page Numbers (Bottom of Page)"/>
        <w:docPartUnique/>
      </w:docPartObj>
    </w:sdtPr>
    <w:sdtEndPr>
      <w:rPr>
        <w:noProof/>
      </w:rPr>
    </w:sdtEndPr>
    <w:sdtContent>
      <w:p w14:paraId="590237FD" w14:textId="26BF4782" w:rsidR="007A3543" w:rsidRDefault="007A3543">
        <w:pPr>
          <w:pStyle w:val="Footer"/>
          <w:jc w:val="right"/>
        </w:pPr>
        <w:r w:rsidRPr="007A3543">
          <w:rPr>
            <w:rFonts w:ascii="Times New Roman" w:hAnsi="Times New Roman" w:cs="Times New Roman"/>
          </w:rPr>
          <w:fldChar w:fldCharType="begin"/>
        </w:r>
        <w:r w:rsidRPr="007A3543">
          <w:rPr>
            <w:rFonts w:ascii="Times New Roman" w:hAnsi="Times New Roman" w:cs="Times New Roman"/>
          </w:rPr>
          <w:instrText xml:space="preserve"> PAGE   \* MERGEFORMAT </w:instrText>
        </w:r>
        <w:r w:rsidRPr="007A3543">
          <w:rPr>
            <w:rFonts w:ascii="Times New Roman" w:hAnsi="Times New Roman" w:cs="Times New Roman"/>
          </w:rPr>
          <w:fldChar w:fldCharType="separate"/>
        </w:r>
        <w:r w:rsidRPr="007A3543">
          <w:rPr>
            <w:rFonts w:ascii="Times New Roman" w:hAnsi="Times New Roman" w:cs="Times New Roman"/>
            <w:noProof/>
          </w:rPr>
          <w:t>2</w:t>
        </w:r>
        <w:r w:rsidRPr="007A3543">
          <w:rPr>
            <w:rFonts w:ascii="Times New Roman" w:hAnsi="Times New Roman" w:cs="Times New Roman"/>
            <w:noProof/>
          </w:rPr>
          <w:fldChar w:fldCharType="end"/>
        </w:r>
      </w:p>
    </w:sdtContent>
  </w:sdt>
  <w:p w14:paraId="23024334" w14:textId="77777777" w:rsidR="007A3543" w:rsidRDefault="007A3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F78B9" w14:textId="77777777" w:rsidR="007A3543" w:rsidRDefault="007A3543" w:rsidP="007A3543">
      <w:r>
        <w:separator/>
      </w:r>
    </w:p>
  </w:footnote>
  <w:footnote w:type="continuationSeparator" w:id="0">
    <w:p w14:paraId="01E67AD7" w14:textId="77777777" w:rsidR="007A3543" w:rsidRDefault="007A3543" w:rsidP="007A3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FFD67" w14:textId="229628FE" w:rsidR="007A3543" w:rsidRPr="007A3543" w:rsidRDefault="007A3543">
    <w:pPr>
      <w:pStyle w:val="Header"/>
      <w:rPr>
        <w:rFonts w:ascii="Times New Roman" w:hAnsi="Times New Roman" w:cs="Times New Roman"/>
      </w:rPr>
    </w:pPr>
    <w:r w:rsidRPr="007A3543">
      <w:rPr>
        <w:rFonts w:ascii="Times New Roman" w:hAnsi="Times New Roman" w:cs="Times New Roman"/>
      </w:rPr>
      <w:t>Group 12</w:t>
    </w:r>
    <w:r w:rsidRPr="007A3543">
      <w:rPr>
        <w:rFonts w:ascii="Times New Roman" w:hAnsi="Times New Roman" w:cs="Times New Roman"/>
      </w:rPr>
      <w:ptab w:relativeTo="margin" w:alignment="center" w:leader="none"/>
    </w:r>
    <w:r w:rsidRPr="007A3543">
      <w:rPr>
        <w:rFonts w:ascii="Times New Roman" w:hAnsi="Times New Roman" w:cs="Times New Roman"/>
      </w:rPr>
      <w:t>CIS2300</w:t>
    </w:r>
    <w:r w:rsidRPr="007A3543">
      <w:rPr>
        <w:rFonts w:ascii="Times New Roman" w:hAnsi="Times New Roman" w:cs="Times New Roman"/>
      </w:rPr>
      <w:ptab w:relativeTo="margin" w:alignment="right" w:leader="none"/>
    </w:r>
    <w:r w:rsidRPr="007A3543">
      <w:rPr>
        <w:rFonts w:ascii="Times New Roman" w:hAnsi="Times New Roman" w:cs="Times New Roman"/>
      </w:rPr>
      <w:fldChar w:fldCharType="begin"/>
    </w:r>
    <w:r w:rsidRPr="007A3543">
      <w:rPr>
        <w:rFonts w:ascii="Times New Roman" w:hAnsi="Times New Roman" w:cs="Times New Roman"/>
      </w:rPr>
      <w:instrText xml:space="preserve"> DATE \@ "M/d/yyyy" </w:instrText>
    </w:r>
    <w:r w:rsidRPr="007A3543">
      <w:rPr>
        <w:rFonts w:ascii="Times New Roman" w:hAnsi="Times New Roman" w:cs="Times New Roman"/>
      </w:rPr>
      <w:fldChar w:fldCharType="separate"/>
    </w:r>
    <w:r w:rsidRPr="007A3543">
      <w:rPr>
        <w:rFonts w:ascii="Times New Roman" w:hAnsi="Times New Roman" w:cs="Times New Roman"/>
        <w:noProof/>
      </w:rPr>
      <w:t>12/15/2024</w:t>
    </w:r>
    <w:r w:rsidRPr="007A3543">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767476"/>
    <w:multiLevelType w:val="multilevel"/>
    <w:tmpl w:val="34B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F7F10"/>
    <w:multiLevelType w:val="multilevel"/>
    <w:tmpl w:val="9C2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153CF"/>
    <w:multiLevelType w:val="multilevel"/>
    <w:tmpl w:val="FAA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68504">
    <w:abstractNumId w:val="1"/>
  </w:num>
  <w:num w:numId="2" w16cid:durableId="1065757271">
    <w:abstractNumId w:val="0"/>
  </w:num>
  <w:num w:numId="3" w16cid:durableId="322512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A3"/>
    <w:rsid w:val="000802A0"/>
    <w:rsid w:val="0009707C"/>
    <w:rsid w:val="001013BA"/>
    <w:rsid w:val="001019F8"/>
    <w:rsid w:val="00152767"/>
    <w:rsid w:val="00161AD1"/>
    <w:rsid w:val="0021429B"/>
    <w:rsid w:val="00214DBA"/>
    <w:rsid w:val="00240573"/>
    <w:rsid w:val="00265D47"/>
    <w:rsid w:val="002744B8"/>
    <w:rsid w:val="003479C1"/>
    <w:rsid w:val="003A4177"/>
    <w:rsid w:val="00447C13"/>
    <w:rsid w:val="00467395"/>
    <w:rsid w:val="004D1146"/>
    <w:rsid w:val="005157F5"/>
    <w:rsid w:val="005B3C3F"/>
    <w:rsid w:val="00625454"/>
    <w:rsid w:val="006A0B31"/>
    <w:rsid w:val="006C3204"/>
    <w:rsid w:val="00720AE3"/>
    <w:rsid w:val="007226EE"/>
    <w:rsid w:val="007238ED"/>
    <w:rsid w:val="00734E54"/>
    <w:rsid w:val="007A3543"/>
    <w:rsid w:val="008618A3"/>
    <w:rsid w:val="008E6A4E"/>
    <w:rsid w:val="0097749E"/>
    <w:rsid w:val="009B6617"/>
    <w:rsid w:val="00A0126E"/>
    <w:rsid w:val="00A4246F"/>
    <w:rsid w:val="00A431DF"/>
    <w:rsid w:val="00A443E6"/>
    <w:rsid w:val="00AB120E"/>
    <w:rsid w:val="00B02D42"/>
    <w:rsid w:val="00B274D9"/>
    <w:rsid w:val="00D96F89"/>
    <w:rsid w:val="00DC4D26"/>
    <w:rsid w:val="00E938B2"/>
    <w:rsid w:val="00E94439"/>
    <w:rsid w:val="00EE06A9"/>
    <w:rsid w:val="00EE6BD5"/>
    <w:rsid w:val="00FF1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2DFDD"/>
  <w15:chartTrackingRefBased/>
  <w15:docId w15:val="{CAC557CE-445B-9C4C-B7CB-8BE9C1EB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A3"/>
    <w:rPr>
      <w:rFonts w:eastAsiaTheme="majorEastAsia" w:cstheme="majorBidi"/>
      <w:color w:val="272727" w:themeColor="text1" w:themeTint="D8"/>
    </w:rPr>
  </w:style>
  <w:style w:type="paragraph" w:styleId="Title">
    <w:name w:val="Title"/>
    <w:basedOn w:val="Normal"/>
    <w:next w:val="Normal"/>
    <w:link w:val="TitleChar"/>
    <w:uiPriority w:val="10"/>
    <w:qFormat/>
    <w:rsid w:val="00861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8A3"/>
    <w:rPr>
      <w:i/>
      <w:iCs/>
      <w:color w:val="404040" w:themeColor="text1" w:themeTint="BF"/>
    </w:rPr>
  </w:style>
  <w:style w:type="paragraph" w:styleId="ListParagraph">
    <w:name w:val="List Paragraph"/>
    <w:basedOn w:val="Normal"/>
    <w:uiPriority w:val="34"/>
    <w:qFormat/>
    <w:rsid w:val="008618A3"/>
    <w:pPr>
      <w:ind w:left="720"/>
      <w:contextualSpacing/>
    </w:pPr>
  </w:style>
  <w:style w:type="character" w:styleId="IntenseEmphasis">
    <w:name w:val="Intense Emphasis"/>
    <w:basedOn w:val="DefaultParagraphFont"/>
    <w:uiPriority w:val="21"/>
    <w:qFormat/>
    <w:rsid w:val="008618A3"/>
    <w:rPr>
      <w:i/>
      <w:iCs/>
      <w:color w:val="0F4761" w:themeColor="accent1" w:themeShade="BF"/>
    </w:rPr>
  </w:style>
  <w:style w:type="paragraph" w:styleId="IntenseQuote">
    <w:name w:val="Intense Quote"/>
    <w:basedOn w:val="Normal"/>
    <w:next w:val="Normal"/>
    <w:link w:val="IntenseQuoteChar"/>
    <w:uiPriority w:val="30"/>
    <w:qFormat/>
    <w:rsid w:val="00861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8A3"/>
    <w:rPr>
      <w:i/>
      <w:iCs/>
      <w:color w:val="0F4761" w:themeColor="accent1" w:themeShade="BF"/>
    </w:rPr>
  </w:style>
  <w:style w:type="character" w:styleId="IntenseReference">
    <w:name w:val="Intense Reference"/>
    <w:basedOn w:val="DefaultParagraphFont"/>
    <w:uiPriority w:val="32"/>
    <w:qFormat/>
    <w:rsid w:val="008618A3"/>
    <w:rPr>
      <w:b/>
      <w:bCs/>
      <w:smallCaps/>
      <w:color w:val="0F4761" w:themeColor="accent1" w:themeShade="BF"/>
      <w:spacing w:val="5"/>
    </w:rPr>
  </w:style>
  <w:style w:type="paragraph" w:styleId="NormalWeb">
    <w:name w:val="Normal (Web)"/>
    <w:basedOn w:val="Normal"/>
    <w:uiPriority w:val="99"/>
    <w:semiHidden/>
    <w:unhideWhenUsed/>
    <w:rsid w:val="008618A3"/>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8618A3"/>
  </w:style>
  <w:style w:type="character" w:styleId="Strong">
    <w:name w:val="Strong"/>
    <w:basedOn w:val="DefaultParagraphFont"/>
    <w:uiPriority w:val="22"/>
    <w:qFormat/>
    <w:rsid w:val="008618A3"/>
    <w:rPr>
      <w:b/>
      <w:bCs/>
    </w:rPr>
  </w:style>
  <w:style w:type="character" w:styleId="Hyperlink">
    <w:name w:val="Hyperlink"/>
    <w:basedOn w:val="DefaultParagraphFont"/>
    <w:uiPriority w:val="99"/>
    <w:semiHidden/>
    <w:unhideWhenUsed/>
    <w:rsid w:val="008618A3"/>
    <w:rPr>
      <w:color w:val="0000FF"/>
      <w:u w:val="single"/>
    </w:rPr>
  </w:style>
  <w:style w:type="paragraph" w:styleId="Header">
    <w:name w:val="header"/>
    <w:basedOn w:val="Normal"/>
    <w:link w:val="HeaderChar"/>
    <w:uiPriority w:val="99"/>
    <w:unhideWhenUsed/>
    <w:rsid w:val="007A3543"/>
    <w:pPr>
      <w:tabs>
        <w:tab w:val="center" w:pos="4680"/>
        <w:tab w:val="right" w:pos="9360"/>
      </w:tabs>
    </w:pPr>
  </w:style>
  <w:style w:type="character" w:customStyle="1" w:styleId="HeaderChar">
    <w:name w:val="Header Char"/>
    <w:basedOn w:val="DefaultParagraphFont"/>
    <w:link w:val="Header"/>
    <w:uiPriority w:val="99"/>
    <w:rsid w:val="007A3543"/>
  </w:style>
  <w:style w:type="paragraph" w:styleId="Footer">
    <w:name w:val="footer"/>
    <w:basedOn w:val="Normal"/>
    <w:link w:val="FooterChar"/>
    <w:uiPriority w:val="99"/>
    <w:unhideWhenUsed/>
    <w:rsid w:val="007A3543"/>
    <w:pPr>
      <w:tabs>
        <w:tab w:val="center" w:pos="4680"/>
        <w:tab w:val="right" w:pos="9360"/>
      </w:tabs>
    </w:pPr>
  </w:style>
  <w:style w:type="character" w:customStyle="1" w:styleId="FooterChar">
    <w:name w:val="Footer Char"/>
    <w:basedOn w:val="DefaultParagraphFont"/>
    <w:link w:val="Footer"/>
    <w:uiPriority w:val="99"/>
    <w:rsid w:val="007A3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113749">
      <w:bodyDiv w:val="1"/>
      <w:marLeft w:val="0"/>
      <w:marRight w:val="0"/>
      <w:marTop w:val="0"/>
      <w:marBottom w:val="0"/>
      <w:divBdr>
        <w:top w:val="none" w:sz="0" w:space="0" w:color="auto"/>
        <w:left w:val="none" w:sz="0" w:space="0" w:color="auto"/>
        <w:bottom w:val="none" w:sz="0" w:space="0" w:color="auto"/>
        <w:right w:val="none" w:sz="0" w:space="0" w:color="auto"/>
      </w:divBdr>
    </w:div>
    <w:div w:id="555894332">
      <w:bodyDiv w:val="1"/>
      <w:marLeft w:val="0"/>
      <w:marRight w:val="0"/>
      <w:marTop w:val="0"/>
      <w:marBottom w:val="0"/>
      <w:divBdr>
        <w:top w:val="none" w:sz="0" w:space="0" w:color="auto"/>
        <w:left w:val="none" w:sz="0" w:space="0" w:color="auto"/>
        <w:bottom w:val="none" w:sz="0" w:space="0" w:color="auto"/>
        <w:right w:val="none" w:sz="0" w:space="0" w:color="auto"/>
      </w:divBdr>
      <w:divsChild>
        <w:div w:id="94175943">
          <w:marLeft w:val="0"/>
          <w:marRight w:val="0"/>
          <w:marTop w:val="0"/>
          <w:marBottom w:val="0"/>
          <w:divBdr>
            <w:top w:val="none" w:sz="0" w:space="0" w:color="auto"/>
            <w:left w:val="none" w:sz="0" w:space="0" w:color="auto"/>
            <w:bottom w:val="none" w:sz="0" w:space="0" w:color="auto"/>
            <w:right w:val="none" w:sz="0" w:space="0" w:color="auto"/>
          </w:divBdr>
          <w:divsChild>
            <w:div w:id="4091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9174">
      <w:bodyDiv w:val="1"/>
      <w:marLeft w:val="0"/>
      <w:marRight w:val="0"/>
      <w:marTop w:val="0"/>
      <w:marBottom w:val="0"/>
      <w:divBdr>
        <w:top w:val="none" w:sz="0" w:space="0" w:color="auto"/>
        <w:left w:val="none" w:sz="0" w:space="0" w:color="auto"/>
        <w:bottom w:val="none" w:sz="0" w:space="0" w:color="auto"/>
        <w:right w:val="none" w:sz="0" w:space="0" w:color="auto"/>
      </w:divBdr>
    </w:div>
    <w:div w:id="1124928567">
      <w:bodyDiv w:val="1"/>
      <w:marLeft w:val="0"/>
      <w:marRight w:val="0"/>
      <w:marTop w:val="0"/>
      <w:marBottom w:val="0"/>
      <w:divBdr>
        <w:top w:val="none" w:sz="0" w:space="0" w:color="auto"/>
        <w:left w:val="none" w:sz="0" w:space="0" w:color="auto"/>
        <w:bottom w:val="none" w:sz="0" w:space="0" w:color="auto"/>
        <w:right w:val="none" w:sz="0" w:space="0" w:color="auto"/>
      </w:divBdr>
    </w:div>
    <w:div w:id="1233812464">
      <w:bodyDiv w:val="1"/>
      <w:marLeft w:val="0"/>
      <w:marRight w:val="0"/>
      <w:marTop w:val="0"/>
      <w:marBottom w:val="0"/>
      <w:divBdr>
        <w:top w:val="none" w:sz="0" w:space="0" w:color="auto"/>
        <w:left w:val="none" w:sz="0" w:space="0" w:color="auto"/>
        <w:bottom w:val="none" w:sz="0" w:space="0" w:color="auto"/>
        <w:right w:val="none" w:sz="0" w:space="0" w:color="auto"/>
      </w:divBdr>
      <w:divsChild>
        <w:div w:id="879515012">
          <w:marLeft w:val="0"/>
          <w:marRight w:val="0"/>
          <w:marTop w:val="0"/>
          <w:marBottom w:val="0"/>
          <w:divBdr>
            <w:top w:val="none" w:sz="0" w:space="0" w:color="auto"/>
            <w:left w:val="none" w:sz="0" w:space="0" w:color="auto"/>
            <w:bottom w:val="none" w:sz="0" w:space="0" w:color="auto"/>
            <w:right w:val="none" w:sz="0" w:space="0" w:color="auto"/>
          </w:divBdr>
          <w:divsChild>
            <w:div w:id="12304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7086">
      <w:bodyDiv w:val="1"/>
      <w:marLeft w:val="0"/>
      <w:marRight w:val="0"/>
      <w:marTop w:val="0"/>
      <w:marBottom w:val="0"/>
      <w:divBdr>
        <w:top w:val="none" w:sz="0" w:space="0" w:color="auto"/>
        <w:left w:val="none" w:sz="0" w:space="0" w:color="auto"/>
        <w:bottom w:val="none" w:sz="0" w:space="0" w:color="auto"/>
        <w:right w:val="none" w:sz="0" w:space="0" w:color="auto"/>
      </w:divBdr>
    </w:div>
    <w:div w:id="1734966335">
      <w:bodyDiv w:val="1"/>
      <w:marLeft w:val="0"/>
      <w:marRight w:val="0"/>
      <w:marTop w:val="0"/>
      <w:marBottom w:val="0"/>
      <w:divBdr>
        <w:top w:val="none" w:sz="0" w:space="0" w:color="auto"/>
        <w:left w:val="none" w:sz="0" w:space="0" w:color="auto"/>
        <w:bottom w:val="none" w:sz="0" w:space="0" w:color="auto"/>
        <w:right w:val="none" w:sz="0" w:space="0" w:color="auto"/>
      </w:divBdr>
    </w:div>
    <w:div w:id="1785033044">
      <w:bodyDiv w:val="1"/>
      <w:marLeft w:val="0"/>
      <w:marRight w:val="0"/>
      <w:marTop w:val="0"/>
      <w:marBottom w:val="0"/>
      <w:divBdr>
        <w:top w:val="none" w:sz="0" w:space="0" w:color="auto"/>
        <w:left w:val="none" w:sz="0" w:space="0" w:color="auto"/>
        <w:bottom w:val="none" w:sz="0" w:space="0" w:color="auto"/>
        <w:right w:val="none" w:sz="0" w:space="0" w:color="auto"/>
      </w:divBdr>
    </w:div>
    <w:div w:id="1835606714">
      <w:bodyDiv w:val="1"/>
      <w:marLeft w:val="0"/>
      <w:marRight w:val="0"/>
      <w:marTop w:val="0"/>
      <w:marBottom w:val="0"/>
      <w:divBdr>
        <w:top w:val="none" w:sz="0" w:space="0" w:color="auto"/>
        <w:left w:val="none" w:sz="0" w:space="0" w:color="auto"/>
        <w:bottom w:val="none" w:sz="0" w:space="0" w:color="auto"/>
        <w:right w:val="none" w:sz="0" w:space="0" w:color="auto"/>
      </w:divBdr>
    </w:div>
    <w:div w:id="204100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93/oxfordjournals.bjc.a04822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77/0306624X16632259"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oi.org/10.1016/S0047-2352(03)00029-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DE13F8FB40FD4283C7037D8C2D2A00" ma:contentTypeVersion="6" ma:contentTypeDescription="Create a new document." ma:contentTypeScope="" ma:versionID="d5ab74699b209191e83c857971b9e818">
  <xsd:schema xmlns:xsd="http://www.w3.org/2001/XMLSchema" xmlns:xs="http://www.w3.org/2001/XMLSchema" xmlns:p="http://schemas.microsoft.com/office/2006/metadata/properties" xmlns:ns3="110535e9-bb85-40ce-a821-0cec8e5dc3f2" targetNamespace="http://schemas.microsoft.com/office/2006/metadata/properties" ma:root="true" ma:fieldsID="054574e55cd1c708195770bb27efd1ee" ns3:_="">
    <xsd:import namespace="110535e9-bb85-40ce-a821-0cec8e5dc3f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535e9-bb85-40ce-a821-0cec8e5dc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10535e9-bb85-40ce-a821-0cec8e5dc3f2" xsi:nil="true"/>
  </documentManagement>
</p:properties>
</file>

<file path=customXml/itemProps1.xml><?xml version="1.0" encoding="utf-8"?>
<ds:datastoreItem xmlns:ds="http://schemas.openxmlformats.org/officeDocument/2006/customXml" ds:itemID="{114A9E52-A2E3-4E9F-9897-5F91E1ED3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0535e9-bb85-40ce-a821-0cec8e5dc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535BD8-443C-4525-8483-6DFF919DF2B6}">
  <ds:schemaRefs>
    <ds:schemaRef ds:uri="http://schemas.microsoft.com/sharepoint/v3/contenttype/forms"/>
  </ds:schemaRefs>
</ds:datastoreItem>
</file>

<file path=customXml/itemProps3.xml><?xml version="1.0" encoding="utf-8"?>
<ds:datastoreItem xmlns:ds="http://schemas.openxmlformats.org/officeDocument/2006/customXml" ds:itemID="{7D5C9AFE-6EAA-40FE-AFA5-5C3FBE6456C3}">
  <ds:schemaRefs>
    <ds:schemaRef ds:uri="http://purl.org/dc/terms/"/>
    <ds:schemaRef ds:uri="http://purl.org/dc/dcmitype/"/>
    <ds:schemaRef ds:uri="http://schemas.openxmlformats.org/package/2006/metadata/core-properties"/>
    <ds:schemaRef ds:uri="110535e9-bb85-40ce-a821-0cec8e5dc3f2"/>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1854</Words>
  <Characters>11167</Characters>
  <Application>Microsoft Office Word</Application>
  <DocSecurity>0</DocSecurity>
  <Lines>93</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Nawang Lama</dc:creator>
  <cp:keywords/>
  <dc:description/>
  <cp:lastModifiedBy>Hana D</cp:lastModifiedBy>
  <cp:revision>28</cp:revision>
  <dcterms:created xsi:type="dcterms:W3CDTF">2024-12-16T02:45:00Z</dcterms:created>
  <dcterms:modified xsi:type="dcterms:W3CDTF">2024-12-16T02:56:00Z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828fda8df6c2200d32db10d76ead62e6996356c34298e11b50f5d9022a1cfa4d</vt:lpwstr>
  </property>
  <property fmtid="{D5CDD505-2E9C-101B-9397-08002B2CF9AE}" pid="3" name="ContentTypeId">
    <vt:lpwstr>0x01010032DE13F8FB40FD4283C7037D8C2D2A00</vt:lpwstr>
  </property>
</Properties>
</file>