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ns6="http://schemas.openxmlformats.org/drawingml/2006/main" xmlns:ns7="http://schemas.openxmlformats.org/drawingml/2006/picture" xmlns:ns8="http://schemas.microsoft.com/office/drawing/2010/main"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sdtfl w16du wp14">
  <w:body>
    <w:p w14:paraId="2F93F61E" w14:textId="77777777" w:rsidR="00542319" w:rsidRPr="00AA312E" w:rsidRDefault="000F5E2D">
      <w:pPr>
        <w:spacing w:after="120"/>
        <w:jc w:val="center"/>
        <w:rPr>
          <w:lang w:val="en-US"/>
        </w:rPr>
      </w:pPr>
      <w:r w:rsidRPr="00AA312E">
        <w:rPr>
          <w:sz w:val="44"/>
          <w:szCs w:val="44"/>
          <w:lang w:val="en-US"/>
        </w:rPr>
        <w:t>Deterministic Validation for User-</w:t>
      </w:r>
      <w:proofErr w:type="spellStart"/>
      <w:r w:rsidRPr="00AA312E">
        <w:rPr>
          <w:sz w:val="44"/>
          <w:szCs w:val="44"/>
          <w:lang w:val="en-US"/>
        </w:rPr>
        <w:t>Centred</w:t>
      </w:r>
      <w:proofErr w:type="spellEnd"/>
      <w:r w:rsidRPr="00AA312E">
        <w:rPr>
          <w:sz w:val="44"/>
          <w:szCs w:val="44"/>
          <w:lang w:val="en-US"/>
        </w:rPr>
        <w:t xml:space="preserve"> AI Decision Support in an SME Service Fleet</w:t>
      </w:r>
    </w:p>
    <w:p w14:paraId="2F93F61F" w14:textId="77777777" w:rsidR="00542319" w:rsidRPr="00AA312E" w:rsidRDefault="00542319">
      <w:pPr>
        <w:spacing w:after="80"/>
        <w:jc w:val="center"/>
        <w:rPr>
          <w:lang w:val="en-US"/>
        </w:rPr>
      </w:pPr>
    </w:p>
    <w:p w14:paraId="2F93F620" w14:textId="77777777" w:rsidR="00542319" w:rsidRDefault="000F5E2D">
      <w:pPr>
        <w:spacing w:after="200"/>
        <w:jc w:val="center"/>
        <w:sectPr w:rsidR="00542319">
          <w:pgSz w:w="12240" w:h="15840"/>
          <w:pgMar w:top="1080" w:right="1080" w:bottom="1440" w:left="1080" w:header="708" w:footer="708" w:gutter="0"/>
          <w:pgNumType w:start="1"/>
          <w:cols w:space="720"/>
        </w:sectPr>
      </w:pPr>
      <w:r>
        <w:rPr>
          <w:i/>
          <w:iCs/>
        </w:rPr>
        <w:t xml:space="preserve">J Pinto Oliveira </w:t>
      </w:r>
      <w:r>
        <w:rPr>
          <w:vertAlign w:val="superscript"/>
        </w:rPr>
        <w:t>a</w:t>
      </w:r>
      <w:r>
        <w:rPr>
          <w:i/>
          <w:iCs/>
        </w:rPr>
        <w:t xml:space="preserve">, Francisco Paiva </w:t>
      </w:r>
      <w:r>
        <w:rPr>
          <w:vertAlign w:val="superscript"/>
        </w:rPr>
        <w:t>b</w:t>
      </w:r>
      <w:r>
        <w:rPr>
          <w:i/>
          <w:iCs/>
        </w:rPr>
        <w:t xml:space="preserve">, Adélio Mendes </w:t>
      </w:r>
      <w:r>
        <w:rPr>
          <w:vertAlign w:val="superscript"/>
        </w:rPr>
        <w:t>a</w:t>
      </w:r>
      <w:r>
        <w:rPr>
          <w:i/>
          <w:iCs/>
        </w:rPr>
        <w:t xml:space="preserve">, Marta Campos Ferreira </w:t>
      </w:r>
      <w:r>
        <w:rPr>
          <w:vertAlign w:val="superscript"/>
        </w:rPr>
        <w:t>a</w:t>
      </w:r>
      <w:r>
        <w:rPr>
          <w:i/>
          <w:iCs/>
        </w:rPr>
        <w:t xml:space="preserve"> </w:t>
      </w:r>
      <w:r>
        <w:rPr>
          <w:i/>
          <w:iCs/>
        </w:rPr>
        <w:br/>
      </w:r>
      <w:proofErr w:type="spellStart"/>
      <w:r>
        <w:rPr>
          <w:vertAlign w:val="superscript"/>
        </w:rPr>
        <w:t>a</w:t>
      </w:r>
      <w:proofErr w:type="spellEnd"/>
      <w:r>
        <w:rPr>
          <w:i/>
          <w:iCs/>
        </w:rPr>
        <w:t xml:space="preserve"> </w:t>
      </w:r>
      <w:proofErr w:type="spellStart"/>
      <w:r>
        <w:rPr>
          <w:i/>
          <w:iCs/>
        </w:rPr>
        <w:t>Faculty</w:t>
      </w:r>
      <w:proofErr w:type="spellEnd"/>
      <w:r>
        <w:rPr>
          <w:i/>
          <w:iCs/>
        </w:rPr>
        <w:t xml:space="preserve"> </w:t>
      </w:r>
      <w:proofErr w:type="spellStart"/>
      <w:r>
        <w:rPr>
          <w:i/>
          <w:iCs/>
        </w:rPr>
        <w:t>of</w:t>
      </w:r>
      <w:proofErr w:type="spellEnd"/>
      <w:r>
        <w:rPr>
          <w:i/>
          <w:iCs/>
        </w:rPr>
        <w:t xml:space="preserve"> </w:t>
      </w:r>
      <w:proofErr w:type="spellStart"/>
      <w:r>
        <w:rPr>
          <w:i/>
          <w:iCs/>
        </w:rPr>
        <w:t>Engineering</w:t>
      </w:r>
      <w:proofErr w:type="spellEnd"/>
      <w:r>
        <w:rPr>
          <w:i/>
          <w:iCs/>
        </w:rPr>
        <w:t xml:space="preserve">, </w:t>
      </w:r>
      <w:proofErr w:type="spellStart"/>
      <w:r>
        <w:rPr>
          <w:i/>
          <w:iCs/>
        </w:rPr>
        <w:t>University</w:t>
      </w:r>
      <w:proofErr w:type="spellEnd"/>
      <w:r>
        <w:rPr>
          <w:i/>
          <w:iCs/>
        </w:rPr>
        <w:t xml:space="preserve"> </w:t>
      </w:r>
      <w:proofErr w:type="spellStart"/>
      <w:r>
        <w:rPr>
          <w:i/>
          <w:iCs/>
        </w:rPr>
        <w:t>of</w:t>
      </w:r>
      <w:proofErr w:type="spellEnd"/>
      <w:r>
        <w:rPr>
          <w:i/>
          <w:iCs/>
        </w:rPr>
        <w:t xml:space="preserve"> Porto, Porto, Portugal</w:t>
      </w:r>
      <w:r>
        <w:rPr>
          <w:i/>
          <w:iCs/>
        </w:rPr>
        <w:br/>
      </w:r>
      <w:proofErr w:type="spellStart"/>
      <w:r>
        <w:rPr>
          <w:vertAlign w:val="superscript"/>
        </w:rPr>
        <w:t>b</w:t>
      </w:r>
      <w:r>
        <w:rPr>
          <w:i/>
          <w:iCs/>
        </w:rPr>
        <w:t>UPK</w:t>
      </w:r>
      <w:proofErr w:type="spellEnd"/>
      <w:r>
        <w:rPr>
          <w:i/>
          <w:iCs/>
        </w:rPr>
        <w:t>, SA, Porto</w:t>
      </w:r>
      <w:r>
        <w:rPr>
          <w:i/>
          <w:iCs/>
        </w:rPr>
        <w:br/>
        <w:t xml:space="preserve"> </w:t>
      </w:r>
      <w:hyperlink r:id="rId4">
        <w:r w:rsidR="00542319">
          <w:rPr>
            <w:i/>
            <w:iCs/>
            <w:color w:val="1155CC"/>
            <w:u w:val="single"/>
          </w:rPr>
          <w:t>jpintoliveira@hotmail.com</w:t>
        </w:r>
      </w:hyperlink>
    </w:p>
    <w:p w14:paraId="2F93F621" w14:textId="221770B3" w:rsidR="00542319" w:rsidRPr="00AA312E" w:rsidRDefault="000F5E2D" w:rsidP="00AA312E">
      <w:pPr>
        <w:spacing w:after="80" w:line="220" w:lineRule="auto"/>
        <w:jc w:val="both"/>
        <w:rPr>
          <w:lang w:val="en-US"/>
        </w:rPr>
      </w:pPr>
      <w:r>
        <w:rPr>
          <w:b/>
          <w:bCs/>
          <w:sz w:val="18"/>
          <w:szCs w:val="18"/>
          <w:lang w:val="en-US"/>
        </w:rPr>
        <w:t xml:space="preserve">Abstract — This study looks at technology adoption and decision support in a mid-sized commercial service fleet in Portugal. We took a Design Science Research approach: AI-assisted artifacts, deployed as analytical lenses over operational telemetry, across a four-month engagement with fleet managers. Deterministic validation is the core design principle we introduce here. Wrap AI-assisted data pipelines in bounded plausibility rules, verifiable subtotals, and independent source reconciliations, and the analytical output is auditable by construction, not by accident. Two empirical findings stand out. First, an executive report built on that principle appears to have shifted how managers framed fleet electrification, identifying 188 viable electric vehicle candidates by replacing opaque optimisation with transparent, auditable intermediate calculations. Second, interactive visual dashboards, schedule visualizers, dispatch maps, spatial accessibility tools, saw limited sustained use in routine operations, despite a warm reception in review sessions. We call this disparity the conclude-versus-monitor hypothesis: under severe managerial attention scarcity, artifacts that deliver a conclusive, self-contained answer to a bounded strategic question beat interactive tools that demand continuous monitoring. Mobility decision-support tools need manager-centred representations, ones that restore analytical comparability and let human decision-makers audit evidence and act inside real daily constraints.</w:t>
      </w:r>
      <w:proofErr w:type="spellStart"/>
      <w:proofErr w:type="spellEnd"/>
      <w:proofErr w:type="spellStart"/>
      <w:proofErr w:type="spellEnd"/>
      <w:proofErr w:type="spellStart"/>
      <w:proofErr w:type="spellEnd"/>
    </w:p>
    <w:p w14:paraId="2F93F622" w14:textId="4655A9DB" w:rsidR="00542319" w:rsidRPr="00AA312E" w:rsidRDefault="000F5E2D">
      <w:pPr>
        <w:spacing w:after="160" w:line="220" w:lineRule="auto"/>
        <w:jc w:val="both"/>
        <w:rPr>
          <w:lang w:val="en-US"/>
        </w:rPr>
      </w:pPr>
      <w:r w:rsidRPr="00AA312E">
        <w:rPr>
          <w:b/>
          <w:bCs/>
          <w:i/>
          <w:iCs/>
          <w:sz w:val="18"/>
          <w:szCs w:val="18"/>
          <w:lang w:val="en-US"/>
        </w:rPr>
        <w:t xml:space="preserve">Index Terms: </w:t>
      </w:r>
      <w:r w:rsidRPr="00AA312E">
        <w:rPr>
          <w:i/>
          <w:iCs/>
          <w:sz w:val="18"/>
          <w:szCs w:val="18"/>
          <w:lang w:val="en-US"/>
        </w:rPr>
        <w:t>user-</w:t>
      </w:r>
      <w:proofErr w:type="spellStart"/>
      <w:r w:rsidRPr="00AA312E">
        <w:rPr>
          <w:i/>
          <w:iCs/>
          <w:sz w:val="18"/>
          <w:szCs w:val="18"/>
          <w:lang w:val="en-US"/>
        </w:rPr>
        <w:t>centred</w:t>
      </w:r>
      <w:proofErr w:type="spellEnd"/>
      <w:r w:rsidRPr="00AA312E">
        <w:rPr>
          <w:i/>
          <w:iCs/>
          <w:sz w:val="18"/>
          <w:szCs w:val="18"/>
          <w:lang w:val="en-US"/>
        </w:rPr>
        <w:t xml:space="preserve"> design, </w:t>
      </w:r>
      <w:r w:rsidRPr="00AA312E">
        <w:rPr>
          <w:i/>
          <w:iCs/>
          <w:sz w:val="18"/>
          <w:szCs w:val="18"/>
          <w:lang w:val="en-US"/>
        </w:rPr>
        <w:t xml:space="preserve">human-AI collaboration, </w:t>
      </w:r>
      <w:r w:rsidR="00145C3D" w:rsidRPr="00AA312E">
        <w:rPr>
          <w:i/>
          <w:iCs/>
          <w:sz w:val="18"/>
          <w:szCs w:val="18"/>
          <w:lang w:val="en-US"/>
        </w:rPr>
        <w:t>inclusive mobility</w:t>
      </w:r>
      <w:r w:rsidR="00145C3D">
        <w:rPr>
          <w:i/>
          <w:iCs/>
          <w:sz w:val="18"/>
          <w:szCs w:val="18"/>
          <w:lang w:val="en-US"/>
        </w:rPr>
        <w:t xml:space="preserve">, </w:t>
      </w:r>
      <w:proofErr w:type="spellStart"/>
      <w:r w:rsidRPr="00AA312E">
        <w:rPr>
          <w:i/>
          <w:iCs/>
          <w:sz w:val="18"/>
          <w:szCs w:val="18"/>
          <w:lang w:val="en-US"/>
        </w:rPr>
        <w:t>DSAiVE</w:t>
      </w:r>
      <w:proofErr w:type="spellEnd"/>
      <w:r w:rsidRPr="00AA312E">
        <w:rPr>
          <w:i/>
          <w:iCs/>
          <w:sz w:val="18"/>
          <w:szCs w:val="18"/>
          <w:lang w:val="en-US"/>
        </w:rPr>
        <w:t xml:space="preserve">, fleet electrification, decision support, </w:t>
      </w:r>
      <w:r w:rsidR="004C03D5" w:rsidRPr="00AA312E">
        <w:rPr>
          <w:i/>
          <w:iCs/>
          <w:sz w:val="18"/>
          <w:szCs w:val="18"/>
          <w:lang w:val="en-US"/>
        </w:rPr>
        <w:t>design science research</w:t>
      </w:r>
      <w:r w:rsidRPr="00AA312E">
        <w:rPr>
          <w:i/>
          <w:iCs/>
          <w:sz w:val="18"/>
          <w:szCs w:val="18"/>
          <w:lang w:val="en-US"/>
        </w:rPr>
        <w:t>.</w:t>
      </w:r>
    </w:p>
    <w:p w14:paraId="2F93F623" w14:textId="77777777" w:rsidR="00542319" w:rsidRPr="00AA312E" w:rsidRDefault="000F5E2D">
      <w:pPr>
        <w:spacing w:before="200" w:after="100"/>
        <w:jc w:val="center"/>
        <w:rPr>
          <w:lang w:val="en-US"/>
        </w:rPr>
      </w:pPr>
      <w:r w:rsidRPr="00AA312E">
        <w:rPr>
          <w:smallCaps/>
          <w:lang w:val="en-US"/>
        </w:rPr>
        <w:t>I.  Introduction</w:t>
      </w:r>
    </w:p>
    <w:p w14:paraId="2F93F624" w14:textId="77777777" w:rsidR="00542319" w:rsidRPr="00AA312E" w:rsidRDefault="000F5E2D">
      <w:pPr>
        <w:jc w:val="both"/>
        <w:rPr>
          <w:lang w:val="en-US"/>
        </w:rPr>
      </w:pPr>
      <w:r>
        <w:rPr>
          <w:lang w:val="en-US"/>
        </w:rPr>
        <w:t xml:space="preserve">Balancing analytical rigour against the real-time operational demands of business managers is a persistent problem in applied transport research. Fleet managers use these mobility innovations daily, and they're frequently overwhelmed by complex software dashboards that produce a data deluge instead of a clear path to a decision. This case study evaluates four AI-assisted tools, developed and deployed incrementally, across more than ten manager meetings, spanning several operational teams in a Portuguese facility-services fleet. The goal throughout: restore analytical comparability, so a human decision-maker can act with confidence.</w:t>
      </w:r>
      <w:proofErr w:type="spellStart"/>
      <w:proofErr w:type="spellEnd"/>
    </w:p>
    <w:p w14:paraId="2F93F625" w14:textId="77777777" w:rsidR="00542319" w:rsidRPr="00AA312E" w:rsidRDefault="000F5E2D">
      <w:pPr>
        <w:jc w:val="both"/>
        <w:rPr>
          <w:lang w:val="en-US"/>
        </w:rPr>
      </w:pPr>
      <w:r>
        <w:rPr>
          <w:lang w:val="en-US"/>
        </w:rPr>
        <w:t xml:space="preserve">Applied academic research inside a business context creates a dual challenge for the authors: academic rigour on one side, the time constraints of business decisions on the other, decisions that are often shaped by a manager's intuitive, holistic read of the situation. AI tools can support faster, reasonably well-founded decisions through judicious knowledge structuring [1]. But what a business considers acceptable can balloon into an extensive academic question, producing a data deluge that has nothing to do with the concrete time needs of business decision-making. So AI plays two complementary roles here: structuring knowledge, and operationalising it through artifacts applied to concrete fleet problems. This study doesn't ask how AI improves the knowledge behind a decision. It asks how representations at different levels of complexity get absorbed, and where they exceed what a manager can practically take in.</w:t>
      </w:r>
      <w:proofErr w:type="spellStart"/>
      <w:proofErr w:type="spellEnd"/>
      <w:proofErr w:type="spellStart"/>
      <w:proofErr w:type="spellEnd"/>
    </w:p>
    <w:p w14:paraId="2F93F626" w14:textId="77777777" w:rsidR="00542319" w:rsidRPr="00AA312E" w:rsidRDefault="000F5E2D">
      <w:pPr>
        <w:jc w:val="both"/>
        <w:rPr>
          <w:lang w:val="en-US"/>
        </w:rPr>
      </w:pPr>
      <w:r>
        <w:rPr>
          <w:lang w:val="en-US"/>
        </w:rPr>
        <w:t xml:space="preserve">AI fulfils two distinct roles here, and they're complementary. First: an analytical harness, shaping how the decision problem gets understood, organising complex domain requirements into structured rules. Second: an operational tool, applied directly to multi-source fleet telemetry. That distinction matters, because the harness structuring the decision environment feeds straight into the design of simple, practical artifacts built for managerial workflows.</w:t>
      </w:r>
      <w:proofErr w:type="spellStart"/>
      <w:proofErr w:type="spellEnd"/>
    </w:p>
    <w:p w14:paraId="2F93F627" w14:textId="77777777" w:rsidR="00542319" w:rsidRPr="00AA312E" w:rsidRDefault="000F5E2D">
      <w:pPr>
        <w:jc w:val="both"/>
        <w:rPr>
          <w:lang w:val="en-US"/>
        </w:rPr>
      </w:pPr>
      <w:r>
        <w:rPr>
          <w:lang w:val="en-US"/>
        </w:rPr>
        <w:t xml:space="preserve">This article breaks concrete transportation problems down into simpler instances and evaluates AI-assisted artifacts through managers' actual feedback. The setting: a Portuguese SME trying to optimise its mid-sized service fleet, under volatile fuel prices and mounting pressure to improve sustainability. The goal is understanding how simple, "consultant-like" approaches offer a different perspective, and how they inform and improve decisions already in motion. The artifacts span different levels of complexity, from static analysis to interactive applications and planning visualisations. Our argument: reinforcing, or even just prompting a reconsideration of, a single real decision can itself be meaningful practical evidence.</w:t>
      </w:r>
      <w:proofErr w:type="spellStart"/>
      <w:proofErr w:type="spellEnd"/>
      <w:proofErr w:type="spellStart"/>
      <w:proofErr w:type="spellEnd"/>
      <w:proofErr w:type="gramStart"/>
      <w:proofErr w:type="gramEnd"/>
    </w:p>
    <w:p w14:paraId="2F93F628" w14:textId="77777777" w:rsidR="00542319" w:rsidRPr="00AA312E" w:rsidRDefault="000F5E2D">
      <w:pPr>
        <w:jc w:val="both"/>
        <w:rPr>
          <w:lang w:val="en-US"/>
        </w:rPr>
      </w:pPr>
      <w:r>
        <w:rPr>
          <w:lang w:val="en-US"/>
        </w:rPr>
        <w:t xml:space="preserve">Technology-adoption research shows that using an artifact depends on more than technical performance. Perceived usefulness, ease of use, organisational conditions, all matter too [2], [3]. In fleet settings, electric-vehicle adoption is shaped the same way: operational compatibility, expected costs, environmental considerations, technological familiarity, firm-specific objectives [4]–[6]. Yet fleet-management systems usually focus on routes, jobs, vehicles, coverage, costs. Managers themselves, as users of the representations through which decisions actually get understood and evaluated, get far less attention.</w:t>
      </w:r>
      <w:proofErr w:type="spellStart"/>
      <w:proofErr w:type="spellEnd"/>
      <w:proofErr w:type="gramStart"/>
      <w:proofErr w:type="gramEnd"/>
    </w:p>
    <w:p w14:paraId="2F93F629" w14:textId="77777777" w:rsidR="00542319" w:rsidRPr="00AA312E" w:rsidRDefault="000F5E2D">
      <w:pPr>
        <w:jc w:val="both"/>
        <w:rPr>
          <w:lang w:val="en-US"/>
        </w:rPr>
      </w:pPr>
      <w:r>
        <w:rPr>
          <w:lang w:val="en-US"/>
        </w:rPr>
        <w:t xml:space="preserve">There's an interesting echo here. The business instinct for simplicity, KISS ("Keep It Simple, Stupid"), traces back to Kelly Johnson's engineering practice at Lockheed, and it lines up with the principle popularly credited to Feynman: decompose ideas into simple, explainable steps. Reframed as a decision-support toolkit, this case study draws on Design Science Research and its translation of abstract knowledge into concrete action [7], including the bridge between theory and practice that Gregor and Jones proposed [8]. Its user-centred approach comes directly from the managers' own involvement and practical judgement. So the study shifts its attention: away from operational optimisation, toward manager-centred representation and adoption.</w:t>
      </w:r>
      <w:proofErr w:type="spellStart"/>
      <w:proofErr w:type="spellEnd"/>
      <w:proofErr w:type="gramStart"/>
      <w:proofErr w:type="gramEnd"/>
      <w:proofErr w:type="gramStart"/>
      <w:proofErr w:type="gramEnd"/>
      <w:proofErr w:type="spellStart"/>
      <w:proofErr w:type="spellEnd"/>
      <w:proofErr w:type="spellStart"/>
      <w:proofErr w:type="spellEnd"/>
    </w:p>
    <w:p w14:paraId="2F93F62A" w14:textId="77777777" w:rsidR="00542319" w:rsidRPr="00AA312E" w:rsidRDefault="000F5E2D">
      <w:pPr>
        <w:jc w:val="both"/>
        <w:rPr>
          <w:lang w:val="en-US"/>
        </w:rPr>
      </w:pPr>
      <w:r>
        <w:rPr>
          <w:lang w:val="en-US"/>
        </w:rPr>
        <w:t xml:space="preserve">In practice, this article describes four AI-based, real-world artifacts. An executive report on fleet suitability for EV substitution. An LPG Motivator. A fuel-agnostic infrastructure-comparison application. And planning-visualisation panels supporting daily customer-technician decisions. Each got evaluated through successive meetings, weekly feedback, a structured manager survey. Two observations came out of it: the static executive report changed how managers framed the EV-substitution decision, while the interactive tools saw less sustained use than expected, an adoption gap between what these tools could analytically do and how they actually got folded into managerial practice.</w:t>
      </w:r>
      <w:proofErr w:type="spellStart"/>
      <w:proofErr w:type="spellEnd"/>
    </w:p>
    <w:p w14:paraId="2F93F62B" w14:textId="77777777" w:rsidR="00542319" w:rsidRPr="00AA312E" w:rsidRDefault="000F5E2D">
      <w:pPr>
        <w:spacing w:before="200" w:after="100"/>
        <w:jc w:val="center"/>
        <w:rPr>
          <w:lang w:val="en-US"/>
        </w:rPr>
      </w:pPr>
      <w:r w:rsidRPr="00AA312E">
        <w:rPr>
          <w:smallCaps/>
          <w:lang w:val="en-US"/>
        </w:rPr>
        <w:t>II</w:t>
      </w:r>
      <w:proofErr w:type="gramStart"/>
      <w:r w:rsidRPr="00AA312E">
        <w:rPr>
          <w:smallCaps/>
          <w:lang w:val="en-US"/>
        </w:rPr>
        <w:t>.  Case</w:t>
      </w:r>
      <w:proofErr w:type="gramEnd"/>
      <w:r w:rsidRPr="00AA312E">
        <w:rPr>
          <w:smallCaps/>
          <w:lang w:val="en-US"/>
        </w:rPr>
        <w:t xml:space="preserve"> Setting and Method</w:t>
      </w:r>
    </w:p>
    <w:p w14:paraId="2F93F62C" w14:textId="77777777" w:rsidR="00542319" w:rsidRPr="00AA312E" w:rsidRDefault="000F5E2D">
      <w:pPr>
        <w:jc w:val="both"/>
        <w:rPr>
          <w:lang w:val="en-US"/>
        </w:rPr>
      </w:pPr>
      <w:r>
        <w:rPr>
          <w:lang w:val="en-US"/>
        </w:rPr>
        <w:t xml:space="preserve">This research runs as a Foundation for Science and Technology (FCT) PhD studentship in a non-academic environment, embedding a Transport Systems researcher inside an SME with no dedicated R&amp;D function of its own. The setting is a facilities-management group providing hard and soft services across Portugal. Technicians travel constantly to client sites, so fleet operations sit at the centre of the business. Rather than parachute in isolated technical novelties, the approach uses AI to offer a different lens on operational decisions, one that never loses sight of immediate company needs.</w:t>
      </w:r>
    </w:p>
    <w:p w14:paraId="2F93F62D" w14:textId="77777777" w:rsidR="00542319" w:rsidRPr="00AA312E" w:rsidRDefault="000F5E2D">
      <w:pPr>
        <w:jc w:val="both"/>
        <w:rPr>
          <w:lang w:val="en-US"/>
        </w:rPr>
      </w:pPr>
      <w:r>
        <w:rPr>
          <w:lang w:val="en-US"/>
        </w:rPr>
        <w:t xml:space="preserve">The group manages the fleets of UPK, RACE, and associated entities, roughly 288 vehicles nationwide altogether. 236 of them are GPS-tracked, and that's the primary dataset for this study.</w:t>
      </w:r>
    </w:p>
    <w:p w14:paraId="2F93F62E" w14:textId="77777777" w:rsidR="00542319" w:rsidRPr="00AA312E" w:rsidRDefault="000F5E2D">
      <w:pPr>
        <w:jc w:val="both"/>
        <w:rPr>
          <w:lang w:val="en-US"/>
        </w:rPr>
      </w:pPr>
      <w:r>
        <w:rPr>
          <w:lang w:val="en-US"/>
        </w:rPr>
        <w:t xml:space="preserve">The case study draws on longitudinal engagement running from 10th March 2026 to 24th July 2026: 10 formal manager meetings, plus weekly sessions. Primary data sources were anonymised GPS departure reports, technician shift plans, historical vehicle assignment lists. No client personally identifiable information was exposed, at any point. And successive interactions with two managers, who cross-checked information with operational staff themselves, cut down reliance on one-off, feel-good expressions of satisfaction.</w:t>
      </w:r>
      <w:proofErr w:type="spellStart"/>
      <w:proofErr w:type="spellEnd"/>
    </w:p>
    <w:p w14:paraId="2F93F62F" w14:textId="77777777" w:rsidR="00542319" w:rsidRPr="00AA312E" w:rsidRDefault="000F5E2D">
      <w:pPr>
        <w:spacing w:before="200" w:after="100"/>
        <w:jc w:val="center"/>
        <w:rPr>
          <w:lang w:val="en-US"/>
        </w:rPr>
      </w:pPr>
      <w:r w:rsidRPr="00AA312E">
        <w:rPr>
          <w:smallCaps/>
          <w:lang w:val="en-US"/>
        </w:rPr>
        <w:t>III</w:t>
      </w:r>
      <w:proofErr w:type="gramStart"/>
      <w:r w:rsidRPr="00AA312E">
        <w:rPr>
          <w:smallCaps/>
          <w:lang w:val="en-US"/>
        </w:rPr>
        <w:t>.  The</w:t>
      </w:r>
      <w:proofErr w:type="gramEnd"/>
      <w:r w:rsidRPr="00AA312E">
        <w:rPr>
          <w:smallCaps/>
          <w:lang w:val="en-US"/>
        </w:rPr>
        <w:t xml:space="preserve"> Artifact Ladder</w:t>
      </w:r>
    </w:p>
    <w:p w14:paraId="2F93F630" w14:textId="77777777" w:rsidR="00542319" w:rsidRPr="00AA312E" w:rsidRDefault="000F5E2D">
      <w:pPr>
        <w:spacing w:before="140" w:after="60"/>
        <w:rPr>
          <w:lang w:val="en-US"/>
        </w:rPr>
      </w:pPr>
      <w:r w:rsidRPr="00AA312E">
        <w:rPr>
          <w:i/>
          <w:iCs/>
          <w:lang w:val="en-US"/>
        </w:rPr>
        <w:t>A.  The Executive Report: Fleet Transition Audit</w:t>
      </w:r>
    </w:p>
    <w:p w14:paraId="2F93F631" w14:textId="77777777" w:rsidR="00542319" w:rsidRPr="00AA312E" w:rsidRDefault="000F5E2D">
      <w:pPr>
        <w:jc w:val="both"/>
        <w:rPr>
          <w:lang w:val="en-US"/>
        </w:rPr>
      </w:pPr>
      <w:r w:rsidRPr="00AA312E">
        <w:rPr>
          <w:i/>
          <w:iCs/>
          <w:lang w:val="en-US"/>
        </w:rPr>
        <w:t>Manager’s question: “Which vehicles in our current fleet could realistically be transitioned to Electric Vehicles without risking operational disruption, and what are the potential gains?”</w:t>
      </w:r>
    </w:p>
    <w:p w14:paraId="2F93F632" w14:textId="77777777" w:rsidR="00542319" w:rsidRPr="00AA312E" w:rsidRDefault="000F5E2D">
      <w:pPr>
        <w:jc w:val="both"/>
        <w:rPr>
          <w:lang w:val="en-US"/>
        </w:rPr>
      </w:pPr>
      <w:r>
        <w:rPr>
          <w:i/>
          <w:iCs/>
          <w:lang w:val="en-US"/>
        </w:rPr>
        <w:t xml:space="preserve">What was built: this artifact's primary contribution is deterministic validation as an architectural design principle for decision-support tools. Left unbounded, AI-assisted analytics can sound fluent and confident while being operationally wrong. Executive action needs analytical output that's auditable by construction, not opaque by default. So the executive report was built on that principle: data-processing pipelines wrapped in bounded plausibility rules, independent source records reconciled, intermediate subtotals verified at manager-facing checkpoints. The delivery itself stays "consultant-like." No raw computational capacity on display, no complex interactive dials. Just bounded, decision-shaped syntheses a manager can interrogate directly. Auditability supplies the technical mechanism for trust. The consultant-like delivery supplies immediate operational usability, inside daily time constraints that don't bend.</w:t>
      </w:r>
    </w:p>
    <w:p w14:paraId="2F93F633" w14:textId="77777777" w:rsidR="00542319" w:rsidRDefault="000F5E2D">
      <w:pPr>
        <w:spacing w:before="120" w:after="40"/>
        <w:jc w:val="center"/>
      </w:pPr>
      <w:r>
        <w:rPr>
          <w:noProof/>
        </w:rPr>
        <w:drawing>
          <wp:inline distT="0" distB="0" distL="0" distR="0" wp14:anchorId="2F93F660" wp14:editId="2F93F661">
            <wp:extent cx="3143250" cy="1619250"/>
            <wp:effectExtent l="0" t="0" r="0" b="0"/>
            <wp:docPr id="1" name="image1.png"/>
            <wp:cNvGraphicFramePr/>
            <ns6:graphic>
              <ns6:graphicData uri="http://schemas.openxmlformats.org/drawingml/2006/picture">
                <ns7:pic>
                  <ns7:nvPicPr>
                    <ns7:cNvPr id="0" name="image1.png"/>
                    <ns7:cNvPicPr preferRelativeResize="0"/>
                  </ns7:nvPicPr>
                  <ns7:blipFill>
                    <ns6:blip r:embed="rId5"/>
                    <ns6:srcRect/>
                    <ns6:stretch>
                      <ns6:fillRect/>
                    </ns6:stretch>
                  </ns7:blipFill>
                  <ns7:spPr>
                    <ns6:xfrm>
                      <ns6:off x="0" y="0"/>
                      <ns6:ext cx="3143250" cy="1619250"/>
                    </ns6:xfrm>
                    <ns6:prstGeom prst="rect">
                      <ns6:avLst/>
                    </ns6:prstGeom>
                    <ns6:ln/>
                  </ns7:spPr>
                </ns7:pic>
              </ns6:graphicData>
            </ns6:graphic>
          </wp:inline>
        </w:drawing>
      </w:r>
    </w:p>
    <w:p w14:paraId="2F93F634" w14:textId="77777777" w:rsidR="00542319" w:rsidRPr="00AA312E" w:rsidRDefault="000F5E2D">
      <w:pPr>
        <w:spacing w:after="120"/>
        <w:jc w:val="both"/>
        <w:rPr>
          <w:lang w:val="en-US"/>
        </w:rPr>
      </w:pPr>
      <w:r w:rsidRPr="00AA312E">
        <w:rPr>
          <w:sz w:val="18"/>
          <w:szCs w:val="18"/>
          <w:lang w:val="en-US"/>
        </w:rPr>
        <w:t>Fig. 1. Deterministic validation layer isolating telemetry anomalies. Unbounded execution yields severe consumption illusions (11.9–26 L/100 km) driven by ghost-</w:t>
      </w:r>
      <w:proofErr w:type="spellStart"/>
      <w:r w:rsidRPr="00AA312E">
        <w:rPr>
          <w:sz w:val="18"/>
          <w:szCs w:val="18"/>
          <w:lang w:val="en-US"/>
        </w:rPr>
        <w:t>kilometre</w:t>
      </w:r>
      <w:proofErr w:type="spellEnd"/>
      <w:r w:rsidRPr="00AA312E">
        <w:rPr>
          <w:sz w:val="18"/>
          <w:szCs w:val="18"/>
          <w:lang w:val="en-US"/>
        </w:rPr>
        <w:t xml:space="preserve"> records. Bounded plausibility rules (4–15 L/100 km) surface flagged plate-months for managerial review while resolving the cleaned fleet average to ~6.3 L/100 km.</w:t>
      </w:r>
    </w:p>
    <w:p w14:paraId="2F93F635" w14:textId="77777777" w:rsidR="00542319" w:rsidRPr="00AA312E" w:rsidRDefault="000F5E2D">
      <w:pPr>
        <w:jc w:val="both"/>
        <w:rPr>
          <w:lang w:val="en-US"/>
        </w:rPr>
      </w:pPr>
      <w:r>
        <w:rPr>
          <w:lang w:val="en-US"/>
        </w:rPr>
        <w:t xml:space="preserve">Unconstrained execution produced a badly distorted fleet average at first, 11.9 to 26 L/100 km, by aggregating mixed fuel types, counting non-GPS vehicles, and mishandling telemetry dropouts (GPS downtime got treated as zero distance while fuel purchases kept happening). Fig. 1 shows what that created: ghost-kilometre records, extreme and physically impossible ratios. In this methodology, that illusion becomes a diagnostic specimen, proof of exactly why unbounded AI outputs need deterministic safeguards before a manager ever sees them.</w:t>
      </w:r>
      <w:proofErr w:type="spellStart"/>
      <w:proofErr w:type="spellEnd"/>
    </w:p>
    <w:p w14:paraId="2F93F636" w14:textId="6EF86E6D" w:rsidR="00542319" w:rsidRPr="00AA312E" w:rsidRDefault="000F5E2D">
      <w:pPr>
        <w:jc w:val="both"/>
        <w:rPr>
          <w:lang w:val="en-US"/>
        </w:rPr>
      </w:pPr>
      <w:r>
        <w:rPr>
          <w:lang w:val="en-US"/>
        </w:rPr>
        <w:t xml:space="preserve">The validation layer doesn't silently delete anomalous rows, and it doesn't accept misleading averages either. It enforces physical plausibility bounds instead, 4.0 to 15.0 L/100 km for diesel vehicles, and automatically surfaces flagged entries for managerial review. Records get tagged with diagnostic indicators, telemetry gaps, off-tracker vehicle use, off-card refuelling, month-end posting splits, so managers can audit data quality themselves, directly. After robust statistical outlier removal, the diesel-only GPS-matched fleet settles on a consistent, physically plausible average: about 6.3 L/100 km (median 6.32, P5–P95 range 4.68–8.13 L/100 km). And the full-fleet provenance totals, 603,559 litres and €854,608 in Repsol transactions verified against 2,967,984 km recorded by Cartrack for a reduced set of vehicles, are presented strictly as independent integrity checkpoints. Not divided into naive ratios.</w:t>
      </w:r>
      <w:proofErr w:type="spellStart"/>
      <w:proofErr w:type="spellEnd"/>
      <w:proofErr w:type="spellStart"/>
      <w:proofErr w:type="spellEnd"/>
      <w:proofErr w:type="spellStart"/>
      <w:proofErr w:type="spellEnd"/>
    </w:p>
    <w:p w14:paraId="2F93F637" w14:textId="77777777" w:rsidR="00542319" w:rsidRPr="00AA312E" w:rsidRDefault="000F5E2D">
      <w:pPr>
        <w:jc w:val="both"/>
        <w:rPr>
          <w:lang w:val="en-US"/>
        </w:rPr>
      </w:pPr>
      <w:r>
        <w:rPr>
          <w:i/>
          <w:iCs/>
          <w:lang w:val="en-US"/>
        </w:rPr>
        <w:t xml:space="preserve">What it exposed: transparent intermediate calculations, and the static report appears to have shifted how executive decision-makers evaluated fleet electrification. No more black-box optimisation scores to just trust. Managers could trace every recommendation back to verified operational data. The report identified 188 clear EV-transition candidates, daily limit 200 km or under, plus 41 vehicles compatible with midday fast charging. A complementary probabilistic daily-usage simulation put single-charge day-viability at roughly 98% across seasonal variations. Managers credited their confidence directly to that transparent auditability, and accepted the report's framing for strategic planning. Here's the paper's through-line, planted right here: decision-makers embrace artifacts that let them verify, conclude, and act. Tools that demand ongoing monitoring struggle in daily operational routines.</w:t>
      </w:r>
      <w:proofErr w:type="spellStart"/>
      <w:proofErr w:type="spellEnd"/>
    </w:p>
    <w:p w14:paraId="2F93F638" w14:textId="77777777" w:rsidR="00542319" w:rsidRPr="00AA312E" w:rsidRDefault="000F5E2D">
      <w:pPr>
        <w:spacing w:before="140" w:after="60"/>
        <w:rPr>
          <w:lang w:val="en-US"/>
        </w:rPr>
      </w:pPr>
      <w:r w:rsidRPr="00AA312E">
        <w:rPr>
          <w:i/>
          <w:iCs/>
          <w:lang w:val="en-US"/>
        </w:rPr>
        <w:t xml:space="preserve">B.  The LPG Motivator: </w:t>
      </w:r>
      <w:proofErr w:type="spellStart"/>
      <w:r w:rsidRPr="00AA312E">
        <w:rPr>
          <w:i/>
          <w:iCs/>
          <w:lang w:val="en-US"/>
        </w:rPr>
        <w:t>Behavioural</w:t>
      </w:r>
      <w:proofErr w:type="spellEnd"/>
      <w:r w:rsidRPr="00AA312E">
        <w:rPr>
          <w:i/>
          <w:iCs/>
          <w:lang w:val="en-US"/>
        </w:rPr>
        <w:t xml:space="preserve"> Proximity Nudging</w:t>
      </w:r>
    </w:p>
    <w:p w14:paraId="2F93F639" w14:textId="77777777" w:rsidR="00542319" w:rsidRPr="00AA312E" w:rsidRDefault="000F5E2D">
      <w:pPr>
        <w:jc w:val="both"/>
        <w:rPr>
          <w:lang w:val="en-US"/>
        </w:rPr>
      </w:pPr>
      <w:r w:rsidRPr="00AA312E">
        <w:rPr>
          <w:i/>
          <w:iCs/>
          <w:lang w:val="en-US"/>
        </w:rPr>
        <w:t>Manager’s question: “How can I increase LPG adoption over petrol in bi-fuel vehicles without creating additional administrative friction?”</w:t>
      </w:r>
    </w:p>
    <w:p w14:paraId="2F93F63A" w14:textId="77777777" w:rsidR="00542319" w:rsidRPr="00AA312E" w:rsidRDefault="000F5E2D">
      <w:pPr>
        <w:jc w:val="both"/>
        <w:rPr>
          <w:lang w:val="en-US"/>
        </w:rPr>
      </w:pPr>
      <w:r>
        <w:rPr>
          <w:i/>
          <w:iCs/>
          <w:lang w:val="en-US"/>
        </w:rPr>
        <w:t xml:space="preserve">What was built: most bi-fuel vehicle users already prioritised LPG. Some stayed resistant, though, and the reason they gave most often was perceived scarcity of refuelling infrastructure. So the mobile-first LPG Motivator got proposed as an alternative, one that doesn't just penalise non-compliance retrospectively but actually helps the driver at the point of decision, instead of after the fact.</w:t>
      </w:r>
      <w:proofErr w:type="spellStart"/>
      <w:proofErr w:type="spellEnd"/>
      <w:proofErr w:type="spellStart"/>
      <w:proofErr w:type="spellEnd"/>
      <w:proofErr w:type="gramStart"/>
      <w:proofErr w:type="gramEnd"/>
      <w:proofErr w:type="spellStart"/>
      <w:proofErr w:type="spellEnd"/>
    </w:p>
    <w:p w14:paraId="2F93F63B" w14:textId="77777777" w:rsidR="00542319" w:rsidRPr="00AA312E" w:rsidRDefault="00542319">
      <w:pPr>
        <w:jc w:val="both"/>
        <w:rPr>
          <w:lang w:val="en-US"/>
        </w:rPr>
      </w:pPr>
    </w:p>
    <w:p w14:paraId="2F93F63C" w14:textId="77777777" w:rsidR="00542319" w:rsidRPr="00AA312E" w:rsidRDefault="000F5E2D">
      <w:pPr>
        <w:jc w:val="both"/>
        <w:rPr>
          <w:lang w:val="en-US"/>
        </w:rPr>
      </w:pPr>
      <w:r>
        <w:rPr>
          <w:lang w:val="en-US"/>
        </w:rPr>
        <w:t xml:space="preserve">The application correlates vehicle position with national LPG station registries, Repsol, Moeve, Galp, the major suppliers. When a vehicle approaches an LPG provider, the technician gets notified: nearest station, distance, potential savings, navigation options. Punitive enforcement isn't the point. Reducing the effort it takes to change an established refuelling habit is.</w:t>
      </w:r>
      <w:proofErr w:type="spellStart"/>
      <w:proofErr w:type="spellEnd"/>
      <w:proofErr w:type="spellStart"/>
      <w:proofErr w:type="spellEnd"/>
    </w:p>
    <w:p w14:paraId="2F93F63D" w14:textId="77777777" w:rsidR="00542319" w:rsidRPr="00AA312E" w:rsidRDefault="000F5E2D">
      <w:pPr>
        <w:jc w:val="both"/>
        <w:rPr>
          <w:lang w:val="en-US"/>
        </w:rPr>
      </w:pPr>
      <w:r>
        <w:rPr>
          <w:i/>
          <w:iCs/>
          <w:lang w:val="en-US"/>
        </w:rPr>
        <w:t xml:space="preserve">What it exposed: managers could also use it to test whether the fuel policy actually held up along real operational routes. The clearest example: the "Bragança Exclusion." A technician working predominantly in that region had no LPG station anywhere inside a realistic daily service radius. So low LPG use there wasn't behavioural non-compliance at all. It was a physical infrastructure constraint.</w:t>
      </w:r>
      <w:proofErr w:type="spellStart"/>
      <w:proofErr w:type="spellEnd"/>
    </w:p>
    <w:p w14:paraId="2F93F63E" w14:textId="77777777" w:rsidR="00542319" w:rsidRPr="00AA312E" w:rsidRDefault="000F5E2D">
      <w:pPr>
        <w:jc w:val="both"/>
        <w:rPr>
          <w:lang w:val="en-US"/>
        </w:rPr>
      </w:pPr>
      <w:r>
        <w:rPr>
          <w:lang w:val="en-US"/>
        </w:rPr>
        <w:t xml:space="preserve">That finding challenges an assumption worth challenging: that all users have equivalent access to the required infrastructure. Identical behavioural expectations can create unequal operational burdens depending purely on territory. So the spatial evidence supports something concrete: justified policy exceptions, and preferentially allocating bi-fuel vehicles to areas with sufficient LPG coverage. There's a second finding too, a tank-size and range barrier: the users saving the most are often the most resistant, because a smaller LPG tank cuts expected range, adding a secondary behavioural constraint that has nothing to do with infrastructure proximity. The practical app hasn't been adopted yet. But something shifted anyway: managers now see they can build simple tools of their own to test a decision, instead of waiting around for a finished system.</w:t>
      </w:r>
      <w:proofErr w:type="spellStart"/>
      <w:proofErr w:type="spellEnd"/>
      <w:proofErr w:type="spellStart"/>
      <w:proofErr w:type="spellEnd"/>
    </w:p>
    <w:p w14:paraId="2F93F63F" w14:textId="77777777" w:rsidR="00542319" w:rsidRDefault="000F5E2D">
      <w:pPr>
        <w:widowControl w:val="0"/>
        <w:spacing w:before="12"/>
        <w:ind w:right="729"/>
        <w:jc w:val="right"/>
        <w:rPr>
          <w:rFonts w:ascii="Arial" w:eastAsia="Arial" w:hAnsi="Arial" w:cs="Arial"/>
        </w:rPr>
      </w:pPr>
      <w:r>
        <w:rPr>
          <w:rFonts w:ascii="Arial" w:eastAsia="Arial" w:hAnsi="Arial" w:cs="Arial"/>
          <w:noProof/>
        </w:rPr>
        <w:drawing>
          <wp:inline distT="19050" distB="19050" distL="19050" distR="19050" wp14:anchorId="2F93F662" wp14:editId="762CC8EC">
            <wp:extent cx="2209800" cy="3949430"/>
            <wp:effectExtent l="0" t="0" r="0" b="0"/>
            <wp:docPr id="2" name="image2.png"/>
            <wp:cNvGraphicFramePr/>
            <ns6:graphic>
              <ns6:graphicData uri="http://schemas.openxmlformats.org/drawingml/2006/picture">
                <ns7:pic>
                  <ns7:nvPicPr>
                    <ns7:cNvPr id="0" name="image2.png"/>
                    <ns7:cNvPicPr preferRelativeResize="0"/>
                  </ns7:nvPicPr>
                  <ns7:blipFill rotWithShape="1">
                    <ns6:blip r:embed="rId6"/>
                    <ns6:srcRect b="3121"/>
                    <ns6:stretch>
                      <ns6:fillRect/>
                    </ns6:stretch>
                  </ns7:blipFill>
                  <ns7:spPr bwMode="auto">
                    <ns6:xfrm>
                      <ns6:off x="0" y="0"/>
                      <ns6:ext cx="2209800" cy="3949430"/>
                    </ns6:xfrm>
                    <ns6:prstGeom prst="rect">
                      <ns6:avLst/>
                    </ns6:prstGeom>
                    <ns6:ln>
                      <ns6:noFill/>
                    </ns6:ln>
                    <ns6:extLst>
                      <ns6:ext uri="{53640926-AAD7-44D8-BBD7-CCE9431645EC}">
                        <ns8:shadowObscured/>
                      </ns6:ext>
                    </ns6:extLst>
                  </ns7:spPr>
                </ns7:pic>
              </ns6:graphicData>
            </ns6:graphic>
          </wp:inline>
        </w:drawing>
      </w:r>
    </w:p>
    <w:p w14:paraId="2F93F640" w14:textId="77777777" w:rsidR="00542319" w:rsidRPr="00AA312E" w:rsidRDefault="000F5E2D">
      <w:pPr>
        <w:widowControl w:val="0"/>
        <w:spacing w:line="229" w:lineRule="auto"/>
        <w:ind w:left="164" w:right="40" w:firstLine="2"/>
        <w:jc w:val="both"/>
        <w:rPr>
          <w:lang w:val="en-US"/>
        </w:rPr>
      </w:pPr>
      <w:r w:rsidRPr="00AA312E">
        <w:rPr>
          <w:sz w:val="18"/>
          <w:szCs w:val="18"/>
          <w:lang w:val="en-US"/>
        </w:rPr>
        <w:t>Fig. 2. The LPG Motivator progressive web app on a technician’s device: LPG stations by supplier across Portugal, with nearest station and estimated per-</w:t>
      </w:r>
      <w:proofErr w:type="spellStart"/>
      <w:r w:rsidRPr="00AA312E">
        <w:rPr>
          <w:sz w:val="18"/>
          <w:szCs w:val="18"/>
          <w:lang w:val="en-US"/>
        </w:rPr>
        <w:t>refuelling</w:t>
      </w:r>
      <w:proofErr w:type="spellEnd"/>
      <w:r w:rsidRPr="00AA312E">
        <w:rPr>
          <w:sz w:val="18"/>
          <w:szCs w:val="18"/>
          <w:lang w:val="en-US"/>
        </w:rPr>
        <w:t xml:space="preserve"> saving panels. The dense coastal coverage and sparse interior </w:t>
      </w:r>
      <w:proofErr w:type="spellStart"/>
      <w:r w:rsidRPr="00AA312E">
        <w:rPr>
          <w:sz w:val="18"/>
          <w:szCs w:val="18"/>
          <w:lang w:val="en-US"/>
        </w:rPr>
        <w:t>visualise</w:t>
      </w:r>
      <w:proofErr w:type="spellEnd"/>
      <w:r w:rsidRPr="00AA312E">
        <w:rPr>
          <w:sz w:val="18"/>
          <w:szCs w:val="18"/>
          <w:lang w:val="en-US"/>
        </w:rPr>
        <w:t xml:space="preserve"> the accessibility gap underlying the Bragança Exclusion. </w:t>
      </w:r>
    </w:p>
    <w:p w14:paraId="2F93F641" w14:textId="77777777" w:rsidR="00542319" w:rsidRPr="00AA312E" w:rsidRDefault="000F5E2D">
      <w:pPr>
        <w:spacing w:before="140" w:after="60"/>
        <w:rPr>
          <w:lang w:val="en-US"/>
        </w:rPr>
      </w:pPr>
      <w:r w:rsidRPr="00AA312E">
        <w:rPr>
          <w:i/>
          <w:iCs/>
          <w:lang w:val="en-US"/>
        </w:rPr>
        <w:t>C.  The Infrastructure Scarcity Map: Fuel-Agnostic Accessibility</w:t>
      </w:r>
    </w:p>
    <w:p w14:paraId="2F93F642" w14:textId="77777777" w:rsidR="00542319" w:rsidRPr="00AA312E" w:rsidRDefault="000F5E2D">
      <w:pPr>
        <w:jc w:val="both"/>
        <w:rPr>
          <w:lang w:val="en-US"/>
        </w:rPr>
      </w:pPr>
      <w:r w:rsidRPr="00AA312E">
        <w:rPr>
          <w:i/>
          <w:iCs/>
          <w:lang w:val="en-US"/>
        </w:rPr>
        <w:t xml:space="preserve">Manager’s question: “Can the LPG Motivator be extended into a fuel-agnostic tool for comparing </w:t>
      </w:r>
      <w:proofErr w:type="spellStart"/>
      <w:r w:rsidRPr="00AA312E">
        <w:rPr>
          <w:i/>
          <w:iCs/>
          <w:lang w:val="en-US"/>
        </w:rPr>
        <w:t>refuelling</w:t>
      </w:r>
      <w:proofErr w:type="spellEnd"/>
      <w:r w:rsidRPr="00AA312E">
        <w:rPr>
          <w:i/>
          <w:iCs/>
          <w:lang w:val="en-US"/>
        </w:rPr>
        <w:t xml:space="preserve"> and recharging accessibility on a fair basis?”</w:t>
      </w:r>
    </w:p>
    <w:p w14:paraId="2F93F643" w14:textId="77777777" w:rsidR="00542319" w:rsidRPr="00AA312E" w:rsidRDefault="000F5E2D">
      <w:pPr>
        <w:jc w:val="both"/>
        <w:rPr>
          <w:lang w:val="en-US"/>
        </w:rPr>
      </w:pPr>
      <w:r>
        <w:rPr>
          <w:i/>
          <w:iCs/>
          <w:lang w:val="en-US"/>
        </w:rPr>
        <w:t xml:space="preserve">What was built: the Infrastructure Scarcity Map builds on the LPG Motivator, providing a common spatial framework for assessing infrastructure accessibility across propulsion technologies. Here's the central challenge: conventional indicators, charging plugs, fuel pumps, just aren't directly comparable to each other. So the application focuses on something that is: effective driving range recovered through the available network, a uniform basis regardless of the underlying energy source.</w:t>
      </w:r>
      <w:proofErr w:type="gramStart"/>
      <w:proofErr w:type="gramEnd"/>
    </w:p>
    <w:p w14:paraId="2F93F644" w14:textId="77777777" w:rsidR="00542319" w:rsidRPr="00AA312E" w:rsidRDefault="000F5E2D">
      <w:pPr>
        <w:jc w:val="both"/>
        <w:rPr>
          <w:lang w:val="en-US"/>
        </w:rPr>
      </w:pPr>
      <w:r>
        <w:rPr>
          <w:lang w:val="en-US"/>
        </w:rPr>
        <w:t xml:space="preserve">Managers can explore infrastructure across Portugal, filtering chargers by power category: AC below 50 kW, fast DC at 50 kW or above, ultra-fast at 150 kW or above, plus conventional and alternative-fuel stations. Percentile-based spatial rankings make urban-rural comparisons possible. And connections to public data streams can fold in charger availability too, when a particular trip is being assessed.</w:t>
      </w:r>
    </w:p>
    <w:p w14:paraId="2F93F645" w14:textId="77777777" w:rsidR="00542319" w:rsidRPr="00AA312E" w:rsidRDefault="000F5E2D">
      <w:pPr>
        <w:jc w:val="both"/>
        <w:rPr>
          <w:lang w:val="en-US"/>
        </w:rPr>
      </w:pPr>
      <w:r>
        <w:rPr>
          <w:i/>
          <w:iCs/>
          <w:lang w:val="en-US"/>
        </w:rPr>
        <w:t xml:space="preserve">What it exposed: raw site counts don't describe operational accessibility well enough. LPG showed relatively homogeneous coverage across most populated operational territories. Charging infrastructure didn't; it varied substantially by region and power tier. Metropolitan areas and major corridors had far more flexibility in fast and ultra-fast charging. Several rural areas were still stuck depending on lower-power installations.</w:t>
      </w:r>
    </w:p>
    <w:p w14:paraId="2F93F646" w14:textId="77777777" w:rsidR="00542319" w:rsidRPr="00AA312E" w:rsidRDefault="000F5E2D">
      <w:pPr>
        <w:jc w:val="both"/>
        <w:rPr>
          <w:lang w:val="en-US"/>
        </w:rPr>
      </w:pPr>
      <w:r>
        <w:rPr>
          <w:lang w:val="en-US"/>
        </w:rPr>
        <w:t xml:space="preserve">So the artifact draws a line between perceived scarcity and genuine operational constraints: an EV transition might be entirely feasible in one territory and substantially limited in another. Turning that comparison into a standardised accessibility index is still future work.</w:t>
      </w:r>
      <w:proofErr w:type="gramStart"/>
      <w:proofErr w:type="gramEnd"/>
      <w:proofErr w:type="gramStart"/>
      <w:proofErr w:type="gramEnd"/>
      <w:proofErr w:type="spellStart"/>
      <w:proofErr w:type="spellEnd"/>
      <w:proofErr w:type="spellStart"/>
      <w:proofErr w:type="spellEnd"/>
    </w:p>
    <w:p w14:paraId="2F93F647" w14:textId="77777777" w:rsidR="00542319" w:rsidRPr="00AA312E" w:rsidRDefault="000F5E2D">
      <w:pPr>
        <w:jc w:val="both"/>
        <w:rPr>
          <w:lang w:val="en-US"/>
        </w:rPr>
      </w:pPr>
      <w:r>
        <w:rPr>
          <w:lang w:val="en-US"/>
        </w:rPr>
        <w:t xml:space="preserve">This app has no immediate use for the current small EV fleet, since those EVs recharge at facilities anyway. But one manager confirmed it would matter to them personally if assigned a field EV. So relevance here depends entirely on the electrification stage.</w:t>
      </w:r>
    </w:p>
    <w:p w14:paraId="2F93F648" w14:textId="77777777" w:rsidR="00542319" w:rsidRPr="00AA312E" w:rsidRDefault="000F5E2D">
      <w:pPr>
        <w:spacing w:before="140" w:after="60"/>
        <w:rPr>
          <w:lang w:val="en-US"/>
        </w:rPr>
      </w:pPr>
      <w:r w:rsidRPr="00AA312E">
        <w:rPr>
          <w:i/>
          <w:iCs/>
          <w:lang w:val="en-US"/>
        </w:rPr>
        <w:t>D.  The Schedule Visualizer and Dispatch Map: Interactive Planning &amp; Adherence</w:t>
      </w:r>
    </w:p>
    <w:p w14:paraId="2F93F649" w14:textId="77777777" w:rsidR="00542319" w:rsidRPr="00AA312E" w:rsidRDefault="000F5E2D">
      <w:pPr>
        <w:jc w:val="both"/>
        <w:rPr>
          <w:lang w:val="en-US"/>
        </w:rPr>
      </w:pPr>
      <w:r w:rsidRPr="00AA312E">
        <w:rPr>
          <w:i/>
          <w:iCs/>
          <w:lang w:val="en-US"/>
        </w:rPr>
        <w:t>Manager’s question: “How can we verify whether spreadsheet shift assignments match daily operational reality, and quickly identify the nearest technician when morning schedules break down?”</w:t>
      </w:r>
    </w:p>
    <w:p w14:paraId="2F93F64A" w14:textId="77777777" w:rsidR="00542319" w:rsidRPr="00AA312E" w:rsidRDefault="000F5E2D">
      <w:pPr>
        <w:jc w:val="both"/>
        <w:rPr>
          <w:lang w:val="en-US"/>
        </w:rPr>
      </w:pPr>
      <w:r>
        <w:rPr>
          <w:i/>
          <w:iCs/>
          <w:lang w:val="en-US"/>
        </w:rPr>
        <w:t xml:space="preserve">What was built: the Schedule Visualizer is a data-oriented planning dashboard, connecting static Excel schedules, Teams shift assignments, and telemetric GPS departure records into one interactive audit bridge. Managers toggle between planned Excel schedules, Teams rosters, and side-by-side comparison timelines, and conflicts and split shifts get flagged automatically while GPS arrival and departure timestamps get audited. A complementary Real-Time Dispatch Map came out of this too, a click-anywhere nearest-technician leaderboard built to support dynamic morning re-planning.</w:t>
      </w:r>
    </w:p>
    <w:p w14:paraId="2F93F64B" w14:textId="77777777" w:rsidR="00542319" w:rsidRPr="00AA312E" w:rsidRDefault="000F5E2D">
      <w:pPr>
        <w:jc w:val="both"/>
        <w:rPr>
          <w:lang w:val="en-US"/>
        </w:rPr>
      </w:pPr>
      <w:r>
        <w:rPr>
          <w:i/>
          <w:iCs/>
          <w:lang w:val="en-US"/>
        </w:rPr>
        <w:t xml:space="preserve">What it exposed: the real value of these interactive visual tools was speed. A manager could spot discrepancies between planning sources fast, discrepancies that used to stay buried in incompatible spreadsheets and disparate GPS logs. It also smoothed the transition from an unstructured Excel planning sheet toward a structured, data-driven Microsoft Teams solution.</w:t>
      </w:r>
    </w:p>
    <w:p w14:paraId="2F93F64C" w14:textId="77777777" w:rsidR="00542319" w:rsidRPr="00AA312E" w:rsidRDefault="000F5E2D">
      <w:pPr>
        <w:jc w:val="both"/>
        <w:rPr>
          <w:lang w:val="en-US"/>
        </w:rPr>
      </w:pPr>
      <w:r>
        <w:rPr>
          <w:lang w:val="en-US"/>
        </w:rPr>
        <w:t xml:space="preserve">Managers don't see this as pre-existing software. They see it as an auditing visualizer, one that eases the move from traditional, well-adapted instruments toward more reliable, interoperable ones. It also helped resolve planning conflicts and reshaped some team-allocation decisions; there's a single worksheet now, where seven Excel worksheets used to be. A different lens, it turns out, brings lateral advantages too, cost allocation among them.</w:t>
      </w:r>
      <w:proofErr w:type="gramStart"/>
      <w:proofErr w:type="gramEnd"/>
    </w:p>
    <w:p w14:paraId="2F93F64D" w14:textId="77777777" w:rsidR="00542319" w:rsidRPr="00AA312E" w:rsidRDefault="000F5E2D">
      <w:pPr>
        <w:jc w:val="both"/>
        <w:rPr>
          <w:lang w:val="en-US"/>
        </w:rPr>
      </w:pPr>
      <w:r>
        <w:rPr>
          <w:lang w:val="en-US"/>
        </w:rPr>
        <w:t xml:space="preserve">Across every artifact, the longitudinal observation told the same story: interactive tools saw less sustained use than expected. Managers acknowledged the visualizer's diagnostic power in scheduled review meetings, sure, but they never signalled any intention to adopt it as a new interactive dashboard for routine operations. One more pattern showed up too: managers co-create software themselves, mostly through Power Apps and Power BI. And the focus there is twofold: simple, relevant summaries, and, more importantly, less processing time, for faster, more dynamic reactivity.</w:t>
      </w:r>
      <w:proofErr w:type="gramStart"/>
      <w:proofErr w:type="gramEnd"/>
    </w:p>
    <w:p w14:paraId="2F93F64E" w14:textId="77777777" w:rsidR="00542319" w:rsidRPr="00AA312E" w:rsidRDefault="000F5E2D">
      <w:pPr>
        <w:jc w:val="both"/>
        <w:rPr>
          <w:lang w:val="en-US"/>
        </w:rPr>
      </w:pPr>
      <w:r>
        <w:rPr>
          <w:lang w:val="en-US"/>
        </w:rPr>
        <w:t xml:space="preserve">That observation is what leads us to hypothesise the conclude-versus-monitor adoption gap. Static artifacts, the executive report among them, succeed because they deliver a conclusive, auditable answer to one specific decision. Live interactive dashboards demand continuous monitoring instead, ongoing attention that managers, buried in daily operational emergencies, simply can't sustain. The dispatch map made this visible in its own way too: it ranked technicians by proximity, which exposed the limits of algorithmic allocation the moment it ignored unquantified managerial context, technician skill specialisation, customer rapport, the things that don't fit in a ranking.</w:t>
      </w:r>
      <w:proofErr w:type="spellStart"/>
      <w:proofErr w:type="spellEnd"/>
      <w:proofErr w:type="spellStart"/>
      <w:proofErr w:type="spellEnd"/>
    </w:p>
    <w:p w14:paraId="2F93F64F" w14:textId="77777777" w:rsidR="00542319" w:rsidRPr="00AA312E" w:rsidRDefault="000F5E2D">
      <w:pPr>
        <w:spacing w:before="140" w:after="60"/>
        <w:rPr>
          <w:lang w:val="en-US"/>
        </w:rPr>
      </w:pPr>
      <w:r w:rsidRPr="00AA312E">
        <w:rPr>
          <w:i/>
          <w:iCs/>
          <w:lang w:val="en-US"/>
        </w:rPr>
        <w:t>E.  Cross-Artifact Observations</w:t>
      </w:r>
    </w:p>
    <w:p w14:paraId="2F93F650" w14:textId="77777777" w:rsidR="00542319" w:rsidRPr="00AA312E" w:rsidRDefault="000F5E2D">
      <w:pPr>
        <w:jc w:val="both"/>
        <w:rPr>
          <w:lang w:val="en-US"/>
        </w:rPr>
      </w:pPr>
      <w:r>
        <w:rPr>
          <w:lang w:val="en-US"/>
        </w:rPr>
        <w:t xml:space="preserve">Three patterns recurred across all four deployed artifacts. First: the static, subtotal-verified executive report got sustained managerial engagement and actively guided strategic EV planning, while the interactive dashboards, schedule visualizer, dispatch map, scarcity map, got consulted actively in formal review meetings but saw almost no routine use day to day. Second: managers didn't stay passive consumers of what got delivered to them. They started co-creating their own software, using Power Apps and Power BI to build lightweight summaries that speed up daily processing. Third: across every tool, the strongest managerial reactions never came from algorithmic optimisation output. They came from surfaced operational anomalies, spatial infrastructure gaps, scheduling mismatches, unverified fuel discrepancies, which tells us the real practical value of these tools was reframing operational assumptions, not optimising them.</w:t>
      </w:r>
      <w:proofErr w:type="spellStart"/>
      <w:proofErr w:type="spellEnd"/>
    </w:p>
    <w:p w14:paraId="2F93F651" w14:textId="77777777" w:rsidR="00542319" w:rsidRPr="00AA312E" w:rsidRDefault="000F5E2D">
      <w:pPr>
        <w:spacing w:before="200" w:after="100"/>
        <w:jc w:val="center"/>
        <w:rPr>
          <w:lang w:val="en-US"/>
        </w:rPr>
      </w:pPr>
      <w:r w:rsidRPr="00AA312E">
        <w:rPr>
          <w:smallCaps/>
          <w:lang w:val="en-US"/>
        </w:rPr>
        <w:t>IV</w:t>
      </w:r>
      <w:proofErr w:type="gramStart"/>
      <w:r w:rsidRPr="00AA312E">
        <w:rPr>
          <w:smallCaps/>
          <w:lang w:val="en-US"/>
        </w:rPr>
        <w:t>.  Conclusion</w:t>
      </w:r>
      <w:proofErr w:type="gramEnd"/>
    </w:p>
    <w:p w14:paraId="2F93F652" w14:textId="77777777" w:rsidR="00542319" w:rsidRPr="00AA312E" w:rsidRDefault="000F5E2D">
      <w:pPr>
        <w:jc w:val="both"/>
        <w:rPr>
          <w:lang w:val="en-US"/>
        </w:rPr>
      </w:pPr>
      <w:r>
        <w:rPr>
          <w:lang w:val="en-US"/>
        </w:rPr>
        <w:t xml:space="preserve">The first global conclusion: the report shifted the managers' decision frame. The interactive tools didn't sustain that shift. Deploy these four artifacts longitudinally, and an adoption gap emerges, rooted in the interaction model of decision-support tools itself. Our hypothesis: under severe managerial attention scarcity, artifacts that conclude beat artifacts that monitor. A static, subtotal-verified report succeeds because it delivers one conclusive, self-contained answer to a bounded strategic question. The manager reviews it, checks it, decides. Interactive dashboards ask for something managers don't have: continuous monitoring, ongoing cognitive attention, resources that operational managers, buried in daily emergencies, cannot sustain. So effective mobility tools need to align with managerial attention spans. Conclusive evidence for strategic choices. Operational monitoring embedded directly into daily routines that already exist.</w:t>
      </w:r>
      <w:proofErr w:type="spellStart"/>
      <w:proofErr w:type="spellEnd"/>
      <w:proofErr w:type="gramStart"/>
      <w:proofErr w:type="gramEnd"/>
    </w:p>
    <w:p w14:paraId="2F93F653" w14:textId="77777777" w:rsidR="00542319" w:rsidRPr="00AA312E" w:rsidRDefault="000F5E2D">
      <w:pPr>
        <w:jc w:val="both"/>
        <w:rPr>
          <w:lang w:val="en-US"/>
        </w:rPr>
      </w:pPr>
      <w:r>
        <w:rPr>
          <w:i/>
          <w:iCs/>
          <w:lang w:val="en-US"/>
        </w:rPr>
        <w:t xml:space="preserve">Future Work: two directions frame what comes next. First, the fuel-agnostic accessibility framework demonstrated in the scarcity map gets formalized into a standardized accessibility index, for cross-regional fleet benchmarking. Second, shift-planning data gets integrated with live GPS telemetry, to detect route-level inefficiencies. That means generating optimized weekly schedule proposals, quantifying potential reductions in dead time and duplicate supplier visits, and evaluating operational feasibility directly with fleet managers before anything reaches the field.</w:t>
      </w:r>
      <w:proofErr w:type="gramStart"/>
      <w:proofErr w:type="gramEnd"/>
    </w:p>
    <w:p w14:paraId="2F93F654" w14:textId="77777777" w:rsidR="00542319" w:rsidRPr="00AA312E" w:rsidRDefault="000F5E2D">
      <w:pPr>
        <w:spacing w:before="200" w:after="100"/>
        <w:jc w:val="center"/>
        <w:rPr>
          <w:lang w:val="en-US"/>
        </w:rPr>
      </w:pPr>
      <w:r w:rsidRPr="00AA312E">
        <w:rPr>
          <w:smallCaps/>
          <w:lang w:val="en-US"/>
        </w:rPr>
        <w:t>Acknowledgements</w:t>
      </w:r>
    </w:p>
    <w:p w14:paraId="2F93F655" w14:textId="77777777" w:rsidR="00542319" w:rsidRPr="00AA312E" w:rsidRDefault="000F5E2D">
      <w:pPr>
        <w:jc w:val="both"/>
        <w:rPr>
          <w:lang w:val="en-US"/>
        </w:rPr>
      </w:pPr>
      <w:r>
        <w:rPr>
          <w:lang w:val="en-US"/>
        </w:rPr>
        <w:t xml:space="preserve">This work was supported by the Foundation for Science and Technology (FCT) through a PhD studentship in a non-academic environment, 2024.05194.BDANA. The authors thank the participating fleet managers for their time and their feedback.</w:t>
      </w:r>
      <w:proofErr w:type="gramStart"/>
      <w:proofErr w:type="gramEnd"/>
    </w:p>
    <w:p w14:paraId="2F93F656" w14:textId="77777777" w:rsidR="00542319" w:rsidRPr="00AA312E" w:rsidRDefault="000F5E2D">
      <w:pPr>
        <w:jc w:val="both"/>
        <w:rPr>
          <w:lang w:val="en-US"/>
        </w:rPr>
      </w:pPr>
      <w:r w:rsidRPr="00AA312E">
        <w:rPr>
          <w:lang w:val="en-US"/>
        </w:rPr>
        <w:t>Declaration on generative AI: in accordance with the venue’s policy, the authors declare that the scholarly text of this manuscript was written by the authors. AI-assisted tools were used solely as research instruments, for data processing, analysis, and the construction of the deployed artifacts, and for light language editing, under human validation at every stage.</w:t>
      </w:r>
    </w:p>
    <w:p w14:paraId="2F93F657" w14:textId="77777777" w:rsidR="00542319" w:rsidRPr="00AA312E" w:rsidRDefault="000F5E2D">
      <w:pPr>
        <w:spacing w:before="200" w:after="100"/>
        <w:jc w:val="center"/>
        <w:rPr>
          <w:lang w:val="en-US"/>
        </w:rPr>
      </w:pPr>
      <w:r w:rsidRPr="00AA312E">
        <w:rPr>
          <w:smallCaps/>
          <w:lang w:val="en-US"/>
        </w:rPr>
        <w:t>References</w:t>
      </w:r>
    </w:p>
    <w:p w14:paraId="2F93F658" w14:textId="77777777" w:rsidR="00542319" w:rsidRPr="00AA312E" w:rsidRDefault="000F5E2D">
      <w:pPr>
        <w:spacing w:after="20"/>
        <w:jc w:val="both"/>
        <w:rPr>
          <w:lang w:val="en-US"/>
        </w:rPr>
      </w:pPr>
      <w:r w:rsidRPr="00AA312E">
        <w:rPr>
          <w:sz w:val="17"/>
          <w:szCs w:val="17"/>
          <w:lang w:val="en-US"/>
        </w:rPr>
        <w:t xml:space="preserve">[1] J. Pinto Oliveira Et al., “An AI framework for literature review: in search of sustainable fuels.,” W. Leal Filho et al., Eds., Sustainability Transition and Global Citizenship in the Digital Era: Innovations in Universities, ch. 40. Cham, Switzerland: Springer, 2026. ISBN 978-3-032-22075-2. </w:t>
      </w:r>
    </w:p>
    <w:p w14:paraId="2F93F659" w14:textId="77777777" w:rsidR="00542319" w:rsidRPr="00AA312E" w:rsidRDefault="000F5E2D">
      <w:pPr>
        <w:spacing w:after="20"/>
        <w:jc w:val="both"/>
        <w:rPr>
          <w:lang w:val="en-US"/>
        </w:rPr>
      </w:pPr>
      <w:r w:rsidRPr="00AA312E">
        <w:rPr>
          <w:sz w:val="17"/>
          <w:szCs w:val="17"/>
          <w:lang w:val="en-US"/>
        </w:rPr>
        <w:t>[2] F. D. Davis, “Perceived usefulness, perceived ease of use, and user acceptance of information technology,” MIS Quarterly, vol. 13, no. 3, pp. 319–340, 1989.</w:t>
      </w:r>
    </w:p>
    <w:p w14:paraId="2F93F65A" w14:textId="77777777" w:rsidR="00542319" w:rsidRPr="00AA312E" w:rsidRDefault="000F5E2D">
      <w:pPr>
        <w:spacing w:after="20"/>
        <w:jc w:val="both"/>
        <w:rPr>
          <w:lang w:val="en-US"/>
        </w:rPr>
      </w:pPr>
      <w:r w:rsidRPr="00AA312E">
        <w:rPr>
          <w:sz w:val="17"/>
          <w:szCs w:val="17"/>
          <w:lang w:val="en-US"/>
        </w:rPr>
        <w:t>[3] V. Venkatesh, M. G. Morris, G. B. Davis, and F. D. Davis, “User acceptance of information technology: toward a unified view,” MIS Quarterly, vol. 27, no. 3, pp. 425–478, 2003.</w:t>
      </w:r>
    </w:p>
    <w:p w14:paraId="2F93F65B" w14:textId="77777777" w:rsidR="00542319" w:rsidRPr="00AA312E" w:rsidRDefault="000F5E2D">
      <w:pPr>
        <w:spacing w:after="20"/>
        <w:jc w:val="both"/>
        <w:rPr>
          <w:lang w:val="en-US"/>
        </w:rPr>
      </w:pPr>
      <w:r w:rsidRPr="00AA312E">
        <w:rPr>
          <w:sz w:val="17"/>
          <w:szCs w:val="17"/>
          <w:lang w:val="en-US"/>
        </w:rPr>
        <w:t xml:space="preserve">[4] W. </w:t>
      </w:r>
      <w:proofErr w:type="spellStart"/>
      <w:r w:rsidRPr="00AA312E">
        <w:rPr>
          <w:sz w:val="17"/>
          <w:szCs w:val="17"/>
          <w:lang w:val="en-US"/>
        </w:rPr>
        <w:t>Sierzchula</w:t>
      </w:r>
      <w:proofErr w:type="spellEnd"/>
      <w:r w:rsidRPr="00AA312E">
        <w:rPr>
          <w:sz w:val="17"/>
          <w:szCs w:val="17"/>
          <w:lang w:val="en-US"/>
        </w:rPr>
        <w:t>, S. Bakker, K. Maat, and B. van Wee, “The influence of financial incentives and other socio-economic factors on electric vehicle adoption,” Energy Policy, vol. 68, pp. 183–194, 2014.</w:t>
      </w:r>
    </w:p>
    <w:p w14:paraId="2F93F65C" w14:textId="77777777" w:rsidR="00542319" w:rsidRPr="00AA312E" w:rsidRDefault="000F5E2D">
      <w:pPr>
        <w:spacing w:after="20"/>
        <w:jc w:val="both"/>
        <w:rPr>
          <w:lang w:val="en-US"/>
        </w:rPr>
      </w:pPr>
      <w:r w:rsidRPr="00AA312E">
        <w:rPr>
          <w:sz w:val="17"/>
          <w:szCs w:val="17"/>
          <w:lang w:val="en-US"/>
        </w:rPr>
        <w:t xml:space="preserve">[5] E. </w:t>
      </w:r>
      <w:proofErr w:type="spellStart"/>
      <w:r w:rsidRPr="00AA312E">
        <w:rPr>
          <w:sz w:val="17"/>
          <w:szCs w:val="17"/>
          <w:lang w:val="en-US"/>
        </w:rPr>
        <w:t>Figenbaum</w:t>
      </w:r>
      <w:proofErr w:type="spellEnd"/>
      <w:r w:rsidRPr="00AA312E">
        <w:rPr>
          <w:sz w:val="17"/>
          <w:szCs w:val="17"/>
          <w:lang w:val="en-US"/>
        </w:rPr>
        <w:t>, “Experiences from battery-electric truck users in Norway,” World Electric Vehicle Journal, vol. 11, no. 1, art. 5, 2020.</w:t>
      </w:r>
    </w:p>
    <w:p w14:paraId="2F93F65D" w14:textId="77777777" w:rsidR="00542319" w:rsidRPr="00AA312E" w:rsidRDefault="000F5E2D">
      <w:pPr>
        <w:spacing w:after="20"/>
        <w:jc w:val="both"/>
        <w:rPr>
          <w:lang w:val="en-US"/>
        </w:rPr>
      </w:pPr>
      <w:r w:rsidRPr="00AA312E">
        <w:rPr>
          <w:sz w:val="17"/>
          <w:szCs w:val="17"/>
          <w:lang w:val="en-US"/>
        </w:rPr>
        <w:t xml:space="preserve">[6] T. Konstantinou and K. </w:t>
      </w:r>
      <w:proofErr w:type="spellStart"/>
      <w:r w:rsidRPr="00AA312E">
        <w:rPr>
          <w:sz w:val="17"/>
          <w:szCs w:val="17"/>
          <w:lang w:val="en-US"/>
        </w:rPr>
        <w:t>Gkritza</w:t>
      </w:r>
      <w:proofErr w:type="spellEnd"/>
      <w:r w:rsidRPr="00AA312E">
        <w:rPr>
          <w:sz w:val="17"/>
          <w:szCs w:val="17"/>
          <w:lang w:val="en-US"/>
        </w:rPr>
        <w:t xml:space="preserve">, “Are we getting close to truck electrification? U.S. truck fleet </w:t>
      </w:r>
      <w:proofErr w:type="gramStart"/>
      <w:r w:rsidRPr="00AA312E">
        <w:rPr>
          <w:sz w:val="17"/>
          <w:szCs w:val="17"/>
          <w:lang w:val="en-US"/>
        </w:rPr>
        <w:t>managers’</w:t>
      </w:r>
      <w:proofErr w:type="gramEnd"/>
      <w:r w:rsidRPr="00AA312E">
        <w:rPr>
          <w:sz w:val="17"/>
          <w:szCs w:val="17"/>
          <w:lang w:val="en-US"/>
        </w:rPr>
        <w:t xml:space="preserve"> stated intentions to electrify their fleets,” Transportation Research Part A: Policy and Practice, vol. 173, art. 103697, 2023.</w:t>
      </w:r>
    </w:p>
    <w:p w14:paraId="2F93F65E" w14:textId="77777777" w:rsidR="00542319" w:rsidRPr="00AA312E" w:rsidRDefault="000F5E2D">
      <w:pPr>
        <w:spacing w:after="20"/>
        <w:jc w:val="both"/>
        <w:rPr>
          <w:lang w:val="en-US"/>
        </w:rPr>
      </w:pPr>
      <w:r w:rsidRPr="00AA312E">
        <w:rPr>
          <w:sz w:val="17"/>
          <w:szCs w:val="17"/>
          <w:lang w:val="en-US"/>
        </w:rPr>
        <w:t xml:space="preserve">[7] K. Peffers, T. </w:t>
      </w:r>
      <w:proofErr w:type="spellStart"/>
      <w:r w:rsidRPr="00AA312E">
        <w:rPr>
          <w:sz w:val="17"/>
          <w:szCs w:val="17"/>
          <w:lang w:val="en-US"/>
        </w:rPr>
        <w:t>Tuunanen</w:t>
      </w:r>
      <w:proofErr w:type="spellEnd"/>
      <w:r w:rsidRPr="00AA312E">
        <w:rPr>
          <w:sz w:val="17"/>
          <w:szCs w:val="17"/>
          <w:lang w:val="en-US"/>
        </w:rPr>
        <w:t>, M. A. Rothenberger, and S. Chatterjee, “A design science research methodology for information systems research,” Journal of Management Information Systems, vol. 24, no. 3, pp. 45–77, 2007.</w:t>
      </w:r>
    </w:p>
    <w:p w14:paraId="2F93F65F" w14:textId="77777777" w:rsidR="00542319" w:rsidRPr="00AA312E" w:rsidRDefault="000F5E2D">
      <w:pPr>
        <w:spacing w:after="20"/>
        <w:jc w:val="both"/>
        <w:rPr>
          <w:lang w:val="en-US"/>
        </w:rPr>
      </w:pPr>
      <w:r w:rsidRPr="00AA312E">
        <w:rPr>
          <w:sz w:val="17"/>
          <w:szCs w:val="17"/>
          <w:lang w:val="en-US"/>
        </w:rPr>
        <w:t>[8] S. Gregor and D. Jones, “The anatomy of a design theory,” Journal of the Association for Information Systems, vol. 8, no. 5, pp. 312–335, 2007.</w:t>
      </w:r>
    </w:p>
    <w:sectPr w:rsidR="00542319" w:rsidRPr="00AA312E">
      <w:type w:val="continuous"/>
      <w:pgSz w:w="12240" w:h="15840"/>
      <w:pgMar w:top="1080" w:right="1080" w:bottom="1440" w:left="1080" w:header="708" w:footer="708" w:gutter="0"/>
      <w:cols w:num="2" w:space="720" w:equalWidth="0">
        <w:col w:w="4860" w:space="360"/>
        <w:col w:w="486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5779C5B-B865-42CA-AF62-9AA57B4524FA}"/>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5A88B2A-02BA-4F32-8B74-A04A4762B464}"/>
  </w:font>
  <w:font w:name="Cambria">
    <w:panose1 w:val="02040503050406030204"/>
    <w:charset w:val="00"/>
    <w:family w:val="roman"/>
    <w:pitch w:val="variable"/>
    <w:sig w:usb0="E00006FF" w:usb1="420024FF" w:usb2="02000000" w:usb3="00000000" w:csb0="0000019F" w:csb1="00000000"/>
    <w:embedRegular r:id="rId3" w:fontKey="{6B0D872B-DF84-448A-B8C0-0E8F7F04741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oNotDisplayPageBoundaries/>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319"/>
    <w:rsid w:val="000F5E2D"/>
    <w:rsid w:val="00145C3D"/>
    <w:rsid w:val="001C2E58"/>
    <w:rsid w:val="00243969"/>
    <w:rsid w:val="00467D3A"/>
    <w:rsid w:val="004C03D5"/>
    <w:rsid w:val="00542319"/>
    <w:rsid w:val="00A87697"/>
    <w:rsid w:val="00AA312E"/>
    <w:rsid w:val="00D7230F"/>
    <w:rsid w:val="00DE08F9"/>
    <w:rsid w:val="00E73291"/>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3F61E"/>
  <w15:docId w15:val="{C8639436-DAD7-405F-A0E6-756158EF0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mailto:jpintoliveira@hotmai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3829</Words>
  <Characters>20682</Characters>
  <Application>Microsoft Office Word</Application>
  <DocSecurity>0</DocSecurity>
  <Lines>172</Lines>
  <Paragraphs>48</Paragraphs>
  <ScaleCrop>false</ScaleCrop>
  <Company/>
  <LinksUpToDate>false</LinksUpToDate>
  <CharactersWithSpaces>24463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João Oliveira</cp:lastModifiedBy>
  <cp:revision>2</cp:revision>
  <cp:lastPrinted>2026-08-07T08:55:00Z</cp:lastPrinted>
  <dcterms:created xsi:type="dcterms:W3CDTF">2026-08-07T08:59:00Z</dcterms:created>
  <dcterms:modified xsi:type="dcterms:W3CDTF">2026-08-07T08:59:00Z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89ed12be-dfa1-42ba-bed3-679cfb853df5</vt:lpwstr>
  </property>
</Properties>
</file>