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2026-02-17 (local)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Developed (latest pushed)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Backend: .NET 8 API + PostgreSQL with tenancy resolver and RBAC policies.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Core domain endpoints: merchants, stores, products, customers, orders.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Security baseline: opaque tokens, lockout/rate-limit, Turnstile verify on auth, CSRF middleware, security headers.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Frontend wired to backend data without UI/theme redesign for Dashboard, Products, Customers, Orders, Settings.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Turnstile widget integrated on Login/Register and enforced via backend verification.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Latest delivered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Added backend update/delete APIs with policy and store-scope checks: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PUT/DELETE /api/products/{id}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PUT/DELETE /api/customers/{id}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PUT/DELETE /api/orders/{id}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Wired frontend CRUD forms/actions: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Products: create/edit dialog + delete action wired to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Customers: create/edit dialog + delete action wired to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Orders: create/update dialog + delete action wired to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Backend build validated successfully (`dotnet build`) with warnings only.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Pending / Partial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Some advanced form fields are minimal for now (e.g., rich item editing in orders, full address management).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Billing plan enforcement, real payment providers, WebAuthn UI flows, and production CSP/CORS/rate tuning remain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Full Shopify-level modules (theme marketplace, logistics integrations, plugin ecosystem, SaaS metering, etc.) remain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Config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Frontend Turnstile: REACT_APP_TURNSTILE_SITE_KEY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Backend Turnstile: Turnstile__SecretKey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DB/Migrations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Ensure target DB has latest migrations: dotnet ef database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74645e0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Branch: main (origin/main synced)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