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BACKEND WIRING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All newly added platform-owner sidebar modules are now backend-wired (not static placeholders).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Super-admin functional surfaces now include live governance analytics and configuration actions.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Some module domains currently rely on existing platform datasets (orders/audit/login/theme/campaign) as phase-1 sources; deeper dedicated domain models can be expanded in phase-2.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SIMPLE RBAC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now assigns access in simplified way by user type defaults.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Only two assignment targets exposed in UI: Platform Staff and Store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Reduced complexity: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Removed manual CSV permission handling from primary RBAC screen.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RBAC UI MODERN ROLE 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management UX now matches operational flow: choose type -&gt; choose user -&gt; see current role -&gt; update.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role assignment no longer appears as CSV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Cleaner and faster permission governance for platform owner.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CSRF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CSRF middleware adjusted to avoid blocking Bearer-token authenticated admin API updates.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role update actions no longer fail with `csrf_invalid` in token-authenticated flow.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