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USER PERMISSION BASELINE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role templates now include required store settings read/write baseline permissions for proper store context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RESOLUTION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`/api/stores` now returns membership-scoped store list for authenticated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users retain platform-wide store listing.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persistent `Store is not selected` state for valid store-owner/store-staff users during login and dashboard load.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BINDING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Auth token response now includes default mapped store id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applies store id immediately after login/refresh-compatible auth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Logout now clears previous store context to prevent stale tenant scope.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owner/staff can enter dashboard without manual `REACT_APP_STORE_ID`.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Reduces cross-user store-context conflicts in shared browser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THEME MARKETPLACE ACTIVATION/PREVIEW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activation UX improved with explicit Activate action and better plan-gating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Active-theme preview button wired from store builder.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Preview routing hardened with `storeId` fallback for stores without configured subdomain.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+ static-page preview APIs now support store lookup by id during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can activate/preview themes reliably in dev/demo environments.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SUBDOMAIN, CUSTOM DOMAIN, CLOUDFARE DNS, SSL PURCHASE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tenant subdomain generation and Cloudflare provisioning on first store creation/onboarding complete.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custom-domain DNS mapping via Cloudflare (CNAME + verification TXT) with retry/verify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Marketplace-style SSL purchase gate for custom domains before Let’s Encrypt issuance.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Verified custom domain host is now recognized by tenancy resolver.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Real payment-gateway callback/reconciliation for SSL purchase reference is still placeholder (purchase endpoint currently stores payment reference and triggers issuance flow).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invoice/chargeback lifecycle for SSL marketplace purchases.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DOMAIN GOVERNANCE + CLOUDFLARE/SSL CONFIG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now view all tenant subdomains and all custom domains with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menu now includes dedicated Domains &amp; SSL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configure Cloudflare and Let’s Encrypt values from UI (persisted in platform settings).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DNS/SSL runtime services consume platform settings (DB) with env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Subdomain collision policy is deterministic: normalize + numeric suffix increment.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Secure secret storage for Cloudflare token is plain platform settings currently (no KMS integration yet).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