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Platform Owner Domain/Auth Improvements - 2026-02-21 follow-up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module reliability | Developed | Fixed database query compatibility for platform API/config/domains/report modules using PostgreSQL-safe `ILike` filters | Add automated backend smoke check in CI for owner-module endpoints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OAuth-style connect | Partial+ | OAuth start/callback flow, CSRF-style state check, token exchange persistence, owner UI controls | Finalize production Cloudflare OAuth endpoint/app setup values and verify on deployed env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Domains/SSL Monetization Flow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 setup UX | Developed | Default Cloudflare OAuth endpoints auto-provided, redirect URI auto-derivation from current host | Optional one-click Cloudflare app bootstrap is pending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SSL marketplace pricing | Developed | Platform owner can set SSL price (INR), store domain UI displays purchase price, backend returns price with domain records | Real payment capture + invoice + refund lifecycle for SSL purchase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Production Domain Safety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Tenant subdomain governance | Developed | Strict subdomain validator + reserved keywords + global uniqueness with deterministic suffixing | Reserved list management UI for platform owner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Multi-subdomain CORS | Developed | Pattern-based wildcard subdomain origin matching (`https://*.domain.com`) | Optional per-tenant dynamic CORS policy service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Origin TLS lifecycle | Partial | Cloudflare edge/domain flows implemented | Automated Cloudflare Origin CA / certbot origin cert rotation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Origin TLS Automation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Cloudflare-to-origin TLS lifecycle | Partial+ | Configurable issue/renew command, cert/key path status checks, expiry visibility, owner-triggered renew API | Automated scheduled renew worker + failure retry queue + alerting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Media Management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section | Partial+ | Multi-image input, drag-reorder + move controls, optional video URL, preview panel, payload sort-order persistence | Direct binary upload service + media optimization/CDN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Upload + Category Wiring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Direct product media pipeline | Developed | Product media upload API + URL ingestion API + tenancy checks + media persistence rows | Direct signed upload to object storage (browser-to-S3/R2)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Image normalization | Developed | Automatic resize/normalize to 1200x1200 WebP for uploaded/fetched images | Optional per-theme/per-slot variant generation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category UX | Developed | Category list filter + category select in product form + quick category create from dialog | Advanced category tree management UI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Image Uniformity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Automatic image optimization | Developed | External product image URLs are auto-fetched and normalized into same-size optimized assets on save (frontend + backend enforcement) | Background re-optimization job for legacy existing media |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