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Textzy Requirement Status (Latest)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Date: 2026-02-20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Completed in latest cycle: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Frontend dependency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frontend/package-lock.json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npm ci in CI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deploy-time audit-fix-force usage from workflow/config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Platform settings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APIs for platform settings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encrypted secret storage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audit log model + write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frontend platform settings page to backend save/load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Templates module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create-template modal overflow/save visibility (scrollable body + sticky footer)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WhatsApp template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variable sequence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body size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SMS DLT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dltEntityId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dltTemplateId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smsSenderId required (3-6 chars)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Sender storage and API: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GET/POST /api/sms/senders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UI navigation updates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sidebar Template submenus: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WhatsApp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SMS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mode flow with CSV upload support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Inbox working baseline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interval polling path and kept SignalR driven refresh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strict template variable completeness validation before fallback send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In-progress /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Stabilize sender-add + save flow with production validation feedback on all edge cases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End-to-end test coverage (auth/project switch/templates/inbox)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Monitoring and alert setup for webhook and queue failures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Full RBAC UI hide/disable sweep for all pages/actions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Automation flow builder upgraded with WhatsApp-style canvas node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richer node palette with icons and expanded WhatsApp bot node options.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Form node support (multi-field config and preview).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template variable mapping validation in builder and publish guard.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hard quick-reply cap in builder UI as requested.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JSX template-label syntax compile failure.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CONTENTS panel usability: wider panel, proper scroll, click-safe interactions, no overlap.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