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M02 Búsqueda y navegación</w:t>
      </w:r>
    </w:p>
    <w:p>
      <w:pPr>
        <w:pStyle w:val="Subtitle"/>
      </w:pPr>
      <w:r>
        <w:t>Informe de faltantes errores e inconsistencias</w:t>
      </w:r>
    </w:p>
    <w:p>
      <w:r>
        <w:t>Pintu Clic | 6 de octubre de 2026</w:t>
        <w:br/>
        <w:t>Rama feature/m01-dashboard-catalogo | Base 903c2f4</w:t>
        <w:br/>
        <w:t>Inspección del árbol de trabajo incluidos cambios locales presentes</w:t>
      </w:r>
    </w:p>
    <w:p>
      <w:r>
        <w:t>M02 ya está conectado al catálogo público y dispone de búsqueda, facetas, orden y paginación en servidor. Las brechas actuales se concentran en recuperación de filtros por URL, compatibilidad del entonado, precios aplicables, estadísticas y configuración. Este informe contrasta el código vigente con la especificación de M02.</w:t>
      </w:r>
    </w:p>
    <w:p>
      <w:pPr>
        <w:pStyle w:val="Heading1"/>
      </w:pPr>
      <w:r>
        <w:t>Alcance y lectura de los hallazgos</w:t>
      </w:r>
    </w:p>
    <w:p>
      <w:r>
        <w:t>Fuente funcional: docs/02_MODULOS_FUNCIONALES/M02_ESPECIFICACION_BUSQUEDA.md. Se inspeccionaron DTOs, rutas, servicio y repositorio M02, su adaptador frontend y las vistas y composables M01 que lo consumen. Se revisó visualmente el diagrama de filtros. Los hallazgos actuales son estáticos: el servicio local no estaba disponible para comprobación en ejecución.</w:t>
      </w:r>
    </w:p>
    <w:p>
      <w:r>
        <w:t>Error significa comportamiento codificado que contradice el requisito. Faltante significa requisito sin flujo completo encontrado. Inconsistencia significa contratos distintos entre documentos o capas. Prioridad alta afecta búsqueda, filtros o resultados correctos; media afecta configuración, analítica o cierre técnico.</w:t>
      </w:r>
    </w:p>
    <w:tbl>
      <w:tblPr>
        <w:tblW w:type="auto" w:w="0"/>
        <w:tblLayout w:type="fixed"/>
        <w:tblLook w:firstColumn="1" w:firstRow="1" w:lastColumn="0" w:lastRow="0" w:noHBand="0" w:noVBand="1" w:val="04A0"/>
      </w:tblPr>
      <w:tblGrid>
        <w:gridCol w:w="2304"/>
        <w:gridCol w:w="5256"/>
        <w:gridCol w:w="2016"/>
      </w:tblGrid>
      <w:tr>
        <w:trPr>
          <w:tblHeader/>
        </w:trPr>
        <w:tc>
          <w:tcPr>
            <w:tcW w:type="dxa" w:w="3221"/>
            <w:tcBorders>
              <w:top w:val="single" w:sz="4" w:color="D9D9D9"/>
              <w:left w:val="single" w:sz="4" w:color="D9D9D9"/>
              <w:bottom w:val="single" w:sz="4" w:color="D9D9D9"/>
              <w:right w:val="single" w:sz="4" w:color="D9D9D9"/>
            </w:tcBorders>
            <w:shd w:fill="E7EBEF"/>
            <w:tcMar>
              <w:top w:w="100" w:type="dxa"/>
              <w:left w:w="100" w:type="dxa"/>
              <w:bottom w:w="100" w:type="dxa"/>
              <w:right w:w="100" w:type="dxa"/>
            </w:tcMar>
          </w:tcPr>
          <w:p>
            <w:pPr>
              <w:spacing w:after="80"/>
            </w:pPr>
            <w:r>
              <w:rPr>
                <w:b/>
                <w:sz w:val="20"/>
              </w:rPr>
              <w:t>Área</w:t>
            </w:r>
          </w:p>
        </w:tc>
        <w:tc>
          <w:tcPr>
            <w:tcW w:type="dxa" w:w="3221"/>
            <w:tcBorders>
              <w:top w:val="single" w:sz="4" w:color="D9D9D9"/>
              <w:left w:val="single" w:sz="4" w:color="D9D9D9"/>
              <w:bottom w:val="single" w:sz="4" w:color="D9D9D9"/>
              <w:right w:val="single" w:sz="4" w:color="D9D9D9"/>
            </w:tcBorders>
            <w:shd w:fill="E7EBEF"/>
            <w:tcMar>
              <w:top w:w="100" w:type="dxa"/>
              <w:left w:w="100" w:type="dxa"/>
              <w:bottom w:w="100" w:type="dxa"/>
              <w:right w:w="100" w:type="dxa"/>
            </w:tcMar>
          </w:tcPr>
          <w:p>
            <w:pPr>
              <w:spacing w:after="80"/>
            </w:pPr>
            <w:r>
              <w:rPr>
                <w:b/>
                <w:sz w:val="20"/>
              </w:rPr>
              <w:t>Brecha principal</w:t>
            </w:r>
          </w:p>
        </w:tc>
        <w:tc>
          <w:tcPr>
            <w:tcW w:type="dxa" w:w="3221"/>
            <w:tcBorders>
              <w:top w:val="single" w:sz="4" w:color="D9D9D9"/>
              <w:left w:val="single" w:sz="4" w:color="D9D9D9"/>
              <w:bottom w:val="single" w:sz="4" w:color="D9D9D9"/>
              <w:right w:val="single" w:sz="4" w:color="D9D9D9"/>
            </w:tcBorders>
            <w:shd w:fill="E7EBEF"/>
            <w:tcMar>
              <w:top w:w="100" w:type="dxa"/>
              <w:left w:w="100" w:type="dxa"/>
              <w:bottom w:w="100" w:type="dxa"/>
              <w:right w:w="100" w:type="dxa"/>
            </w:tcMar>
          </w:tcPr>
          <w:p>
            <w:pPr>
              <w:spacing w:after="80"/>
            </w:pPr>
            <w:r>
              <w:rPr>
                <w:b/>
                <w:sz w:val="20"/>
              </w:rPr>
              <w:t>Prioridad</w:t>
            </w:r>
          </w:p>
        </w:tc>
      </w:tr>
      <w:tr>
        <w:tc>
          <w:tcPr>
            <w:tcW w:type="dxa" w:w="230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0"/>
              </w:rPr>
              <w:t>Backend público</w:t>
            </w:r>
          </w:p>
        </w:tc>
        <w:tc>
          <w:tcPr>
            <w:tcW w:type="dxa" w:w="52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0"/>
              </w:rPr>
              <w:t>Entonado, precio y facetas sin paridad</w:t>
            </w:r>
          </w:p>
        </w:tc>
        <w:tc>
          <w:tcPr>
            <w:tcW w:type="dxa" w:w="201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0"/>
              </w:rPr>
              <w:t>Alta</w:t>
            </w:r>
          </w:p>
        </w:tc>
      </w:tr>
      <w:tr>
        <w:tc>
          <w:tcPr>
            <w:tcW w:type="dxa" w:w="2304"/>
            <w:tcBorders>
              <w:top w:val="single" w:sz="4" w:color="D9D9D9"/>
              <w:left w:val="single" w:sz="4" w:color="D9D9D9"/>
              <w:bottom w:val="single" w:sz="4" w:color="D9D9D9"/>
              <w:right w:val="single" w:sz="4" w:color="D9D9D9"/>
            </w:tcBorders>
            <w:shd w:fill="F5F6F7"/>
            <w:tcMar>
              <w:top w:w="100" w:type="dxa"/>
              <w:left w:w="100" w:type="dxa"/>
              <w:bottom w:w="100" w:type="dxa"/>
              <w:right w:w="100" w:type="dxa"/>
            </w:tcMar>
          </w:tcPr>
          <w:p>
            <w:pPr>
              <w:spacing w:after="80"/>
            </w:pPr>
            <w:r>
              <w:rPr>
                <w:b w:val="0"/>
                <w:sz w:val="20"/>
              </w:rPr>
              <w:t>Frontend público</w:t>
            </w:r>
          </w:p>
        </w:tc>
        <w:tc>
          <w:tcPr>
            <w:tcW w:type="dxa" w:w="5256"/>
            <w:tcBorders>
              <w:top w:val="single" w:sz="4" w:color="D9D9D9"/>
              <w:left w:val="single" w:sz="4" w:color="D9D9D9"/>
              <w:bottom w:val="single" w:sz="4" w:color="D9D9D9"/>
              <w:right w:val="single" w:sz="4" w:color="D9D9D9"/>
            </w:tcBorders>
            <w:shd w:fill="F5F6F7"/>
            <w:tcMar>
              <w:top w:w="100" w:type="dxa"/>
              <w:left w:w="100" w:type="dxa"/>
              <w:bottom w:w="100" w:type="dxa"/>
              <w:right w:w="100" w:type="dxa"/>
            </w:tcMar>
          </w:tcPr>
          <w:p>
            <w:pPr>
              <w:spacing w:after="80"/>
            </w:pPr>
            <w:r>
              <w:rPr>
                <w:b w:val="0"/>
                <w:sz w:val="20"/>
              </w:rPr>
              <w:t>URL, selección y manejo de errores</w:t>
            </w:r>
          </w:p>
        </w:tc>
        <w:tc>
          <w:tcPr>
            <w:tcW w:type="dxa" w:w="2016"/>
            <w:tcBorders>
              <w:top w:val="single" w:sz="4" w:color="D9D9D9"/>
              <w:left w:val="single" w:sz="4" w:color="D9D9D9"/>
              <w:bottom w:val="single" w:sz="4" w:color="D9D9D9"/>
              <w:right w:val="single" w:sz="4" w:color="D9D9D9"/>
            </w:tcBorders>
            <w:shd w:fill="F5F6F7"/>
            <w:tcMar>
              <w:top w:w="100" w:type="dxa"/>
              <w:left w:w="100" w:type="dxa"/>
              <w:bottom w:w="100" w:type="dxa"/>
              <w:right w:w="100" w:type="dxa"/>
            </w:tcMar>
          </w:tcPr>
          <w:p>
            <w:pPr>
              <w:spacing w:after="80"/>
            </w:pPr>
            <w:r>
              <w:rPr>
                <w:b w:val="0"/>
                <w:sz w:val="20"/>
              </w:rPr>
              <w:t>Alta</w:t>
            </w:r>
          </w:p>
        </w:tc>
      </w:tr>
      <w:tr>
        <w:tc>
          <w:tcPr>
            <w:tcW w:type="dxa" w:w="2304"/>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0"/>
              </w:rPr>
              <w:t>Analítica administrativa</w:t>
            </w:r>
          </w:p>
        </w:tc>
        <w:tc>
          <w:tcPr>
            <w:tcW w:type="dxa" w:w="525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0"/>
              </w:rPr>
              <w:t>Servicio existente sin vista montada</w:t>
            </w:r>
          </w:p>
        </w:tc>
        <w:tc>
          <w:tcPr>
            <w:tcW w:type="dxa" w:w="201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0"/>
              </w:rPr>
              <w:t>Media</w:t>
            </w:r>
          </w:p>
        </w:tc>
      </w:tr>
      <w:tr>
        <w:tc>
          <w:tcPr>
            <w:tcW w:type="dxa" w:w="2304"/>
            <w:tcBorders>
              <w:top w:val="single" w:sz="4" w:color="D9D9D9"/>
              <w:left w:val="single" w:sz="4" w:color="D9D9D9"/>
              <w:bottom w:val="single" w:sz="4" w:color="D9D9D9"/>
              <w:right w:val="single" w:sz="4" w:color="D9D9D9"/>
            </w:tcBorders>
            <w:shd w:fill="F5F6F7"/>
            <w:tcMar>
              <w:top w:w="100" w:type="dxa"/>
              <w:left w:w="100" w:type="dxa"/>
              <w:bottom w:w="100" w:type="dxa"/>
              <w:right w:w="100" w:type="dxa"/>
            </w:tcMar>
          </w:tcPr>
          <w:p>
            <w:pPr>
              <w:spacing w:after="80"/>
            </w:pPr>
            <w:r>
              <w:rPr>
                <w:b w:val="0"/>
                <w:sz w:val="20"/>
              </w:rPr>
              <w:t>Infraestructura</w:t>
            </w:r>
          </w:p>
        </w:tc>
        <w:tc>
          <w:tcPr>
            <w:tcW w:type="dxa" w:w="5256"/>
            <w:tcBorders>
              <w:top w:val="single" w:sz="4" w:color="D9D9D9"/>
              <w:left w:val="single" w:sz="4" w:color="D9D9D9"/>
              <w:bottom w:val="single" w:sz="4" w:color="D9D9D9"/>
              <w:right w:val="single" w:sz="4" w:color="D9D9D9"/>
            </w:tcBorders>
            <w:shd w:fill="F5F6F7"/>
            <w:tcMar>
              <w:top w:w="100" w:type="dxa"/>
              <w:left w:w="100" w:type="dxa"/>
              <w:bottom w:w="100" w:type="dxa"/>
              <w:right w:w="100" w:type="dxa"/>
            </w:tcMar>
          </w:tcPr>
          <w:p>
            <w:pPr>
              <w:spacing w:after="80"/>
            </w:pPr>
            <w:r>
              <w:rPr>
                <w:b w:val="0"/>
                <w:sz w:val="20"/>
              </w:rPr>
              <w:t>Extensiones y rendimiento sin cierre</w:t>
            </w:r>
          </w:p>
        </w:tc>
        <w:tc>
          <w:tcPr>
            <w:tcW w:type="dxa" w:w="2016"/>
            <w:tcBorders>
              <w:top w:val="single" w:sz="4" w:color="D9D9D9"/>
              <w:left w:val="single" w:sz="4" w:color="D9D9D9"/>
              <w:bottom w:val="single" w:sz="4" w:color="D9D9D9"/>
              <w:right w:val="single" w:sz="4" w:color="D9D9D9"/>
            </w:tcBorders>
            <w:shd w:fill="F5F6F7"/>
            <w:tcMar>
              <w:top w:w="100" w:type="dxa"/>
              <w:left w:w="100" w:type="dxa"/>
              <w:bottom w:w="100" w:type="dxa"/>
              <w:right w:w="100" w:type="dxa"/>
            </w:tcMar>
          </w:tcPr>
          <w:p>
            <w:pPr>
              <w:spacing w:after="80"/>
            </w:pPr>
            <w:r>
              <w:rPr>
                <w:b w:val="0"/>
                <w:sz w:val="20"/>
              </w:rPr>
              <w:t>Alta</w:t>
            </w:r>
          </w:p>
        </w:tc>
      </w:tr>
    </w:tbl>
    <w:p>
      <w:pPr>
        <w:pStyle w:val="Heading1"/>
      </w:pPr>
      <w:r>
        <w:t>Cambios frente a la revisión anterior</w:t>
      </w:r>
    </w:p>
    <w:p>
      <w:r>
        <w:t>useCatalogoPublico ya consume BusquedaService.buscar y facetas. El selector dispone de novedad y el orden viaja al servidor. Los filtros de marca, línea, resina, color y presentación están conectados; por tanto, no se reportan como controles globalmente deshabilitados ni se mantiene el antiguo diagnóstico de orden local. HU-BUS-04 está descartada en la especificación y no se incluye como desarrollo pendiente.</w:t>
      </w:r>
    </w:p>
    <w:p>
      <w:r>
        <w:br w:type="page"/>
      </w:r>
    </w:p>
    <w:p>
      <w:pPr>
        <w:pStyle w:val="Heading1"/>
      </w:pPr>
      <w:r>
        <w:t>Backend de consulta pública Búsqueda y filtros</w:t>
      </w:r>
    </w:p>
    <w:p>
      <w:pPr>
        <w:pStyle w:val="Heading2"/>
      </w:pPr>
      <w:r>
        <w:t>M02 01 Dependencias SQL sin aprovisionamiento acreditado</w:t>
      </w:r>
    </w:p>
    <w:p>
      <w:r>
        <w:rPr>
          <w:b/>
        </w:rPr>
        <w:t>Inconsistencia técnica | Prioridad alta | RF-BUS-01-03 y RF-BUS-01-06</w:t>
      </w:r>
    </w:p>
    <w:p>
      <w:r>
        <w:t>El repositorio usa unaccent y word_similarity de pg_trgm. No se encontró creación de esas extensiones en los SQL ni en el setup inspeccionado. En la prueba histórica del 30 de septiembre hubo HTTP 500 por unaccent ausente; esa evidencia no certifica el estado actual de una base apagada.</w:t>
      </w:r>
    </w:p>
    <w:p>
      <w:r>
        <w:t>Acción requerida: Declarar y verificar el aprovisionamiento de ambas extensiones y ejecutar búsqueda real con acentos, mayúsculas y errores tipográficos.</w:t>
      </w:r>
    </w:p>
    <w:p>
      <w:r>
        <w:rPr>
          <w:sz w:val="18"/>
        </w:rPr>
        <w:t>Evidencia: backend/src/modules/m02-busqueda/repositories/busqueda.repository.ts, línea 15; bd/sql; evidencia histórica /tmp/pintuclic-fase1/api-publica.json</w:t>
      </w:r>
    </w:p>
    <w:p>
      <w:pPr>
        <w:pStyle w:val="Heading2"/>
      </w:pPr>
      <w:r>
        <w:t>M02 02 Búsqueda de entonables sin compatibilidad color y base</w:t>
      </w:r>
    </w:p>
    <w:p>
      <w:r>
        <w:rPr>
          <w:b/>
        </w:rPr>
        <w:t>Error | Prioridad alta | RF-BUS-01-05 y RF-BUS-02-03 y CA-BUS-02-08</w:t>
      </w:r>
    </w:p>
    <w:p>
      <w:r>
        <w:t>La búsqueda y el filtro de color aceptan un producto entonable si el color está activo y pertenece a su marca. No comprueban que pueda prepararse en una base declarada y disponible como variante activa del producto; pueden devolver un artículo que no puede entregar ese color.</w:t>
      </w:r>
    </w:p>
    <w:p>
      <w:r>
        <w:t>Acción requerida: Usar la compatibilidad color–base de M01 y una variante activa compatible en el predicado de texto y el filtro de color.</w:t>
      </w:r>
    </w:p>
    <w:p>
      <w:r>
        <w:rPr>
          <w:sz w:val="18"/>
        </w:rPr>
        <w:t>Evidencia: backend/src/modules/m02-busqueda/repositories/busqueda.repository.ts, línea 321; backend/src/modules/m02-busqueda/repositories/busqueda.repository.ts, línea 256</w:t>
      </w:r>
    </w:p>
    <w:p>
      <w:pPr>
        <w:pStyle w:val="Heading2"/>
      </w:pPr>
      <w:r>
        <w:t>M02 03 Familia cromática ausente del contrato</w:t>
      </w:r>
    </w:p>
    <w:p>
      <w:r>
        <w:rPr>
          <w:b/>
        </w:rPr>
        <w:t>Faltante | Prioridad alta | RF-BUS-02-01</w:t>
      </w:r>
    </w:p>
    <w:p>
      <w:r>
        <w:t>No hay familia cromática en el DTO, filtros, facetas ni interfaces frontend. La búsqueda combinada por esa dimensión no puede realizarse. Depende del catálogo de familias M01, cuyo alcance histórico debe conciliarse.</w:t>
      </w:r>
    </w:p>
    <w:p>
      <w:r>
        <w:t>Acción requerida: Acordar el contrato de familia con M01 e incorporarlo a consulta, facetas, multiselección y URL.</w:t>
      </w:r>
    </w:p>
    <w:p>
      <w:r>
        <w:rPr>
          <w:sz w:val="18"/>
        </w:rPr>
        <w:t>Evidencia: backend/src/modules/m02-busqueda/dtos/busqueda.dto.ts, línea 32; frontend/src/modules/m02-busqueda/interfaces/busqueda.interface.ts</w:t>
      </w:r>
    </w:p>
    <w:p>
      <w:pPr>
        <w:pStyle w:val="Heading2"/>
      </w:pPr>
      <w:r>
        <w:t>M02 04 Precio base en filtros y ordenamiento</w:t>
      </w:r>
    </w:p>
    <w:p>
      <w:r>
        <w:rPr>
          <w:b/>
        </w:rPr>
        <w:t>Faltante | Prioridad alta | RF-BUS-02-04 y CA-BUS-02-07 y CA-BUS-03-05</w:t>
      </w:r>
    </w:p>
    <w:p>
      <w:r>
        <w:t>El filtro compara variante.precio_vigente y el orden utiliza el mínimo de variantes activas. No hay resolución M06 del precio final ni del contexto de empresa. Por ello el código no acredita precios tras descuentos e IVA ni los aplicables a un cliente empresa.</w:t>
      </w:r>
    </w:p>
    <w:p>
      <w:r>
        <w:t>Acción requerida: Resolver precios aplicables con M06 antes de filtrar u ordenar y probar un cliente con condiciones distintas al precio general.</w:t>
      </w:r>
    </w:p>
    <w:p>
      <w:r>
        <w:rPr>
          <w:sz w:val="18"/>
        </w:rPr>
        <w:t>Evidencia: backend/src/modules/m02-busqueda/repositories/busqueda.repository.ts, línea 49; backend/src/modules/m02-busqueda/repositories/busqueda.repository.ts, línea 273</w:t>
      </w:r>
    </w:p>
    <w:p>
      <w:r>
        <w:br w:type="page"/>
      </w:r>
    </w:p>
    <w:p>
      <w:pPr>
        <w:pStyle w:val="Heading1"/>
      </w:pPr>
      <w:r>
        <w:t>Backend de consulta pública Coherencia y configuración</w:t>
      </w:r>
    </w:p>
    <w:p>
      <w:pPr>
        <w:pStyle w:val="Heading2"/>
      </w:pPr>
      <w:r>
        <w:t>M02 05 Elegibilidad y facetas con recursos inactivos</w:t>
      </w:r>
    </w:p>
    <w:p>
      <w:r>
        <w:rPr>
          <w:b/>
        </w:rPr>
        <w:t>Error | Prioridad alta | RF-BUS-01-04 y RF-BUS-02-02</w:t>
      </w:r>
    </w:p>
    <w:p>
      <w:r>
        <w:t>La consulta base exige producto activo y publicado, pero no una clasificación activa ni marca y línea activas. Las facetas agregan relacionados sin una validación completa de estados. Una baja relacionada puede seguir produciendo resultados o valores visibles.</w:t>
      </w:r>
    </w:p>
    <w:p>
      <w:r>
        <w:t>Acción requerida: Reutilizar la elegibilidad pública acordada con M01 en resultados, conteos y facetas y probar cada dependencia inactiva.</w:t>
      </w:r>
    </w:p>
    <w:p>
      <w:r>
        <w:rPr>
          <w:sz w:val="18"/>
        </w:rPr>
        <w:t>Evidencia: backend/src/modules/m02-busqueda/repositories/busqueda.repository.ts, línea 190; backend/src/modules/m02-busqueda/repositories/busqueda.repository.ts, línea 95</w:t>
      </w:r>
    </w:p>
    <w:p>
      <w:pPr>
        <w:pStyle w:val="Heading2"/>
      </w:pPr>
      <w:r>
        <w:t>M02 06 Facetas y relevancia no incluyen la carta entonable</w:t>
      </w:r>
    </w:p>
    <w:p>
      <w:r>
        <w:rPr>
          <w:b/>
        </w:rPr>
        <w:t>Error | Prioridad alta | RF-BUS-02-02 y RF-BUS-02-03 y RF-BUS-03-02</w:t>
      </w:r>
    </w:p>
    <w:p>
      <w:r>
        <w:t>El predicado busca colores de marca en productos entonables. Las facetas y el cálculo de relevancia de color solo recorren variantes con id_color. Un color puede encontrar un entonable sin aparecer en su faceta ni aportar la ponderación de color requerida.</w:t>
      </w:r>
    </w:p>
    <w:p>
      <w:r>
        <w:t>Acción requerida: Aplicar el mismo conjunto de colores realmente preparables al matching, facetas y puntuación de relevancia.</w:t>
      </w:r>
    </w:p>
    <w:p>
      <w:r>
        <w:rPr>
          <w:sz w:val="18"/>
        </w:rPr>
        <w:t>Evidencia: backend/src/modules/m02-busqueda/repositories/busqueda.repository.ts, línea 91; backend/src/modules/m02-busqueda/repositories/busqueda.repository.ts, línea 298</w:t>
      </w:r>
    </w:p>
    <w:p>
      <w:pPr>
        <w:pStyle w:val="Heading2"/>
      </w:pPr>
      <w:r>
        <w:t>M02 07 Valores fijos en orden y tamaño por defecto</w:t>
      </w:r>
    </w:p>
    <w:p>
      <w:r>
        <w:rPr>
          <w:b/>
        </w:rPr>
        <w:t>Faltante | Prioridad media | RF-BUS-03-01 y RF-BUS-05-01</w:t>
      </w:r>
    </w:p>
    <w:p>
      <w:r>
        <w:t>El servicio fija relevancia como orden por defecto y 20 como límite; el frontend fija ocho resultados y relevancia. Admitir limite por petición no equivale a una configuración compartida del sistema. La interfaz puede imponer otro tamaño y criterio.</w:t>
      </w:r>
    </w:p>
    <w:p>
      <w:r>
        <w:t>Acción requerida: Definir una fuente de configuración y usarla en las capas consumidoras, conservando la elección explícita del usuario.</w:t>
      </w:r>
    </w:p>
    <w:p>
      <w:r>
        <w:rPr>
          <w:sz w:val="18"/>
        </w:rPr>
        <w:t>Evidencia: backend/src/modules/m02-busqueda/services/busqueda.service.ts, línea 17; frontend/src/modules/m01-catalogo/composables/publicas/useCatalogoPublico.ts, línea 9</w:t>
      </w:r>
    </w:p>
    <w:p>
      <w:pPr>
        <w:pStyle w:val="Heading2"/>
      </w:pPr>
      <w:r>
        <w:t>M02 08 Novedad calculada por identificador</w:t>
      </w:r>
    </w:p>
    <w:p>
      <w:r>
        <w:rPr>
          <w:b/>
        </w:rPr>
        <w:t>Inconsistencia | Prioridad media | RF-BUS-03-01</w:t>
      </w:r>
    </w:p>
    <w:p>
      <w:r>
        <w:t>novedad ordena por id_producto descendente. Un identificador no demuestra fecha de alta o publicación, particularmente tras importaciones. El código reconoce esta aproximación en un comentario.</w:t>
      </w:r>
    </w:p>
    <w:p>
      <w:r>
        <w:t>Acción requerida: Definir la fecha que representa novedad y ordenar por ella con desempate estable; reconciliar el esquema si ese dato no existe.</w:t>
      </w:r>
    </w:p>
    <w:p>
      <w:r>
        <w:rPr>
          <w:sz w:val="18"/>
        </w:rPr>
        <w:t>Evidencia: backend/src/modules/m02-busqueda/repositories/busqueda.repository.ts, línea 63</w:t>
      </w:r>
    </w:p>
    <w:p>
      <w:r>
        <w:br w:type="page"/>
      </w:r>
    </w:p>
    <w:p>
      <w:pPr>
        <w:pStyle w:val="Heading1"/>
      </w:pPr>
      <w:r>
        <w:t>Frontend público Recuperación y validación de filtros</w:t>
      </w:r>
    </w:p>
    <w:p>
      <w:pPr>
        <w:pStyle w:val="Heading2"/>
      </w:pPr>
      <w:r>
        <w:t>M02 09 URL escrita pero no recuperada completamente</w:t>
      </w:r>
    </w:p>
    <w:p>
      <w:r>
        <w:rPr>
          <w:b/>
        </w:rPr>
        <w:t>Error | Prioridad alta | RF-BUS-02-05 y RF-BUS-05-01</w:t>
      </w:r>
    </w:p>
    <w:p>
      <w:r>
        <w:t>actualizarUrlParams escribe marcas, líneas, resinas, colores, presentaciones y precios. sincronizarDesdeRuta solo recupera q, subcategoria, orden y pagina. Al abrir una URL como /catalogo?marca=1&amp;color=3&amp;precioMin=10000, esas selecciones no se restauran. El watcher tampoco sigue todos los parámetros.</w:t>
      </w:r>
    </w:p>
    <w:p>
      <w:r>
        <w:t>Acción requerida: Restaurar y validar todo el estado desde la URL, limpiar parámetros ausentes y sincronizar navegación atrás y adelante sin peticiones duplicadas.</w:t>
      </w:r>
    </w:p>
    <w:p>
      <w:r>
        <w:rPr>
          <w:sz w:val="18"/>
        </w:rPr>
        <w:t>Evidencia: frontend/src/modules/m01-catalogo/composables/publicas/useCatalogoPublico.ts, línea 183</w:t>
      </w:r>
    </w:p>
    <w:p>
      <w:pPr>
        <w:pStyle w:val="Heading2"/>
      </w:pPr>
      <w:r>
        <w:t>M02 10 Subcategoría elimina parámetros de otros filtros</w:t>
      </w:r>
    </w:p>
    <w:p>
      <w:r>
        <w:rPr>
          <w:b/>
        </w:rPr>
        <w:t>Error | Prioridad alta | CA-BUS-02-05 y CA-BUS-05-02</w:t>
      </w:r>
    </w:p>
    <w:p>
      <w:r>
        <w:t>seleccionarFiltro llama a seleccionarSubcategoria, que escribe todos los parámetros, y después hace otro router.push con solo subcategoria. La segunda navegación elimina búsqueda, filtros y orden de la URL, aunque puedan quedar activos en memoria.</w:t>
      </w:r>
    </w:p>
    <w:p>
      <w:r>
        <w:t>Acción requerida: Centralizar la actualización de URL y preservar las selecciones restantes al cambiar la clasificación.</w:t>
      </w:r>
    </w:p>
    <w:p>
      <w:r>
        <w:rPr>
          <w:sz w:val="18"/>
        </w:rPr>
        <w:t>Evidencia: frontend/src/modules/m01-catalogo/views/publicas/VistaCatalogoPublico.vue, línea 465</w:t>
      </w:r>
    </w:p>
    <w:p>
      <w:pPr>
        <w:pStyle w:val="Heading2"/>
      </w:pPr>
      <w:r>
        <w:t>M02 11 Multiselección de clasificación incompleta</w:t>
      </w:r>
    </w:p>
    <w:p>
      <w:r>
        <w:rPr>
          <w:b/>
        </w:rPr>
        <w:t>Faltante | Prioridad alta | RF-BUS-02-01</w:t>
      </w:r>
    </w:p>
    <w:p>
      <w:r>
        <w:t>El backend acepta listas de categorías y subcategorías, pero el estado de la vista mantiene una sola subcategoria y no ofrece selección simultánea de varias categorías. La navegación jerárquica simple no cubre todas las dimensiones multivalor exigidas.</w:t>
      </w:r>
    </w:p>
    <w:p>
      <w:r>
        <w:t>Acción requerida: Alinear controles, estado e interfaces frontend con la multiselección acordada para categorías y subcategorías.</w:t>
      </w:r>
    </w:p>
    <w:p>
      <w:r>
        <w:rPr>
          <w:sz w:val="18"/>
        </w:rPr>
        <w:t>Evidencia: frontend/src/modules/m01-catalogo/composables/publicas/useCatalogoPublico.ts, línea 20; frontend/src/modules/m02-busqueda/interfaces/busqueda.interface.ts</w:t>
      </w:r>
    </w:p>
    <w:p>
      <w:pPr>
        <w:pStyle w:val="Heading2"/>
      </w:pPr>
      <w:r>
        <w:t>M02 12 Rango de precio con error genérico y cero omitido</w:t>
      </w:r>
    </w:p>
    <w:p>
      <w:r>
        <w:rPr>
          <w:b/>
        </w:rPr>
        <w:t>Error | Prioridad alta | RF-BUS-02-04 y CA-BUS-02-06</w:t>
      </w:r>
    </w:p>
    <w:p>
      <w:r>
        <w:t>La vista envía el rango sin validación específica. El servidor sí rechaza mínimo mayor que máximo, pero el catch público lo convierte en error genérico de carga. El adaptador omite extremos iguales a cero mediante &gt; 0; precio_max=0 deja de representar el filtro solicitado.</w:t>
      </w:r>
    </w:p>
    <w:p>
      <w:r>
        <w:t>Acción requerida: Validar el formulario mediante DTO dedicado, mostrar el error de rango y transmitir extremos cero cuando estén definidos.</w:t>
      </w:r>
    </w:p>
    <w:p>
      <w:r>
        <w:rPr>
          <w:sz w:val="18"/>
        </w:rPr>
        <w:t>Evidencia: frontend/src/modules/m01-catalogo/views/publicas/VistaCatalogoPublico.vue, línea 273; frontend/src/modules/m02-busqueda/services/busqueda.service.ts, línea 23</w:t>
      </w:r>
    </w:p>
    <w:p>
      <w:r>
        <w:br w:type="page"/>
      </w:r>
    </w:p>
    <w:p>
      <w:pPr>
        <w:pStyle w:val="Heading1"/>
      </w:pPr>
      <w:r>
        <w:t>Frontend administrativo y cierre del contrato</w:t>
      </w:r>
    </w:p>
    <w:p>
      <w:pPr>
        <w:pStyle w:val="Heading2"/>
      </w:pPr>
      <w:r>
        <w:t>M02 13 Fallo de búsqueda sin regreso al inicio</w:t>
      </w:r>
    </w:p>
    <w:p>
      <w:r>
        <w:rPr>
          <w:b/>
        </w:rPr>
        <w:t>Error | Prioridad media | CA-BUS-01-07</w:t>
      </w:r>
    </w:p>
    <w:p>
      <w:r>
        <w:t>El catch muestra un mensaje y conserva la vista de catálogo. No navega al inicio como exige el criterio de aceptación. El RF-BUS-01-06 pide mantener accesibles inicio y catálogo, por lo que el manejo exacto debe quedar coherente con ambos textos.</w:t>
      </w:r>
    </w:p>
    <w:p>
      <w:r>
        <w:t>Acción requerida: Alinear el flujo de error con el criterio vigente y evitar exponer detalles técnicos al visitante.</w:t>
      </w:r>
    </w:p>
    <w:p>
      <w:r>
        <w:rPr>
          <w:sz w:val="18"/>
        </w:rPr>
        <w:t>Evidencia: frontend/src/modules/m01-catalogo/composables/publicas/useCatalogoPublico.ts, línea 88</w:t>
      </w:r>
    </w:p>
    <w:p>
      <w:pPr>
        <w:pStyle w:val="Heading2"/>
      </w:pPr>
      <w:r>
        <w:t>M02 14 Fallo de facetas oculto al usuario</w:t>
      </w:r>
    </w:p>
    <w:p>
      <w:r>
        <w:rPr>
          <w:b/>
        </w:rPr>
        <w:t>Error | Prioridad media | RF-BUS-01-06 y RF-BUS-02-02</w:t>
      </w:r>
    </w:p>
    <w:p>
      <w:r>
        <w:t>cargarFacetas silencia cualquier excepción y deja el estado previo. Puede mantener opciones de una consulta anterior sin informar que la actualización falló; en carga inicial puede esconder todos los filtros.</w:t>
      </w:r>
    </w:p>
    <w:p>
      <w:r>
        <w:t>Acción requerida: Gestionar error de facetas explícitamente, limpiar opciones obsoletas y ofrecer reintento manteniendo accesible la navegación.</w:t>
      </w:r>
    </w:p>
    <w:p>
      <w:r>
        <w:rPr>
          <w:sz w:val="18"/>
        </w:rPr>
        <w:t>Evidencia: frontend/src/modules/m01-catalogo/composables/publicas/useCatalogoPublico.ts, línea 44</w:t>
      </w:r>
    </w:p>
    <w:p>
      <w:pPr>
        <w:pStyle w:val="Heading2"/>
      </w:pPr>
      <w:r>
        <w:t>M02 15 Estadísticas sin vista y sin retención configurada</w:t>
      </w:r>
    </w:p>
    <w:p>
      <w:r>
        <w:rPr>
          <w:b/>
        </w:rPr>
        <w:t>Faltante | Prioridad media | RF-BUS-06-01 y RF-BUS-06-02</w:t>
      </w:r>
    </w:p>
    <w:p>
      <w:r>
        <w:t>Existe servicio frontend de estadísticas y endpoint backend protegido por estadisticas.consultar. El enlace administrativo apunta a busquedas-sin-resultado, pero no hay vista registrada para esa ruta; cae en el fallback del router. El backend acota consultas por periodo, pero no se encontró retención configurable ni purga.</w:t>
      </w:r>
    </w:p>
    <w:p>
      <w:r>
        <w:t>Acción requerida: Montar el reporte real con frecuencia y periodos, respetar permisos y establecer conservación y limpieza del registro anónimo.</w:t>
      </w:r>
    </w:p>
    <w:p>
      <w:r>
        <w:rPr>
          <w:sz w:val="18"/>
        </w:rPr>
        <w:t>Evidencia: frontend/src/modules/m02-busqueda/services/busqueda.service.ts, línea 62; frontend/src/core/routes/index.ts; backend/src/modules/m02-busqueda/services/busqueda.service.ts</w:t>
      </w:r>
    </w:p>
    <w:p>
      <w:pPr>
        <w:pStyle w:val="Heading2"/>
      </w:pPr>
      <w:r>
        <w:t>Inconsistencias documentales y validación pendiente</w:t>
      </w:r>
    </w:p>
    <w:p>
      <w:r>
        <w:t>Los enlaces HU-BUS-XX.png de la especificación no coinciden con los archivos disponibles. El diagrama filtro incluye acabado, mientras RF-BUS-02-01 enumera familia cromática y presentación. No se incorpora acabado como función nueva: debe reconciliarse el contrato. HU-BUS-04 permanece descartada.</w:t>
      </w:r>
    </w:p>
    <w:p>
      <w:r>
        <w:t>RNF-BUS-01-01 y RNF-BUS-05-02 requieren búsqueda en cinco segundos y navegación sobre decenas de miles de variantes. Los tests con repositorios falsos no prueban SQL, extensiones ni carga. Falta evidencia de integración y rendimiento y de navegación móvil, tableta y escritorio según RNF-BUS-05-01. No se declara un fallo de rendimiento sin medición ni se certifican compilación y lint en esta entrega.</w:t>
      </w:r>
    </w:p>
    <w:sectPr w:rsidR="00FC693F" w:rsidRPr="0006063C" w:rsidSect="00034616">
      <w:footerReference w:type="default" r:id="rId9"/>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M02 Búsqueda y navegación</dc:title>
  <dc:subject/>
  <dc:creator>Pintu Clic</dc:creator>
  <cp:keywords/>
  <dc:description>generated by python-docx</dc:description>
  <cp:lastModifiedBy/>
  <cp:revision>1</cp:revision>
  <dcterms:created xsi:type="dcterms:W3CDTF">2013-12-23T23:15:00Z</dcterms:created>
  <dcterms:modified xsi:type="dcterms:W3CDTF">2013-12-23T23:15:00Z</dcterms:modified>
  <cp:category/>
</cp:coreProperties>
</file>