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algun Gothic" w:cs="Malgun Gothic" w:eastAsia="Malgun Gothic" w:hAnsi="Malgun Gothic"/>
        </w:rPr>
        <w:t xml:space="preserve">ODA 사업 종료평가 표준화 평가체계</w:t>
      </w:r>
    </w:p>
    <w:p>
      <w:pPr>
        <w:pStyle w:val="Heading1"/>
      </w:pPr>
      <w:r>
        <w:rPr>
          <w:rFonts w:ascii="Malgun Gothic" w:cs="Malgun Gothic" w:eastAsia="Malgun Gothic" w:hAnsi="Malgun Gothic"/>
        </w:rPr>
        <w:t xml:space="preserve">평가 기준과 판정 근거 설명서</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63"/>
        <w:gridCol w:w="7275"/>
      </w:tblGrid>
      <w:tr>
        <w:trPr>
          <w:tblHeader/>
        </w:trPr>
        <w:tc>
          <w:tcPr>
            <w:tcW w:type="dxa" w:w="236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항목</w:t>
            </w:r>
          </w:p>
        </w:tc>
        <w:tc>
          <w:tcPr>
            <w:tcW w:type="dxa" w:w="727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내용</w:t>
            </w:r>
          </w:p>
        </w:tc>
      </w:tr>
      <w:tr>
        <w:trPr>
          <w:tblHeader w:val="false"/>
        </w:trPr>
        <w:tc>
          <w:tcPr>
            <w:tcW w:type="dxa" w:w="23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문서 목적</w:t>
            </w:r>
          </w:p>
        </w:tc>
        <w:tc>
          <w:tcPr>
            <w:tcW w:type="dxa" w:w="72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지능형 ODA 평가 자동화 솔루션이 사업을 어떤 기준으로, 어떤 근거에 따라 평가하는지 평가기관·사업수행기관·외부 전문가가 같은 언어로 이해할 수 있도록 설명</w:t>
            </w:r>
          </w:p>
        </w:tc>
      </w:tr>
      <w:tr>
        <w:trPr>
          <w:tblHeader w:val="false"/>
        </w:trPr>
        <w:tc>
          <w:tcPr>
            <w:tcW w:type="dxa" w:w="23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적용 대상</w:t>
            </w:r>
          </w:p>
        </w:tc>
        <w:tc>
          <w:tcPr>
            <w:tcW w:type="dxa" w:w="72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KOICA 종료평가 5개 기준 11개 평가질문, OECD DAC 6대 평가기준</w:t>
            </w:r>
          </w:p>
        </w:tc>
      </w:tr>
      <w:tr>
        <w:trPr>
          <w:tblHeader w:val="false"/>
        </w:trPr>
        <w:tc>
          <w:tcPr>
            <w:tcW w:type="dxa" w:w="23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작성</w:t>
            </w:r>
          </w:p>
        </w:tc>
        <w:tc>
          <w:tcPr>
            <w:tcW w:type="dxa" w:w="72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AIM&amp;E Consulting</w:t>
            </w:r>
          </w:p>
        </w:tc>
      </w:tr>
      <w:tr>
        <w:trPr>
          <w:tblHeader w:val="false"/>
        </w:trPr>
        <w:tc>
          <w:tcPr>
            <w:tcW w:type="dxa" w:w="23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기준일</w:t>
            </w:r>
          </w:p>
        </w:tc>
        <w:tc>
          <w:tcPr>
            <w:tcW w:type="dxa" w:w="72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2026년 9월 17일</w:t>
            </w:r>
          </w:p>
        </w:tc>
      </w:tr>
    </w:tbl>
    <w:p>
      <w:pPr>
        <w:spacing w:after="120"/>
      </w:pPr>
    </w:p>
    <w:p>
      <w:pPr>
        <w:pStyle w:val="Heading1"/>
      </w:pPr>
      <w:r>
        <w:rPr>
          <w:rFonts w:ascii="Malgun Gothic" w:cs="Malgun Gothic" w:eastAsia="Malgun Gothic" w:hAnsi="Malgun Gothic"/>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Malgun Gothic" w:cs="Malgun Gothic" w:eastAsia="Malgun Gothic" w:hAnsi="Malgun Gothic"/>
        </w:rPr>
        <w:t xml:space="preserve">1. 왜 표준화된 평가체계가 필요한가</w:t>
      </w:r>
    </w:p>
    <w:p>
      <w:pPr>
        <w:spacing w:after="120"/>
      </w:pPr>
      <w:r>
        <w:rPr>
          <w:rFonts w:ascii="Malgun Gothic" w:cs="Malgun Gothic" w:eastAsia="Malgun Gothic" w:hAnsi="Malgun Gothic"/>
          <w:sz w:val="20"/>
          <w:szCs w:val="20"/>
        </w:rPr>
        <w:t xml:space="preserve">같은 사업, 같은 자료를 놓고도 평가자마다 점수가 달라지는 일은 ODA 평가 현장에서 흔합니다. 원인은 평가자의 역량 부족이 아니라, 평가 기준 자체가 "전반적으로 양호하게", "일부 미흡하게", "적극적인 참여 아래"와 같은 정도(程度) 표현으로 쓰여 있어 해석의 여지가 남기 때문입니다.</w:t>
      </w:r>
    </w:p>
    <w:p>
      <w:pPr>
        <w:spacing w:after="120"/>
      </w:pPr>
      <w:r>
        <w:rPr>
          <w:rFonts w:ascii="Malgun Gothic" w:cs="Malgun Gothic" w:eastAsia="Malgun Gothic" w:hAnsi="Malgun Gothic"/>
          <w:sz w:val="20"/>
          <w:szCs w:val="20"/>
        </w:rPr>
        <w:t xml:space="preserve">이 평가체계는 KOICA 종료평가 등급표(5-2 양식)의 공식 기준을 그대로 두고, 그 기준을 </w:t>
      </w:r>
      <w:r>
        <w:rPr>
          <w:rFonts w:ascii="Malgun Gothic" w:cs="Malgun Gothic" w:eastAsia="Malgun Gothic" w:hAnsi="Malgun Gothic"/>
          <w:b/>
          <w:bCs/>
          <w:sz w:val="20"/>
          <w:szCs w:val="20"/>
        </w:rPr>
        <w:t xml:space="preserve">누가 판정해도 같은 결론에 이르도록</w:t>
      </w:r>
      <w:r>
        <w:rPr>
          <w:rFonts w:ascii="Malgun Gothic" w:cs="Malgun Gothic" w:eastAsia="Malgun Gothic" w:hAnsi="Malgun Gothic"/>
          <w:sz w:val="20"/>
          <w:szCs w:val="20"/>
        </w:rPr>
        <w:t xml:space="preserve"> 잘게 나눈 것입니다. 점수를 새로 정의하는 것이 아니라 공식 기준을 실행하는 절차를 정의합니다.</w:t>
      </w:r>
    </w:p>
    <w:p>
      <w:pPr>
        <w:spacing w:after="120"/>
      </w:pPr>
      <w:r>
        <w:rPr>
          <w:rFonts w:ascii="Malgun Gothic" w:cs="Malgun Gothic" w:eastAsia="Malgun Gothic" w:hAnsi="Malgun Gothic"/>
          <w:sz w:val="20"/>
          <w:szCs w:val="20"/>
        </w:rPr>
        <w:t xml:space="preserve">설계 원칙은 세 가지입니다.</w:t>
      </w:r>
    </w:p>
    <w:p>
      <w:pPr>
        <w:pStyle w:val="ListParagraph"/>
        <w:numPr>
          <w:ilvl w:val="0"/>
          <w:numId w:val="2"/>
        </w:numPr>
        <w:spacing w:after="60"/>
      </w:pPr>
      <w:r>
        <w:rPr>
          <w:rFonts w:ascii="Malgun Gothic" w:cs="Malgun Gothic" w:eastAsia="Malgun Gothic" w:hAnsi="Malgun Gothic"/>
          <w:b/>
          <w:bCs/>
          <w:sz w:val="20"/>
          <w:szCs w:val="20"/>
        </w:rPr>
        <w:t xml:space="preserve">눈으로 확인할 수 있는 것만 묻는다.</w:t>
      </w:r>
      <w:r>
        <w:rPr>
          <w:rFonts w:ascii="Malgun Gothic" w:cs="Malgun Gothic" w:eastAsia="Malgun Gothic" w:hAnsi="Malgun Gothic"/>
          <w:sz w:val="20"/>
          <w:szCs w:val="20"/>
        </w:rPr>
        <w:t xml:space="preserve"> "수요를 충분히 반영했는가"라고 묻지 않고, "표본과 방법이 적힌 수요조사 보고서가 있는가", "그 결과가 사업 활동으로 연결되었음을 보여주는 표가 있는가"라고 묻습니다.</w:t>
      </w:r>
    </w:p>
    <w:p>
      <w:pPr>
        <w:pStyle w:val="ListParagraph"/>
        <w:numPr>
          <w:ilvl w:val="0"/>
          <w:numId w:val="2"/>
        </w:numPr>
        <w:spacing w:after="60"/>
      </w:pPr>
      <w:r>
        <w:rPr>
          <w:rFonts w:ascii="Malgun Gothic" w:cs="Malgun Gothic" w:eastAsia="Malgun Gothic" w:hAnsi="Malgun Gothic"/>
          <w:b/>
          <w:bCs/>
          <w:sz w:val="20"/>
          <w:szCs w:val="20"/>
        </w:rPr>
        <w:t xml:space="preserve">공식 기준에 충실하다.</w:t>
      </w:r>
      <w:r>
        <w:rPr>
          <w:rFonts w:ascii="Malgun Gothic" w:cs="Malgun Gothic" w:eastAsia="Malgun Gothic" w:hAnsi="Malgun Gothic"/>
          <w:sz w:val="20"/>
          <w:szCs w:val="20"/>
        </w:rPr>
        <w:t xml:space="preserve"> KOICA 등급표의 1~4점 문장 하나하나를 확인 항목의 조합으로 옮겼고, 그 대응표를 이 문서에 공개합니다. 평가기관은 대응표가 공식 기준과 어긋나지 않는지 검증할 수 있습니다.</w:t>
      </w:r>
    </w:p>
    <w:p>
      <w:pPr>
        <w:pStyle w:val="ListParagraph"/>
        <w:numPr>
          <w:ilvl w:val="0"/>
          <w:numId w:val="2"/>
        </w:numPr>
        <w:spacing w:after="60"/>
      </w:pPr>
      <w:r>
        <w:rPr>
          <w:rFonts w:ascii="Malgun Gothic" w:cs="Malgun Gothic" w:eastAsia="Malgun Gothic" w:hAnsi="Malgun Gothic"/>
          <w:b/>
          <w:bCs/>
          <w:sz w:val="20"/>
          <w:szCs w:val="20"/>
        </w:rPr>
        <w:t xml:space="preserve">의견 차이의 원인을 찾을 수 있게 한다.</w:t>
      </w:r>
      <w:r>
        <w:rPr>
          <w:rFonts w:ascii="Malgun Gothic" w:cs="Malgun Gothic" w:eastAsia="Malgun Gothic" w:hAnsi="Malgun Gothic"/>
          <w:sz w:val="20"/>
          <w:szCs w:val="20"/>
        </w:rPr>
        <w:t xml:space="preserve"> 두 평가자의 점수가 다르면 "어느 항목을, 어떤 자료를 근거로, 다르게 봤는가"까지 반드시 추적됩니다. 추적되지 않는 차이는 기준의 결함으로 보고 기준을 고칩니다.</w:t>
      </w:r>
    </w:p>
    <w:p>
      <w:pPr>
        <w:pStyle w:val="Heading1"/>
      </w:pPr>
      <w:r>
        <w:rPr>
          <w:rFonts w:ascii="Malgun Gothic" w:cs="Malgun Gothic" w:eastAsia="Malgun Gothic" w:hAnsi="Malgun Gothic"/>
        </w:rPr>
        <w:t xml:space="preserve">2. 평가체계의 전체 구조</w:t>
      </w:r>
    </w:p>
    <w:p>
      <w:pPr>
        <w:spacing w:after="120"/>
      </w:pPr>
      <w:r>
        <w:rPr>
          <w:rFonts w:ascii="Malgun Gothic" w:cs="Malgun Gothic" w:eastAsia="Malgun Gothic" w:hAnsi="Malgun Gothic"/>
          <w:sz w:val="20"/>
          <w:szCs w:val="20"/>
        </w:rPr>
        <w:t xml:space="preserve">평가는 아래 다섯 층으로 이루어집니다. 위층의 결과는 아래층의 판정에서 자동으로 계산되며, 사람은 가장 아래층(세부 지표 판정)에서만 판단합니다.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008"/>
        <w:gridCol w:w="4665"/>
        <w:gridCol w:w="2965"/>
      </w:tblGrid>
      <w:tr>
        <w:trPr>
          <w:tblHeader/>
        </w:trPr>
        <w:tc>
          <w:tcPr>
            <w:tcW w:type="dxa" w:w="200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층</w:t>
            </w:r>
          </w:p>
        </w:tc>
        <w:tc>
          <w:tcPr>
            <w:tcW w:type="dxa" w:w="466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내용</w:t>
            </w:r>
          </w:p>
        </w:tc>
        <w:tc>
          <w:tcPr>
            <w:tcW w:type="dxa" w:w="296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수</w:t>
            </w:r>
          </w:p>
        </w:tc>
      </w:tr>
      <w:tr>
        <w:trPr>
          <w:tblHeader w:val="false"/>
        </w:trPr>
        <w:tc>
          <w:tcPr>
            <w:tcW w:type="dxa" w:w="200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평가기준</w:t>
            </w:r>
          </w:p>
        </w:tc>
        <w:tc>
          <w:tcPr>
            <w:tcW w:type="dxa" w:w="46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적절성 · 일관성 · 효과성 · 효율성 · 지속가능성 (+ 영향력)</w:t>
            </w:r>
          </w:p>
        </w:tc>
        <w:tc>
          <w:tcPr>
            <w:tcW w:type="dxa" w:w="29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5 (+1)</w:t>
            </w:r>
          </w:p>
        </w:tc>
      </w:tr>
      <w:tr>
        <w:trPr>
          <w:tblHeader w:val="false"/>
        </w:trPr>
        <w:tc>
          <w:tcPr>
            <w:tcW w:type="dxa" w:w="200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평가질문</w:t>
            </w:r>
          </w:p>
        </w:tc>
        <w:tc>
          <w:tcPr>
            <w:tcW w:type="dxa" w:w="46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KOICA 등급표의 공식 질문</w:t>
            </w:r>
          </w:p>
        </w:tc>
        <w:tc>
          <w:tcPr>
            <w:tcW w:type="dxa" w:w="29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11 (+1)</w:t>
            </w:r>
          </w:p>
        </w:tc>
      </w:tr>
      <w:tr>
        <w:trPr>
          <w:tblHeader w:val="false"/>
        </w:trPr>
        <w:tc>
          <w:tcPr>
            <w:tcW w:type="dxa" w:w="200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세부 지표</w:t>
            </w:r>
          </w:p>
        </w:tc>
        <w:tc>
          <w:tcPr>
            <w:tcW w:type="dxa" w:w="46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질문 하나를 확인 가능한 항목으로 나눈 것</w:t>
            </w:r>
          </w:p>
        </w:tc>
        <w:tc>
          <w:tcPr>
            <w:tcW w:type="dxa" w:w="29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질문당 6~8개, 총 80개</w:t>
            </w:r>
          </w:p>
        </w:tc>
      </w:tr>
      <w:tr>
        <w:trPr>
          <w:tblHeader w:val="false"/>
        </w:trPr>
        <w:tc>
          <w:tcPr>
            <w:tcW w:type="dxa" w:w="200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판정 단계</w:t>
            </w:r>
          </w:p>
        </w:tc>
        <w:tc>
          <w:tcPr>
            <w:tcW w:type="dxa" w:w="46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세부 지표마다 "확인되지 않음 / 초기 단계 / 상당 부분 / 완전 충족"의 4단계</w:t>
            </w:r>
          </w:p>
        </w:tc>
        <w:tc>
          <w:tcPr>
            <w:tcW w:type="dxa" w:w="29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지표당 4단계</w:t>
            </w:r>
          </w:p>
        </w:tc>
      </w:tr>
      <w:tr>
        <w:trPr>
          <w:tblHeader w:val="false"/>
        </w:trPr>
        <w:tc>
          <w:tcPr>
            <w:tcW w:type="dxa" w:w="200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근거 자료</w:t>
            </w:r>
          </w:p>
        </w:tc>
        <w:tc>
          <w:tcPr>
            <w:tcW w:type="dxa" w:w="46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각 판정을 뒷받침하는 문서의 위치(페이지·셀)와 자료의 신뢰 등급</w:t>
            </w:r>
          </w:p>
        </w:tc>
        <w:tc>
          <w:tcPr>
            <w:tcW w:type="dxa" w:w="29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판정마다 1건 이상</w:t>
            </w:r>
          </w:p>
        </w:tc>
      </w:tr>
    </w:tbl>
    <w:p>
      <w:pPr>
        <w:spacing w:after="120"/>
      </w:pPr>
    </w:p>
    <w:p>
      <w:pPr>
        <w:spacing w:after="120"/>
      </w:pPr>
      <w:r>
        <w:rPr>
          <w:rFonts w:ascii="Malgun Gothic" w:cs="Malgun Gothic" w:eastAsia="Malgun Gothic" w:hAnsi="Malgun Gothic"/>
          <w:sz w:val="20"/>
          <w:szCs w:val="20"/>
        </w:rPr>
        <w:t xml:space="preserve">점수는 아래에서 위로 올라갑니다.</w:t>
      </w:r>
    </w:p>
    <w:p>
      <w:pPr>
        <w:pStyle w:val="ListParagraph"/>
        <w:numPr>
          <w:ilvl w:val="0"/>
          <w:numId w:val="3"/>
        </w:numPr>
        <w:spacing w:after="60"/>
      </w:pPr>
      <w:r>
        <w:rPr>
          <w:rFonts w:ascii="Malgun Gothic" w:cs="Malgun Gothic" w:eastAsia="Malgun Gothic" w:hAnsi="Malgun Gothic"/>
          <w:sz w:val="20"/>
          <w:szCs w:val="20"/>
        </w:rPr>
        <w:t xml:space="preserve">세부 지표 판정 → 질문 점수(1~4점) → 기준 점수(질문 평균) → 총점(20점 만점) → 등급</w:t>
      </w:r>
    </w:p>
    <w:p>
      <w:pPr>
        <w:pStyle w:val="ListParagraph"/>
        <w:numPr>
          <w:ilvl w:val="0"/>
          <w:numId w:val="3"/>
        </w:numPr>
        <w:spacing w:after="60"/>
      </w:pPr>
      <w:r>
        <w:rPr>
          <w:rFonts w:ascii="Malgun Gothic" w:cs="Malgun Gothic" w:eastAsia="Malgun Gothic" w:hAnsi="Malgun Gothic"/>
          <w:sz w:val="20"/>
          <w:szCs w:val="20"/>
        </w:rPr>
        <w:t xml:space="preserve">총점과 등급 산식은 KOICA 등급표와 동일합니다. (적절성 = 1.1과 1.2의 평균, 효과성 = 3.1·3.2·3.3의 평균 등, 총점 = 5개 기준 점수의 합)</w:t>
      </w:r>
    </w:p>
    <w:p>
      <w:pPr>
        <w:pStyle w:val="Heading1"/>
      </w:pPr>
      <w:r>
        <w:rPr>
          <w:rFonts w:ascii="Malgun Gothic" w:cs="Malgun Gothic" w:eastAsia="Malgun Gothic" w:hAnsi="Malgun Gothic"/>
        </w:rPr>
        <w:t xml:space="preserve">3. 점수는 어떻게 매겨지는가</w:t>
      </w:r>
    </w:p>
    <w:p>
      <w:pPr>
        <w:pStyle w:val="Heading2"/>
      </w:pPr>
      <w:r>
        <w:rPr>
          <w:rFonts w:ascii="Malgun Gothic" w:cs="Malgun Gothic" w:eastAsia="Malgun Gothic" w:hAnsi="Malgun Gothic"/>
        </w:rPr>
        <w:t xml:space="preserve">3.1 세부 지표의 4단계 판정</w:t>
      </w:r>
    </w:p>
    <w:p>
      <w:pPr>
        <w:spacing w:after="120"/>
      </w:pPr>
      <w:r>
        <w:rPr>
          <w:rFonts w:ascii="Malgun Gothic" w:cs="Malgun Gothic" w:eastAsia="Malgun Gothic" w:hAnsi="Malgun Gothic"/>
          <w:sz w:val="20"/>
          <w:szCs w:val="20"/>
        </w:rPr>
        <w:t xml:space="preserve">모든 세부 지표에는 네 개의 판정 문장이 있습니다. 평가자는 각 문장에 대해 "해당 자료가 있는가"를 예/아니오로만 답합니다. 점수를 직접 고르지 않습니다.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41"/>
        <w:gridCol w:w="4730"/>
        <w:gridCol w:w="2367"/>
      </w:tblGrid>
      <w:tr>
        <w:trPr>
          <w:tblHeader/>
        </w:trPr>
        <w:tc>
          <w:tcPr>
            <w:tcW w:type="dxa" w:w="254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단계</w:t>
            </w:r>
          </w:p>
        </w:tc>
        <w:tc>
          <w:tcPr>
            <w:tcW w:type="dxa" w:w="473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의미</w:t>
            </w:r>
          </w:p>
        </w:tc>
        <w:tc>
          <w:tcPr>
            <w:tcW w:type="dxa" w:w="236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값</w:t>
            </w:r>
          </w:p>
        </w:tc>
      </w:tr>
      <w:tr>
        <w:trPr>
          <w:tblHeader w:val="false"/>
        </w:trPr>
        <w:tc>
          <w:tcPr>
            <w:tcW w:type="dxa" w:w="25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부정 확인</w:t>
            </w:r>
          </w:p>
        </w:tc>
        <w:tc>
          <w:tcPr>
            <w:tcW w:type="dxa" w:w="47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하지 않았거나 오히려 해가 되었음이 자료로 확인됨</w:t>
            </w:r>
          </w:p>
        </w:tc>
        <w:tc>
          <w:tcPr>
            <w:tcW w:type="dxa" w:w="23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0</w:t>
            </w:r>
          </w:p>
        </w:tc>
      </w:tr>
      <w:tr>
        <w:trPr>
          <w:tblHeader w:val="false"/>
        </w:trPr>
        <w:tc>
          <w:tcPr>
            <w:tcW w:type="dxa" w:w="25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초기 단계</w:t>
            </w:r>
          </w:p>
        </w:tc>
        <w:tc>
          <w:tcPr>
            <w:tcW w:type="dxa" w:w="47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계획·논의·착수·언급 수준까지만 확인됨</w:t>
            </w:r>
          </w:p>
        </w:tc>
        <w:tc>
          <w:tcPr>
            <w:tcW w:type="dxa" w:w="23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0.33</w:t>
            </w:r>
          </w:p>
        </w:tc>
      </w:tr>
      <w:tr>
        <w:trPr>
          <w:tblHeader w:val="false"/>
        </w:trPr>
        <w:tc>
          <w:tcPr>
            <w:tcW w:type="dxa" w:w="25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상당 부분</w:t>
            </w:r>
          </w:p>
        </w:tc>
        <w:tc>
          <w:tcPr>
            <w:tcW w:type="dxa" w:w="47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주요 범위를 실행·달성했으나 중요한 미완이 남음</w:t>
            </w:r>
          </w:p>
        </w:tc>
        <w:tc>
          <w:tcPr>
            <w:tcW w:type="dxa" w:w="23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0.67</w:t>
            </w:r>
          </w:p>
        </w:tc>
      </w:tr>
      <w:tr>
        <w:trPr>
          <w:tblHeader w:val="false"/>
        </w:trPr>
        <w:tc>
          <w:tcPr>
            <w:tcW w:type="dxa" w:w="25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c>
          <w:tcPr>
            <w:tcW w:type="dxa" w:w="47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전 범위를 실행·달성했고 독립적인 자료로 검증됨</w:t>
            </w:r>
          </w:p>
        </w:tc>
        <w:tc>
          <w:tcPr>
            <w:tcW w:type="dxa" w:w="23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1.00</w:t>
            </w:r>
          </w:p>
        </w:tc>
      </w:tr>
    </w:tbl>
    <w:p>
      <w:pPr>
        <w:spacing w:after="120"/>
      </w:pPr>
    </w:p>
    <w:p>
      <w:pPr>
        <w:spacing w:after="120"/>
      </w:pPr>
      <w:r>
        <w:rPr>
          <w:rFonts w:ascii="Malgun Gothic" w:cs="Malgun Gothic" w:eastAsia="Malgun Gothic" w:hAnsi="Malgun Gothic"/>
          <w:sz w:val="20"/>
          <w:szCs w:val="20"/>
        </w:rPr>
        <w:t xml:space="preserve">세 단계는 계단식입니다. "상당 부분"은 "초기 단계"를 포함하고, "완전 충족"은 "상당 부분"을 포함합니다. 예를 들어 '타 공여기관과의 조율 체계' 지표라면 다음과 같습니다.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59"/>
        <w:gridCol w:w="6679"/>
      </w:tblGrid>
      <w:tr>
        <w:trPr>
          <w:tblHeader/>
        </w:trPr>
        <w:tc>
          <w:tcPr>
            <w:tcW w:type="dxa" w:w="295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단계</w:t>
            </w:r>
          </w:p>
        </w:tc>
        <w:tc>
          <w:tcPr>
            <w:tcW w:type="dxa" w:w="667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조율 체계 지표의 판정 문장</w:t>
            </w:r>
          </w:p>
        </w:tc>
      </w:tr>
      <w:tr>
        <w:trPr>
          <w:tblHeader w:val="false"/>
        </w:trPr>
        <w:tc>
          <w:tcPr>
            <w:tcW w:type="dxa" w:w="29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부정 확인</w:t>
            </w:r>
          </w:p>
        </w:tc>
        <w:tc>
          <w:tcPr>
            <w:tcW w:type="dxa" w:w="6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조율을 회피했거나 갈등이 발생한 기록이 있음</w:t>
            </w:r>
          </w:p>
        </w:tc>
      </w:tr>
      <w:tr>
        <w:trPr>
          <w:tblHeader w:val="false"/>
        </w:trPr>
        <w:tc>
          <w:tcPr>
            <w:tcW w:type="dxa" w:w="29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초기 단계</w:t>
            </w:r>
          </w:p>
        </w:tc>
        <w:tc>
          <w:tcPr>
            <w:tcW w:type="dxa" w:w="6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단발성 회의에 참석한 기록이 있음</w:t>
            </w:r>
          </w:p>
        </w:tc>
      </w:tr>
      <w:tr>
        <w:trPr>
          <w:tblHeader w:val="false"/>
        </w:trPr>
        <w:tc>
          <w:tcPr>
            <w:tcW w:type="dxa" w:w="29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상당 부분</w:t>
            </w:r>
          </w:p>
        </w:tc>
        <w:tc>
          <w:tcPr>
            <w:tcW w:type="dxa" w:w="6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정례 협의체에 참여하거나 양자 조율 회의를 운영한 기록이 있음</w:t>
            </w:r>
          </w:p>
        </w:tc>
      </w:tr>
      <w:tr>
        <w:trPr>
          <w:tblHeader w:val="false"/>
        </w:trPr>
        <w:tc>
          <w:tcPr>
            <w:tcW w:type="dxa" w:w="29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c>
          <w:tcPr>
            <w:tcW w:type="dxa" w:w="6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MoU·워킹그룹 등 공식 조율체계에서 결정된 사항이 실제로 이행된 기록이 있음</w:t>
            </w:r>
          </w:p>
        </w:tc>
      </w:tr>
    </w:tbl>
    <w:p>
      <w:pPr>
        <w:spacing w:after="120"/>
      </w:pPr>
    </w:p>
    <w:p>
      <w:pPr>
        <w:spacing w:after="120"/>
      </w:pPr>
      <w:r>
        <w:rPr>
          <w:rFonts w:ascii="Malgun Gothic" w:cs="Malgun Gothic" w:eastAsia="Malgun Gothic" w:hAnsi="Malgun Gothic"/>
          <w:sz w:val="20"/>
          <w:szCs w:val="20"/>
        </w:rPr>
        <w:t xml:space="preserve">이 방식의 핵심은 평가자가 "이 사업의 조율은 0.67 정도"라고 감으로 정하는 대신, "정례 협의체 참여 기록이 있는가"라는 사실 질문에 답한다는 점입니다. 회의록이 있으면 누구나 예, 없으면 누구나 아니오입니다.</w:t>
      </w:r>
    </w:p>
    <w:p>
      <w:pPr>
        <w:pStyle w:val="Heading2"/>
      </w:pPr>
      <w:r>
        <w:rPr>
          <w:rFonts w:ascii="Malgun Gothic" w:cs="Malgun Gothic" w:eastAsia="Malgun Gothic" w:hAnsi="Malgun Gothic"/>
        </w:rPr>
        <w:t xml:space="preserve">3.2 자료가 없는 경우와 자료가 부정적인 경우는 다르다</w:t>
      </w:r>
    </w:p>
    <w:p>
      <w:pPr>
        <w:spacing w:after="120"/>
      </w:pPr>
      <w:r>
        <w:rPr>
          <w:rFonts w:ascii="Malgun Gothic" w:cs="Malgun Gothic" w:eastAsia="Malgun Gothic" w:hAnsi="Malgun Gothic"/>
          <w:sz w:val="20"/>
          <w:szCs w:val="20"/>
        </w:rPr>
        <w:t xml:space="preserve">이 체계는 세 가지 상황을 엄격히 구분합니다.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163"/>
        <w:gridCol w:w="3446"/>
        <w:gridCol w:w="4029"/>
      </w:tblGrid>
      <w:tr>
        <w:trPr>
          <w:tblHeader/>
        </w:trPr>
        <w:tc>
          <w:tcPr>
            <w:tcW w:type="dxa" w:w="216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상황</w:t>
            </w:r>
          </w:p>
        </w:tc>
        <w:tc>
          <w:tcPr>
            <w:tcW w:type="dxa" w:w="344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처리</w:t>
            </w:r>
          </w:p>
        </w:tc>
        <w:tc>
          <w:tcPr>
            <w:tcW w:type="dxa" w:w="402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이유</w:t>
            </w:r>
          </w:p>
        </w:tc>
      </w:tr>
      <w:tr>
        <w:trPr>
          <w:tblHeader w:val="false"/>
        </w:trPr>
        <w:tc>
          <w:tcPr>
            <w:tcW w:type="dxa" w:w="21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자료가 없어 판단할 수 없음</w:t>
            </w:r>
          </w:p>
        </w:tc>
        <w:tc>
          <w:tcPr>
            <w:tcW w:type="dxa" w:w="34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미확인</w:t>
            </w:r>
            <w:r>
              <w:rPr>
                <w:rFonts w:ascii="Malgun Gothic" w:cs="Malgun Gothic" w:eastAsia="Malgun Gothic" w:hAnsi="Malgun Gothic"/>
                <w:sz w:val="18"/>
                <w:szCs w:val="18"/>
              </w:rPr>
              <w:t xml:space="preserve">. 점수를 깎지 않고, 대신 그 질문의 '근거 확보율'이 낮아짐</w:t>
            </w:r>
          </w:p>
        </w:tc>
        <w:tc>
          <w:tcPr>
            <w:tcW w:type="dxa" w:w="402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자료 부재는 성과 부재의 증거가 아님. 다만 4점(모범 사례)은 입증 책임이 사업 측에 있으므로 미확인 항목이 있으면 4점을 줄 수 없음</w:t>
            </w:r>
          </w:p>
        </w:tc>
      </w:tr>
      <w:tr>
        <w:trPr>
          <w:tblHeader w:val="false"/>
        </w:trPr>
        <w:tc>
          <w:tcPr>
            <w:tcW w:type="dxa" w:w="21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하지 않았음이 자료로 확인됨</w:t>
            </w:r>
          </w:p>
        </w:tc>
        <w:tc>
          <w:tcPr>
            <w:tcW w:type="dxa" w:w="34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0점 판정</w:t>
            </w:r>
          </w:p>
        </w:tc>
        <w:tc>
          <w:tcPr>
            <w:tcW w:type="dxa" w:w="402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확인된 사실</w:t>
            </w:r>
          </w:p>
        </w:tc>
      </w:tr>
      <w:tr>
        <w:trPr>
          <w:tblHeader w:val="false"/>
        </w:trPr>
        <w:tc>
          <w:tcPr>
            <w:tcW w:type="dxa" w:w="21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긍정 자료와 부정 자료가 충돌함</w:t>
            </w:r>
          </w:p>
        </w:tc>
        <w:tc>
          <w:tcPr>
            <w:tcW w:type="dxa" w:w="34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충돌</w:t>
            </w:r>
            <w:r>
              <w:rPr>
                <w:rFonts w:ascii="Malgun Gothic" w:cs="Malgun Gothic" w:eastAsia="Malgun Gothic" w:hAnsi="Malgun Gothic"/>
                <w:sz w:val="18"/>
                <w:szCs w:val="18"/>
              </w:rPr>
              <w:t xml:space="preserve"> 표시, 평가자가 어느 자료를 채택했는지 사유와 함께 기록하기 전까지 점수 확정 불가</w:t>
            </w:r>
          </w:p>
        </w:tc>
        <w:tc>
          <w:tcPr>
            <w:tcW w:type="dxa" w:w="402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충돌을 임의로 한쪽으로 해석하는 것이 편차의 주요 원인</w:t>
            </w:r>
          </w:p>
        </w:tc>
      </w:tr>
    </w:tbl>
    <w:p>
      <w:pPr>
        <w:spacing w:after="120"/>
      </w:pPr>
    </w:p>
    <w:p>
      <w:pPr>
        <w:spacing w:after="120"/>
      </w:pPr>
      <w:r>
        <w:rPr>
          <w:rFonts w:ascii="Malgun Gothic" w:cs="Malgun Gothic" w:eastAsia="Malgun Gothic" w:hAnsi="Malgun Gothic"/>
          <w:sz w:val="20"/>
          <w:szCs w:val="20"/>
        </w:rPr>
        <w:t xml:space="preserve">근거 확보율 규칙은 다음과 같습니다.</w:t>
      </w:r>
    </w:p>
    <w:p>
      <w:pPr>
        <w:pStyle w:val="ListParagraph"/>
        <w:numPr>
          <w:ilvl w:val="0"/>
          <w:numId w:val="3"/>
        </w:numPr>
        <w:spacing w:after="60"/>
      </w:pPr>
      <w:r>
        <w:rPr>
          <w:rFonts w:ascii="Malgun Gothic" w:cs="Malgun Gothic" w:eastAsia="Malgun Gothic" w:hAnsi="Malgun Gothic"/>
          <w:sz w:val="20"/>
          <w:szCs w:val="20"/>
        </w:rPr>
        <w:t xml:space="preserve">확보율 60% 미만: 점수를 내지 않고 </w:t>
      </w:r>
      <w:r>
        <w:rPr>
          <w:rFonts w:ascii="Malgun Gothic" w:cs="Malgun Gothic" w:eastAsia="Malgun Gothic" w:hAnsi="Malgun Gothic"/>
          <w:b/>
          <w:bCs/>
          <w:sz w:val="20"/>
          <w:szCs w:val="20"/>
        </w:rPr>
        <w:t xml:space="preserve">판정 보류</w:t>
      </w:r>
      <w:r>
        <w:rPr>
          <w:rFonts w:ascii="Malgun Gothic" w:cs="Malgun Gothic" w:eastAsia="Malgun Gothic" w:hAnsi="Malgun Gothic"/>
          <w:sz w:val="20"/>
          <w:szCs w:val="20"/>
        </w:rPr>
        <w:t xml:space="preserve">. 필요한 자료 목록을 자동 생성해 수행기관에 요청.</w:t>
      </w:r>
    </w:p>
    <w:p>
      <w:pPr>
        <w:pStyle w:val="ListParagraph"/>
        <w:numPr>
          <w:ilvl w:val="0"/>
          <w:numId w:val="3"/>
        </w:numPr>
        <w:spacing w:after="60"/>
      </w:pPr>
      <w:r>
        <w:rPr>
          <w:rFonts w:ascii="Malgun Gothic" w:cs="Malgun Gothic" w:eastAsia="Malgun Gothic" w:hAnsi="Malgun Gothic"/>
          <w:sz w:val="20"/>
          <w:szCs w:val="20"/>
        </w:rPr>
        <w:t xml:space="preserve">확보율 60~85%: 최대 3점.</w:t>
      </w:r>
    </w:p>
    <w:p>
      <w:pPr>
        <w:pStyle w:val="ListParagraph"/>
        <w:numPr>
          <w:ilvl w:val="0"/>
          <w:numId w:val="3"/>
        </w:numPr>
        <w:spacing w:after="60"/>
      </w:pPr>
      <w:r>
        <w:rPr>
          <w:rFonts w:ascii="Malgun Gothic" w:cs="Malgun Gothic" w:eastAsia="Malgun Gothic" w:hAnsi="Malgun Gothic"/>
          <w:sz w:val="20"/>
          <w:szCs w:val="20"/>
        </w:rPr>
        <w:t xml:space="preserve">확보율 85% 이상: 4점 가능.</w:t>
      </w:r>
    </w:p>
    <w:p>
      <w:pPr>
        <w:spacing w:after="120"/>
      </w:pPr>
      <w:r>
        <w:rPr>
          <w:rFonts w:ascii="Malgun Gothic" w:cs="Malgun Gothic" w:eastAsia="Malgun Gothic" w:hAnsi="Malgun Gothic"/>
          <w:sz w:val="20"/>
          <w:szCs w:val="20"/>
        </w:rPr>
        <w:t xml:space="preserve">즉 자료가 부족하면 "낮은 점수"가 아니라 "점수 없음"이 됩니다. 수행기관은 자료를 보완하여 판정을 받을 수 있고, 평가기관은 자료 없이 내려진 점수를 걸러낼 수 있습니다.</w:t>
      </w:r>
    </w:p>
    <w:p>
      <w:pPr>
        <w:pStyle w:val="Heading2"/>
      </w:pPr>
      <w:r>
        <w:rPr>
          <w:rFonts w:ascii="Malgun Gothic" w:cs="Malgun Gothic" w:eastAsia="Malgun Gothic" w:hAnsi="Malgun Gothic"/>
        </w:rPr>
        <w:t xml:space="preserve">3.3 근거 자료의 신뢰 등급이 판정의 상한을 정한다</w:t>
      </w:r>
    </w:p>
    <w:p>
      <w:pPr>
        <w:spacing w:after="120"/>
      </w:pPr>
      <w:r>
        <w:rPr>
          <w:rFonts w:ascii="Malgun Gothic" w:cs="Malgun Gothic" w:eastAsia="Malgun Gothic" w:hAnsi="Malgun Gothic"/>
          <w:sz w:val="20"/>
          <w:szCs w:val="20"/>
        </w:rPr>
        <w:t xml:space="preserve">같은 내용이라도 누가 만든 자료인지에 따라 무게가 다릅니다.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79"/>
        <w:gridCol w:w="3252"/>
        <w:gridCol w:w="4507"/>
      </w:tblGrid>
      <w:tr>
        <w:trPr>
          <w:tblHeader/>
        </w:trPr>
        <w:tc>
          <w:tcPr>
            <w:tcW w:type="dxa" w:w="187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등급</w:t>
            </w:r>
          </w:p>
        </w:tc>
        <w:tc>
          <w:tcPr>
            <w:tcW w:type="dxa" w:w="325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자료의 성격</w:t>
            </w:r>
          </w:p>
        </w:tc>
        <w:tc>
          <w:tcPr>
            <w:tcW w:type="dxa" w:w="450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예</w:t>
            </w:r>
          </w:p>
        </w:tc>
      </w:tr>
      <w:tr>
        <w:trPr>
          <w:tblHeader w:val="false"/>
        </w:trPr>
        <w:tc>
          <w:tcPr>
            <w:tcW w:type="dxa" w:w="18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1등급</w:t>
            </w:r>
          </w:p>
        </w:tc>
        <w:tc>
          <w:tcPr>
            <w:tcW w:type="dxa" w:w="325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수행기관·용역사의 자체 서술</w:t>
            </w:r>
          </w:p>
        </w:tc>
        <w:tc>
          <w:tcPr>
            <w:tcW w:type="dxa" w:w="450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최종보고서 본문, 자체평가서</w:t>
            </w:r>
          </w:p>
        </w:tc>
      </w:tr>
      <w:tr>
        <w:trPr>
          <w:tblHeader w:val="false"/>
        </w:trPr>
        <w:tc>
          <w:tcPr>
            <w:tcW w:type="dxa" w:w="18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2등급</w:t>
            </w:r>
          </w:p>
        </w:tc>
        <w:tc>
          <w:tcPr>
            <w:tcW w:type="dxa" w:w="325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공식 기록</w:t>
            </w:r>
          </w:p>
        </w:tc>
        <w:tc>
          <w:tcPr>
            <w:tcW w:type="dxa" w:w="450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회의록, MoU, 승인 공문, 계약서, 검수서</w:t>
            </w:r>
          </w:p>
        </w:tc>
      </w:tr>
      <w:tr>
        <w:trPr>
          <w:tblHeader w:val="false"/>
        </w:trPr>
        <w:tc>
          <w:tcPr>
            <w:tcW w:type="dxa" w:w="18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3등급</w:t>
            </w:r>
          </w:p>
        </w:tc>
        <w:tc>
          <w:tcPr>
            <w:tcW w:type="dxa" w:w="325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독립 출처 또는 원자료</w:t>
            </w:r>
          </w:p>
        </w:tc>
        <w:tc>
          <w:tcPr>
            <w:tcW w:type="dxa" w:w="450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종료선 조사 원자료, 정부 행정통계, 제3자 검수, 감사 결과</w:t>
            </w:r>
          </w:p>
        </w:tc>
      </w:tr>
      <w:tr>
        <w:trPr>
          <w:tblHeader w:val="false"/>
        </w:trPr>
        <w:tc>
          <w:tcPr>
            <w:tcW w:type="dxa" w:w="18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4등급</w:t>
            </w:r>
          </w:p>
        </w:tc>
        <w:tc>
          <w:tcPr>
            <w:tcW w:type="dxa" w:w="325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독립 출처 둘 이상이 일치</w:t>
            </w:r>
          </w:p>
        </w:tc>
        <w:tc>
          <w:tcPr>
            <w:tcW w:type="dxa" w:w="450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조사 원자료 + 행정통계 + 이해관계자 면담이 같은 방향</w:t>
            </w:r>
          </w:p>
        </w:tc>
      </w:tr>
    </w:tbl>
    <w:p>
      <w:pPr>
        <w:spacing w:after="120"/>
      </w:pPr>
    </w:p>
    <w:p>
      <w:pPr>
        <w:spacing w:after="120"/>
      </w:pPr>
      <w:r>
        <w:rPr>
          <w:rFonts w:ascii="Malgun Gothic" w:cs="Malgun Gothic" w:eastAsia="Malgun Gothic" w:hAnsi="Malgun Gothic"/>
          <w:sz w:val="20"/>
          <w:szCs w:val="20"/>
        </w:rPr>
        <w:t xml:space="preserve">규칙은 단순합니다. </w:t>
      </w:r>
      <w:r>
        <w:rPr>
          <w:rFonts w:ascii="Malgun Gothic" w:cs="Malgun Gothic" w:eastAsia="Malgun Gothic" w:hAnsi="Malgun Gothic"/>
          <w:b/>
          <w:bCs/>
          <w:sz w:val="20"/>
          <w:szCs w:val="20"/>
        </w:rPr>
        <w:t xml:space="preserve">수행기관의 자체 서술만으로는 어떤 지표도 '완전 충족'이 될 수 없습니다.</w:t>
      </w:r>
      <w:r>
        <w:rPr>
          <w:rFonts w:ascii="Malgun Gothic" w:cs="Malgun Gothic" w:eastAsia="Malgun Gothic" w:hAnsi="Malgun Gothic"/>
          <w:sz w:val="20"/>
          <w:szCs w:val="20"/>
        </w:rPr>
        <w:t xml:space="preserve"> 최종보고서에 "만족도 우수"라고 적혀 있어도 만족도 조사 원자료가 없으면 최대 '상당 부분'(0.67)까지만 인정됩니다. 지표마다 '완전 충족'에 필요한 최소 자료 등급이 정해져 있으며, 특히 성과 달성·인과관계·시너지처럼 주장하기 쉬운 항목은 3등급 이상을 요구합니다.</w:t>
      </w:r>
    </w:p>
    <w:p>
      <w:pPr>
        <w:pStyle w:val="Heading2"/>
      </w:pPr>
      <w:r>
        <w:rPr>
          <w:rFonts w:ascii="Malgun Gothic" w:cs="Malgun Gothic" w:eastAsia="Malgun Gothic" w:hAnsi="Malgun Gothic"/>
        </w:rPr>
        <w:t xml:space="preserve">3.4 질문 점수(1~4점)를 정하는 두 가지 관문</w:t>
      </w:r>
    </w:p>
    <w:p>
      <w:pPr>
        <w:spacing w:after="120"/>
      </w:pPr>
      <w:r>
        <w:rPr>
          <w:rFonts w:ascii="Malgun Gothic" w:cs="Malgun Gothic" w:eastAsia="Malgun Gothic" w:hAnsi="Malgun Gothic"/>
          <w:sz w:val="20"/>
          <w:szCs w:val="20"/>
        </w:rPr>
        <w:t xml:space="preserve">세부 지표 판정이 끝나면 질문 점수는 두 관문을 모두 통과해야 정해집니다.</w:t>
      </w:r>
    </w:p>
    <w:p>
      <w:pPr>
        <w:spacing w:after="120"/>
      </w:pPr>
      <w:r>
        <w:rPr>
          <w:rFonts w:ascii="Malgun Gothic" w:cs="Malgun Gothic" w:eastAsia="Malgun Gothic" w:hAnsi="Malgun Gothic"/>
          <w:b/>
          <w:bCs/>
          <w:sz w:val="20"/>
          <w:szCs w:val="20"/>
        </w:rPr>
        <w:t xml:space="preserve">첫째 관문 — 공식 기준 대응표.</w:t>
      </w:r>
      <w:r>
        <w:rPr>
          <w:rFonts w:ascii="Malgun Gothic" w:cs="Malgun Gothic" w:eastAsia="Malgun Gothic" w:hAnsi="Malgun Gothic"/>
          <w:sz w:val="20"/>
          <w:szCs w:val="20"/>
        </w:rPr>
        <w:t xml:space="preserve"> KOICA 등급표의 각 점수 문장은 특정 세부 지표의 조합으로 번역되어 있습니다(5장 각 질문의 첫 표). 예를 들어 1.1의 4점 문장 "현지 이해관계자의 적극적 참여 아래 문제나무·변화이론 등 구체적 분석으로 수요가 충분히 검증되고 반영됨"은 '수혜자 수요조사', '현지 이해관계자 실질 참여', '문제나무·변화이론', '수요→설계 추적성' 네 지표가 모두 '완전 충족'이어야 한다는 조건이 됩니다. 이 네 지표를 </w:t>
      </w:r>
      <w:r>
        <w:rPr>
          <w:rFonts w:ascii="Malgun Gothic" w:cs="Malgun Gothic" w:eastAsia="Malgun Gothic" w:hAnsi="Malgun Gothic"/>
          <w:b/>
          <w:bCs/>
          <w:sz w:val="20"/>
          <w:szCs w:val="20"/>
        </w:rPr>
        <w:t xml:space="preserve">필수 조건(게이트)</w:t>
      </w:r>
      <w:r>
        <w:rPr>
          <w:rFonts w:ascii="Malgun Gothic" w:cs="Malgun Gothic" w:eastAsia="Malgun Gothic" w:hAnsi="Malgun Gothic"/>
          <w:sz w:val="20"/>
          <w:szCs w:val="20"/>
        </w:rPr>
        <w:t xml:space="preserve"> 이라 부르며, 하나라도 미달이면 나머지가 아무리 좋아도 4점이 되지 않습니다.</w:t>
      </w:r>
    </w:p>
    <w:p>
      <w:pPr>
        <w:spacing w:after="120"/>
      </w:pPr>
      <w:r>
        <w:rPr>
          <w:rFonts w:ascii="Malgun Gothic" w:cs="Malgun Gothic" w:eastAsia="Malgun Gothic" w:hAnsi="Malgun Gothic"/>
          <w:b/>
          <w:bCs/>
          <w:sz w:val="20"/>
          <w:szCs w:val="20"/>
        </w:rPr>
        <w:t xml:space="preserve">둘째 관문 — 종합 지수.</w:t>
      </w:r>
      <w:r>
        <w:rPr>
          <w:rFonts w:ascii="Malgun Gothic" w:cs="Malgun Gothic" w:eastAsia="Malgun Gothic" w:hAnsi="Malgun Gothic"/>
          <w:sz w:val="20"/>
          <w:szCs w:val="20"/>
        </w:rPr>
        <w:t xml:space="preserve"> 세부 지표 판정값을 가중 평균하여 0~100의 종합 지수를 만들고, 80 이상 4점 구간, 60 이상 3점 구간, 40 이상 2점 구간으로 봅니다. 핵심 지표는 좋은데 부수 지표가 전반적으로 약한 사업이 최고점을 받는 것을 막기 위한 장치입니다.</w:t>
      </w:r>
    </w:p>
    <w:p>
      <w:pPr>
        <w:spacing w:after="120"/>
      </w:pPr>
      <w:r>
        <w:rPr>
          <w:rFonts w:ascii="Malgun Gothic" w:cs="Malgun Gothic" w:eastAsia="Malgun Gothic" w:hAnsi="Malgun Gothic"/>
          <w:sz w:val="20"/>
          <w:szCs w:val="20"/>
        </w:rPr>
        <w:t xml:space="preserve">최종 점수는 두 관문 중 </w:t>
      </w:r>
      <w:r>
        <w:rPr>
          <w:rFonts w:ascii="Malgun Gothic" w:cs="Malgun Gothic" w:eastAsia="Malgun Gothic" w:hAnsi="Malgun Gothic"/>
          <w:b/>
          <w:bCs/>
          <w:sz w:val="20"/>
          <w:szCs w:val="20"/>
        </w:rPr>
        <w:t xml:space="preserve">낮은 쪽</w:t>
      </w:r>
      <w:r>
        <w:rPr>
          <w:rFonts w:ascii="Malgun Gothic" w:cs="Malgun Gothic" w:eastAsia="Malgun Gothic" w:hAnsi="Malgun Gothic"/>
          <w:sz w:val="20"/>
          <w:szCs w:val="20"/>
        </w:rPr>
        <w:t xml:space="preserve">입니다. 공식 기준 문장의 요건을 채우지 못하면 종합 지수가 높아도 올라가지 않고, 공식 요건을 채웠더라도 전반적 성과가 뒷받침되지 않으면 올라가지 않습니다.</w:t>
      </w:r>
    </w:p>
    <w:p>
      <w:pPr>
        <w:pStyle w:val="Heading2"/>
      </w:pPr>
      <w:r>
        <w:rPr>
          <w:rFonts w:ascii="Malgun Gothic" w:cs="Malgun Gothic" w:eastAsia="Malgun Gothic" w:hAnsi="Malgun Gothic"/>
        </w:rPr>
        <w:t xml:space="preserve">3.5 점수 상한과 1점 조건</w:t>
      </w:r>
    </w:p>
    <w:p>
      <w:pPr>
        <w:spacing w:after="120"/>
      </w:pPr>
      <w:r>
        <w:rPr>
          <w:rFonts w:ascii="Malgun Gothic" w:cs="Malgun Gothic" w:eastAsia="Malgun Gothic" w:hAnsi="Malgun Gothic"/>
          <w:sz w:val="20"/>
          <w:szCs w:val="20"/>
        </w:rPr>
        <w:t xml:space="preserve">질문마다 "이 사실이 확인되면 최대 몇 점"이라는 상한 규칙과 "이 사실이 확인되면 1점"이라는 조건이 정해져 있습니다. 모두 KOICA 공식 기준 문장에서 직접 가져온 것입니다.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96"/>
        <w:gridCol w:w="4263"/>
        <w:gridCol w:w="3779"/>
      </w:tblGrid>
      <w:tr>
        <w:trPr>
          <w:tblHeader/>
        </w:trPr>
        <w:tc>
          <w:tcPr>
            <w:tcW w:type="dxa" w:w="159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유형</w:t>
            </w:r>
          </w:p>
        </w:tc>
        <w:tc>
          <w:tcPr>
            <w:tcW w:type="dxa" w:w="426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예</w:t>
            </w:r>
          </w:p>
        </w:tc>
        <w:tc>
          <w:tcPr>
            <w:tcW w:type="dxa" w:w="377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공식 기준 출처</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상한</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취약계층 분리 데이터가 없으면 3.3은 최대 3점</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3.3의 4점 문장 "분리데이터 모니터링 등의 조치"</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상한</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제도화가 논의·준비 단계이면 5.2는 최대 3점</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5.2의 3점 문장 "구체적인 사전 준비 혹은 논의가 진행"</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상한</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예산·기간이 150% 이상 늘었으나 불가피성이 일부 인정되면 4.1은 최대 2점</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4.1의 2점 문장</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1점</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타당한 사유 없이 예산 또는 기간이 150% 이상</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4.1의 1점 문장</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1점</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산출물이 현저히 미달(50% 미만)이고 사유가 타당하지 않음</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3.1의 1점 문장</w:t>
            </w:r>
          </w:p>
        </w:tc>
      </w:tr>
      <w:tr>
        <w:trPr>
          <w:tblHeader w:val="false"/>
        </w:trPr>
        <w:tc>
          <w:tcPr>
            <w:tcW w:type="dxa" w:w="159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1점</w:t>
            </w:r>
          </w:p>
        </w:tc>
        <w:tc>
          <w:tcPr>
            <w:tcW w:type="dxa" w:w="426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사업이 취약계층의 취약성을 명백히 심화</w:t>
            </w:r>
          </w:p>
        </w:tc>
        <w:tc>
          <w:tcPr>
            <w:tcW w:type="dxa" w:w="37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3.3의 1점 문장</w:t>
            </w:r>
          </w:p>
        </w:tc>
      </w:tr>
    </w:tbl>
    <w:p>
      <w:pPr>
        <w:spacing w:after="120"/>
      </w:pPr>
    </w:p>
    <w:p>
      <w:pPr>
        <w:pStyle w:val="Heading2"/>
      </w:pPr>
      <w:r>
        <w:rPr>
          <w:rFonts w:ascii="Malgun Gothic" w:cs="Malgun Gothic" w:eastAsia="Malgun Gothic" w:hAnsi="Malgun Gothic"/>
        </w:rPr>
        <w:t xml:space="preserve">3.6 공식 기준의 예외 조항</w:t>
      </w:r>
    </w:p>
    <w:p>
      <w:pPr>
        <w:spacing w:after="120"/>
      </w:pPr>
      <w:r>
        <w:rPr>
          <w:rFonts w:ascii="Malgun Gothic" w:cs="Malgun Gothic" w:eastAsia="Malgun Gothic" w:hAnsi="Malgun Gothic"/>
          <w:sz w:val="20"/>
          <w:szCs w:val="20"/>
        </w:rPr>
        <w:t xml:space="preserve">KOICA 등급표에는 "아래 사항 중 하나 이상에 해당하는 경우"라는 선택 조항이 있습니다. 이 체계는 그 조항을 평가자가 기억에 의존해 적용하지 않도록 </w:t>
      </w:r>
      <w:r>
        <w:rPr>
          <w:rFonts w:ascii="Malgun Gothic" w:cs="Malgun Gothic" w:eastAsia="Malgun Gothic" w:hAnsi="Malgun Gothic"/>
          <w:b/>
          <w:bCs/>
          <w:sz w:val="20"/>
          <w:szCs w:val="20"/>
        </w:rPr>
        <w:t xml:space="preserve">명시적인 예외 사유</w:t>
      </w:r>
      <w:r>
        <w:rPr>
          <w:rFonts w:ascii="Malgun Gothic" w:cs="Malgun Gothic" w:eastAsia="Malgun Gothic" w:hAnsi="Malgun Gothic"/>
          <w:sz w:val="20"/>
          <w:szCs w:val="20"/>
        </w:rPr>
        <w:t xml:space="preserve">로 만들었습니다. 예외 사유는 평가자가 제안하고 품질검토자가 교차검증한 뒤에만 적용됩니다.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62"/>
        <w:gridCol w:w="1551"/>
        <w:gridCol w:w="3238"/>
        <w:gridCol w:w="2387"/>
      </w:tblGrid>
      <w:tr>
        <w:trPr>
          <w:tblHeader/>
        </w:trPr>
        <w:tc>
          <w:tcPr>
            <w:tcW w:type="dxa" w:w="246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예외 사유</w:t>
            </w:r>
          </w:p>
        </w:tc>
        <w:tc>
          <w:tcPr>
            <w:tcW w:type="dxa" w:w="155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해당 질문</w:t>
            </w:r>
          </w:p>
        </w:tc>
        <w:tc>
          <w:tcPr>
            <w:tcW w:type="dxa" w:w="323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조건</w:t>
            </w:r>
          </w:p>
        </w:tc>
        <w:tc>
          <w:tcPr>
            <w:tcW w:type="dxa" w:w="238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효과</w:t>
            </w:r>
          </w:p>
        </w:tc>
      </w:tr>
      <w:tr>
        <w:trPr>
          <w:tblHeader w:val="false"/>
        </w:trPr>
        <w:tc>
          <w:tcPr>
            <w:tcW w:type="dxa" w:w="24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연계 가능한 사업이 없었음</w:t>
            </w:r>
          </w:p>
        </w:tc>
        <w:tc>
          <w:tcPr>
            <w:tcW w:type="dxa" w:w="155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2.1, 2.2</w:t>
            </w:r>
          </w:p>
        </w:tc>
        <w:tc>
          <w:tcPr>
            <w:tcW w:type="dxa" w:w="32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유관 사업을 충분히 조사했고(조사 지표 완전 충족), 실제로 연계할 대상이 없었음이 교차검증됨</w:t>
            </w:r>
          </w:p>
        </w:tc>
        <w:tc>
          <w:tcPr>
            <w:tcW w:type="dxa" w:w="238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조율·시너지 지표는 평가 대상에서 제외, 3점</w:t>
            </w:r>
          </w:p>
        </w:tc>
      </w:tr>
      <w:tr>
        <w:trPr>
          <w:tblHeader w:val="false"/>
        </w:trPr>
        <w:tc>
          <w:tcPr>
            <w:tcW w:type="dxa" w:w="24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설계 시 고려는 낮았으나 취약계층이 실제로 개선됨</w:t>
            </w:r>
          </w:p>
        </w:tc>
        <w:tc>
          <w:tcPr>
            <w:tcW w:type="dxa" w:w="155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3.3</w:t>
            </w:r>
          </w:p>
        </w:tc>
        <w:tc>
          <w:tcPr>
            <w:tcW w:type="dxa" w:w="32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집단별 성과 자료에서 취약계층 개선이 확인됨</w:t>
            </w:r>
          </w:p>
        </w:tc>
        <w:tc>
          <w:tcPr>
            <w:tcW w:type="dxa" w:w="238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3점</w:t>
            </w:r>
          </w:p>
        </w:tc>
      </w:tr>
      <w:tr>
        <w:trPr>
          <w:tblHeader w:val="false"/>
        </w:trPr>
        <w:tc>
          <w:tcPr>
            <w:tcW w:type="dxa" w:w="24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평가기간 중 상황변화가 없었음</w:t>
            </w:r>
          </w:p>
        </w:tc>
        <w:tc>
          <w:tcPr>
            <w:tcW w:type="dxa" w:w="155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1.2</w:t>
            </w:r>
          </w:p>
        </w:tc>
        <w:tc>
          <w:tcPr>
            <w:tcW w:type="dxa" w:w="32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유의미한 내·외부 변화가 없었음이 교차검증됨</w:t>
            </w:r>
          </w:p>
        </w:tc>
        <w:tc>
          <w:tcPr>
            <w:tcW w:type="dxa" w:w="238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대응 관련 지표 제외, 최대 3점</w:t>
            </w:r>
          </w:p>
        </w:tc>
      </w:tr>
    </w:tbl>
    <w:p>
      <w:pPr>
        <w:spacing w:after="120"/>
      </w:pPr>
    </w:p>
    <w:p>
      <w:pPr>
        <w:pStyle w:val="Heading2"/>
      </w:pPr>
      <w:r>
        <w:rPr>
          <w:rFonts w:ascii="Malgun Gothic" w:cs="Malgun Gothic" w:eastAsia="Malgun Gothic" w:hAnsi="Malgun Gothic"/>
        </w:rPr>
        <w:t xml:space="preserve">3.7 정량 지표의 산식</w:t>
      </w:r>
    </w:p>
    <w:p>
      <w:pPr>
        <w:spacing w:after="120"/>
      </w:pPr>
      <w:r>
        <w:rPr>
          <w:rFonts w:ascii="Malgun Gothic" w:cs="Malgun Gothic" w:eastAsia="Malgun Gothic" w:hAnsi="Malgun Gothic"/>
          <w:sz w:val="20"/>
          <w:szCs w:val="20"/>
        </w:rPr>
        <w:t xml:space="preserve">산출물·성과 달성률, 예산·기간 비율은 평가자 판단 없이 산식으로 판정합니다.</w:t>
      </w:r>
    </w:p>
    <w:p>
      <w:pPr>
        <w:spacing w:after="120"/>
      </w:pPr>
      <w:r>
        <w:rPr>
          <w:rFonts w:ascii="Malgun Gothic" w:cs="Malgun Gothic" w:eastAsia="Malgun Gothic" w:hAnsi="Malgun Gothic"/>
          <w:b/>
          <w:bCs/>
          <w:sz w:val="20"/>
          <w:szCs w:val="20"/>
        </w:rPr>
        <w:t xml:space="preserve">달성률</w:t>
      </w:r>
      <w:r>
        <w:rPr>
          <w:rFonts w:ascii="Malgun Gothic" w:cs="Malgun Gothic" w:eastAsia="Malgun Gothic" w:hAnsi="Malgun Gothic"/>
          <w:sz w:val="20"/>
          <w:szCs w:val="20"/>
        </w:rPr>
        <w:t xml:space="preserve">: 최종 PDM의 지표별 실적 ÷ 목표를 중요도로 가중 평균합니다. 특정 지표의 초과달성은 120%에서 상한을 두어, 한 지표의 과잉 달성이 다른 지표의 미달을 가리지 못하게 합니다. 낮을수록 좋은 지표(유병률 등)는 방향을 뒤집어 계산합니다. 100% 이상 완전 충족, 75% 이상 상당 부분, 50% 이상 초기 단계, 50% 미만 부정으로 판정합니다. 중요도가 높은 핵심 지표는 평균과 별도로 개별 확인하며, 하나라도 100% 미만이면 3.1은 최대 3점입니다.</w:t>
      </w:r>
    </w:p>
    <w:p>
      <w:pPr>
        <w:spacing w:after="120"/>
      </w:pPr>
      <w:r>
        <w:rPr>
          <w:rFonts w:ascii="Malgun Gothic" w:cs="Malgun Gothic" w:eastAsia="Malgun Gothic" w:hAnsi="Malgun Gothic"/>
          <w:b/>
          <w:bCs/>
          <w:sz w:val="20"/>
          <w:szCs w:val="20"/>
        </w:rPr>
        <w:t xml:space="preserve">예산·기간 비율</w:t>
      </w:r>
      <w:r>
        <w:rPr>
          <w:rFonts w:ascii="Malgun Gothic" w:cs="Malgun Gothic" w:eastAsia="Malgun Gothic" w:hAnsi="Malgun Gothic"/>
          <w:sz w:val="20"/>
          <w:szCs w:val="20"/>
        </w:rPr>
        <w:t xml:space="preserve">: 당초 승인 계획 대비 실제 비율을 구하고, 증액·연장 사유의 타당성과 함께 아래 표로 판정합니다.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592"/>
        <w:gridCol w:w="2470"/>
        <w:gridCol w:w="2045"/>
        <w:gridCol w:w="2531"/>
      </w:tblGrid>
      <w:tr>
        <w:trPr>
          <w:tblHeader/>
        </w:trPr>
        <w:tc>
          <w:tcPr>
            <w:tcW w:type="dxa" w:w="259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비율</w:t>
            </w:r>
          </w:p>
        </w:tc>
        <w:tc>
          <w:tcPr>
            <w:tcW w:type="dxa" w:w="247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사유가 충분히 검증됨</w:t>
            </w:r>
          </w:p>
        </w:tc>
        <w:tc>
          <w:tcPr>
            <w:tcW w:type="dxa" w:w="204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사유가 서술 수준</w:t>
            </w:r>
          </w:p>
        </w:tc>
        <w:tc>
          <w:tcPr>
            <w:tcW w:type="dxa" w:w="253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사유 없음 또는 수행기관 귀책</w:t>
            </w:r>
          </w:p>
        </w:tc>
      </w:tr>
      <w:tr>
        <w:trPr>
          <w:tblHeader w:val="false"/>
        </w:trPr>
        <w:tc>
          <w:tcPr>
            <w:tcW w:type="dxa" w:w="259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100% 이하</w:t>
            </w:r>
          </w:p>
        </w:tc>
        <w:tc>
          <w:tcPr>
            <w:tcW w:type="dxa" w:w="247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c>
          <w:tcPr>
            <w:tcW w:type="dxa" w:w="204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c>
          <w:tcPr>
            <w:tcW w:type="dxa" w:w="25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r>
      <w:tr>
        <w:trPr>
          <w:tblHeader w:val="false"/>
        </w:trPr>
        <w:tc>
          <w:tcPr>
            <w:tcW w:type="dxa" w:w="259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100% 초과 ~ 120%</w:t>
            </w:r>
          </w:p>
        </w:tc>
        <w:tc>
          <w:tcPr>
            <w:tcW w:type="dxa" w:w="247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완전 충족</w:t>
            </w:r>
          </w:p>
        </w:tc>
        <w:tc>
          <w:tcPr>
            <w:tcW w:type="dxa" w:w="204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상당 부분</w:t>
            </w:r>
          </w:p>
        </w:tc>
        <w:tc>
          <w:tcPr>
            <w:tcW w:type="dxa" w:w="25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초기 단계</w:t>
            </w:r>
          </w:p>
        </w:tc>
      </w:tr>
      <w:tr>
        <w:trPr>
          <w:tblHeader w:val="false"/>
        </w:trPr>
        <w:tc>
          <w:tcPr>
            <w:tcW w:type="dxa" w:w="259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120% 초과 ~ 150% 미만</w:t>
            </w:r>
          </w:p>
        </w:tc>
        <w:tc>
          <w:tcPr>
            <w:tcW w:type="dxa" w:w="247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상당 부분</w:t>
            </w:r>
          </w:p>
        </w:tc>
        <w:tc>
          <w:tcPr>
            <w:tcW w:type="dxa" w:w="204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초기 단계</w:t>
            </w:r>
          </w:p>
        </w:tc>
        <w:tc>
          <w:tcPr>
            <w:tcW w:type="dxa" w:w="25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부정(0)</w:t>
            </w:r>
          </w:p>
        </w:tc>
      </w:tr>
      <w:tr>
        <w:trPr>
          <w:tblHeader w:val="false"/>
        </w:trPr>
        <w:tc>
          <w:tcPr>
            <w:tcW w:type="dxa" w:w="259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150% 이상</w:t>
            </w:r>
          </w:p>
        </w:tc>
        <w:tc>
          <w:tcPr>
            <w:tcW w:type="dxa" w:w="247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초기 단계 (→ 최대 2점)</w:t>
            </w:r>
          </w:p>
        </w:tc>
        <w:tc>
          <w:tcPr>
            <w:tcW w:type="dxa" w:w="204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부정 (→ 1점)</w:t>
            </w:r>
          </w:p>
        </w:tc>
        <w:tc>
          <w:tcPr>
            <w:tcW w:type="dxa" w:w="25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부정 (→ 1점)</w:t>
            </w:r>
          </w:p>
        </w:tc>
      </w:tr>
    </w:tbl>
    <w:p>
      <w:pPr>
        <w:spacing w:after="120"/>
      </w:pPr>
    </w:p>
    <w:p>
      <w:pPr>
        <w:spacing w:after="120"/>
      </w:pPr>
      <w:r>
        <w:rPr>
          <w:rFonts w:ascii="Malgun Gothic" w:cs="Malgun Gothic" w:eastAsia="Malgun Gothic" w:hAnsi="Malgun Gothic"/>
          <w:sz w:val="20"/>
          <w:szCs w:val="20"/>
        </w:rPr>
        <w:t xml:space="preserve">이 표는 KOICA 4.1의 1점("타당한 사유 없이 150% 이상"), 2점("150% 이상이나 불가피성 일부 인정"), 3점("150% 미만 소폭 조정, 불가피성 인정") 문장을 격자로 옮긴 것입니다.</w:t>
      </w:r>
    </w:p>
    <w:p>
      <w:pPr>
        <w:pStyle w:val="Heading1"/>
      </w:pPr>
      <w:r>
        <w:rPr>
          <w:rFonts w:ascii="Malgun Gothic" w:cs="Malgun Gothic" w:eastAsia="Malgun Gothic" w:hAnsi="Malgun Gothic"/>
        </w:rPr>
        <w:t xml:space="preserve">4. 이 체계의 근거</w:t>
      </w:r>
    </w:p>
    <w:p>
      <w:pPr>
        <w:pStyle w:val="Heading2"/>
      </w:pPr>
      <w:r>
        <w:rPr>
          <w:rFonts w:ascii="Malgun Gothic" w:cs="Malgun Gothic" w:eastAsia="Malgun Gothic" w:hAnsi="Malgun Gothic"/>
        </w:rPr>
        <w:t xml:space="preserve">4.1 OECD DAC 평가기준</w:t>
      </w:r>
    </w:p>
    <w:p>
      <w:pPr>
        <w:spacing w:after="120"/>
      </w:pPr>
      <w:r>
        <w:rPr>
          <w:rFonts w:ascii="Malgun Gothic" w:cs="Malgun Gothic" w:eastAsia="Malgun Gothic" w:hAnsi="Malgun Gothic"/>
          <w:sz w:val="20"/>
          <w:szCs w:val="20"/>
        </w:rPr>
        <w:t xml:space="preserve">OECD 개발원조위원회(DAC)는 2019년 개정 평가기준에서 적절성·일관성·효과성·효율성·영향력·지속가능성 여섯 기준을 정의하고, 기준을 기계적으로 적용하기보다 맥락에 맞게 "사려 깊게" 적용할 것을 권고했습니다(OECD, *Applying Evaluation Criteria Thoughtfully*, 2021). 이 체계의 세부 지표는 각 기준의 DAC 정의에서 직접 도출했습니다.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881"/>
        <w:gridCol w:w="3838"/>
        <w:gridCol w:w="3919"/>
      </w:tblGrid>
      <w:tr>
        <w:trPr>
          <w:tblHeader/>
        </w:trPr>
        <w:tc>
          <w:tcPr>
            <w:tcW w:type="dxa" w:w="188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DAC 기준</w:t>
            </w:r>
          </w:p>
        </w:tc>
        <w:tc>
          <w:tcPr>
            <w:tcW w:type="dxa" w:w="383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DAC 정의의 핵심 요소</w:t>
            </w:r>
          </w:p>
        </w:tc>
        <w:tc>
          <w:tcPr>
            <w:tcW w:type="dxa" w:w="391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반영</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적절성</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수혜자·국가·기관의 수요와 우선순위 부합, 상황변화에 따른 적응</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1.1의 수요분석·참여·추적성 지표, 1.2의 감지·분석·대응·실행 지표</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일관성</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내적(자국 정부·기관 간) 및 외적(타 주체와의) 조화, 국제규범 준수</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2.1·2.2의 사전 조사·조율 체계·중복 방지·시너지 지표</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효과성</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목표 달성 정도, 집단 간 차등 결과</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3.1·3.2의 달성률·품질·인과성 지표, 3.3의 형평성 지표</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효율성</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경제적·시의적절한 자원 활용, 운영 효율</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4.1의 비율·단위비용·벤치마크 지표, 4.2의 자원배분·순서·시너지 지표</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지속가능성</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재정·경제·사회·제도·환경 측면의 편익 지속 능력</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5.1의 예산·인력·위기대응 지표, 5.2의 제도화·통합·수용성 지표</w:t>
            </w:r>
          </w:p>
        </w:tc>
      </w:tr>
      <w:tr>
        <w:trPr>
          <w:tblHeader w:val="false"/>
        </w:trPr>
        <w:tc>
          <w:tcPr>
            <w:tcW w:type="dxa" w:w="188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영향력</w:t>
            </w:r>
          </w:p>
        </w:tc>
        <w:tc>
          <w:tcPr>
            <w:tcW w:type="dxa" w:w="383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상위 수준의 중요하고 광범위한 변화, 의도하지 않은 효과</w:t>
            </w:r>
          </w:p>
        </w:tc>
        <w:tc>
          <w:tcPr>
            <w:tcW w:type="dxa" w:w="39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영향력 모듈의 변화 크기·기여도·비의도 효과 지표</w:t>
            </w:r>
          </w:p>
        </w:tc>
      </w:tr>
    </w:tbl>
    <w:p>
      <w:pPr>
        <w:spacing w:after="120"/>
      </w:pPr>
    </w:p>
    <w:p>
      <w:pPr>
        <w:spacing w:after="120"/>
      </w:pPr>
      <w:r>
        <w:rPr>
          <w:rFonts w:ascii="Malgun Gothic" w:cs="Malgun Gothic" w:eastAsia="Malgun Gothic" w:hAnsi="Malgun Gothic"/>
          <w:sz w:val="20"/>
          <w:szCs w:val="20"/>
        </w:rPr>
        <w:t xml:space="preserve">DAC 기준 문서가 "사려 깊은 적용"을 강조하는 것과 세부 지표로 잘게 나누는 것은 모순되지 않습니다. 세부 지표는 무엇을 볼지를 정하고, 평가자는 각 사업의 맥락에서 그것이 확인되는지를 판단합니다. 사업의 특수성은 예외 사유(3.6)와 평가자 재량 수정(6장)으로 반영됩니다.</w:t>
      </w:r>
    </w:p>
    <w:p>
      <w:pPr>
        <w:pStyle w:val="Heading2"/>
      </w:pPr>
      <w:r>
        <w:rPr>
          <w:rFonts w:ascii="Malgun Gothic" w:cs="Malgun Gothic" w:eastAsia="Malgun Gothic" w:hAnsi="Malgun Gothic"/>
        </w:rPr>
        <w:t xml:space="preserve">4.2 KOICA 종료평가 등급표</w:t>
      </w:r>
    </w:p>
    <w:p>
      <w:pPr>
        <w:spacing w:after="120"/>
      </w:pPr>
      <w:r>
        <w:rPr>
          <w:rFonts w:ascii="Malgun Gothic" w:cs="Malgun Gothic" w:eastAsia="Malgun Gothic" w:hAnsi="Malgun Gothic"/>
          <w:sz w:val="20"/>
          <w:szCs w:val="20"/>
        </w:rPr>
        <w:t xml:space="preserve">11개 질문과 1~4점의 공식 문장, 기준별·총점 산식은 KOICA 종료평가 등급표(5-2 양식)를 그대로 따릅니다. 이 체계가 추가한 것은 각 점수 문장을 세부 지표 조건으로 옮긴 대응표뿐이며, 5장에 질문별로 공식 문장과 대응 조건을 나란히 적었습니다. 평가기관이 대응표의 타당성을 검토하고 승인하면 그 버전이 고정되고, 이후 변경은 위원회 절차를 거칩니다.</w:t>
      </w:r>
    </w:p>
    <w:p>
      <w:pPr>
        <w:pStyle w:val="Heading2"/>
      </w:pPr>
      <w:r>
        <w:rPr>
          <w:rFonts w:ascii="Malgun Gothic" w:cs="Malgun Gothic" w:eastAsia="Malgun Gothic" w:hAnsi="Malgun Gothic"/>
        </w:rPr>
        <w:t xml:space="preserve">4.3 평가 방법론의 확립된 원칙</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990"/>
        <w:gridCol w:w="4602"/>
        <w:gridCol w:w="3046"/>
      </w:tblGrid>
      <w:tr>
        <w:trPr>
          <w:tblHeader/>
        </w:trPr>
        <w:tc>
          <w:tcPr>
            <w:tcW w:type="dxa" w:w="199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원칙</w:t>
            </w:r>
          </w:p>
        </w:tc>
        <w:tc>
          <w:tcPr>
            <w:tcW w:type="dxa" w:w="460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내용</w:t>
            </w:r>
          </w:p>
        </w:tc>
        <w:tc>
          <w:tcPr>
            <w:tcW w:type="dxa" w:w="304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반영</w:t>
            </w:r>
          </w:p>
        </w:tc>
      </w:tr>
      <w:tr>
        <w:trPr>
          <w:tblHeader w:val="false"/>
        </w:trPr>
        <w:tc>
          <w:tcPr>
            <w:tcW w:type="dxa" w:w="199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행동 기준 척도</w:t>
            </w:r>
          </w:p>
        </w:tc>
        <w:tc>
          <w:tcPr>
            <w:tcW w:type="dxa" w:w="460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정도 부사 대신 관찰 가능한 행동·산출물로 각 단계를 정의하면 평가자 간 일치도가 높아진다는 것은 인사평가·교육평가 분야에서 오래 확인된 사실</w:t>
            </w:r>
          </w:p>
        </w:tc>
        <w:tc>
          <w:tcPr>
            <w:tcW w:type="dxa" w:w="30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3.1의 4단계 판정 문장</w:t>
            </w:r>
          </w:p>
        </w:tc>
      </w:tr>
      <w:tr>
        <w:trPr>
          <w:tblHeader w:val="false"/>
        </w:trPr>
        <w:tc>
          <w:tcPr>
            <w:tcW w:type="dxa" w:w="199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삼각검증</w:t>
            </w:r>
          </w:p>
        </w:tc>
        <w:tc>
          <w:tcPr>
            <w:tcW w:type="dxa" w:w="460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하나의 출처에 의존하지 않고 독립된 출처를 교차 확인</w:t>
            </w:r>
          </w:p>
        </w:tc>
        <w:tc>
          <w:tcPr>
            <w:tcW w:type="dxa" w:w="30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3.3의 근거 등급, 인과성·시너지 지표의 4등급 요구</w:t>
            </w:r>
          </w:p>
        </w:tc>
      </w:tr>
      <w:tr>
        <w:trPr>
          <w:tblHeader w:val="false"/>
        </w:trPr>
        <w:tc>
          <w:tcPr>
            <w:tcW w:type="dxa" w:w="199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기여도 분석</w:t>
            </w:r>
          </w:p>
        </w:tc>
        <w:tc>
          <w:tcPr>
            <w:tcW w:type="dxa" w:w="460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사업이 변화를 "만들었다"는 주장은 대안 설명(외부 요인)을 검토한 뒤에만 인정</w:t>
            </w:r>
          </w:p>
        </w:tc>
        <w:tc>
          <w:tcPr>
            <w:tcW w:type="dxa" w:w="30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3.2·영향력의 '사업 기여도' 지표</w:t>
            </w:r>
          </w:p>
        </w:tc>
      </w:tr>
      <w:tr>
        <w:trPr>
          <w:tblHeader w:val="false"/>
        </w:trPr>
        <w:tc>
          <w:tcPr>
            <w:tcW w:type="dxa" w:w="199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입증 책임의 비대칭</w:t>
            </w:r>
          </w:p>
        </w:tc>
        <w:tc>
          <w:tcPr>
            <w:tcW w:type="dxa" w:w="460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최고 등급은 사업 측이 입증하고, 최저 등급은 부정적 사실이 확인되어야 함</w:t>
            </w:r>
          </w:p>
        </w:tc>
        <w:tc>
          <w:tcPr>
            <w:tcW w:type="dxa" w:w="30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미확인 항목은 4점을 막지만 1점을 만들지 않음</w:t>
            </w:r>
          </w:p>
        </w:tc>
      </w:tr>
      <w:tr>
        <w:trPr>
          <w:tblHeader w:val="false"/>
        </w:trPr>
        <w:tc>
          <w:tcPr>
            <w:tcW w:type="dxa" w:w="199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형평성 렌즈</w:t>
            </w:r>
          </w:p>
        </w:tc>
        <w:tc>
          <w:tcPr>
            <w:tcW w:type="dxa" w:w="460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집계 성과가 좋아도 취약집단의 결과가 다를 수 있으므로 분리 데이터가 없으면 형평성을 판단할 수 없음</w:t>
            </w:r>
          </w:p>
        </w:tc>
        <w:tc>
          <w:tcPr>
            <w:tcW w:type="dxa" w:w="304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3.3의 분리 데이터 상한 규칙</w:t>
            </w:r>
          </w:p>
        </w:tc>
      </w:tr>
    </w:tbl>
    <w:p>
      <w:pPr>
        <w:spacing w:after="120"/>
      </w:pPr>
    </w:p>
    <w:p>
      <w:pPr>
        <w:pStyle w:val="Heading1"/>
      </w:pPr>
      <w:r>
        <w:rPr>
          <w:rFonts w:ascii="Malgun Gothic" w:cs="Malgun Gothic" w:eastAsia="Malgun Gothic" w:hAnsi="Malgun Gothic"/>
        </w:rPr>
        <w:t xml:space="preserve">5. 평가기준별 상세</w:t>
      </w:r>
    </w:p>
    <w:p>
      <w:pPr>
        <w:spacing w:after="120"/>
      </w:pPr>
      <w:r>
        <w:rPr>
          <w:rFonts w:ascii="Malgun Gothic" w:cs="Malgun Gothic" w:eastAsia="Malgun Gothic" w:hAnsi="Malgun Gothic"/>
          <w:sz w:val="20"/>
          <w:szCs w:val="20"/>
        </w:rPr>
        <w:t xml:space="preserve">각 질문마다 (1) 이 질문이 실제로 묻는 것, (2) 확인하는 세부 지표, (3) KOICA 공식 점수 문장과 이 체계의 판정 조건 대응표, (4) 특별 규칙을 설명합니다. 세부 지표 표의 '가중치'는 종합 지수 계산 시 비중(질문 내 합계 100), ● 표시는 필수 조건 또는 3점 요건에 관여하는 핵심 지표입니다.</w:t>
      </w:r>
    </w:p>
    <w:p>
      <w:pPr>
        <w:pStyle w:val="Heading2"/>
      </w:pPr>
      <w:r>
        <w:rPr>
          <w:rFonts w:ascii="Malgun Gothic" w:cs="Malgun Gothic" w:eastAsia="Malgun Gothic" w:hAnsi="Malgun Gothic"/>
        </w:rPr>
        <w:t xml:space="preserve">1.1 적절성 — 사업은 이해관계자의 수요와 우선순위를 반영하여 설계되었는가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사업이 한국 정부, 수원국 정부, 수원기관, 그리고 실제 수혜자가 원하는 것을 근거를 갖고 파악한 뒤 그에 맞게 설계되었는가. 정책 문서와 부합한다는 것만으로는 부족하고, 현장 수요를 조사하고 그 결과가 설계에 실제로 반영되었는지를 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27"/>
        <w:gridCol w:w="3049"/>
        <w:gridCol w:w="3862"/>
      </w:tblGrid>
      <w:tr>
        <w:trPr>
          <w:tblHeader/>
        </w:trPr>
        <w:tc>
          <w:tcPr>
            <w:tcW w:type="dxa" w:w="272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04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86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한국정부·KOICA 전략 부합성 (10)</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CPS·기관 전략과 사업 목표의 연결</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전략 목표와 사업 구성요소의 매핑이 문서화되고 심사·승인 기록으로 확인</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수원국 정책 부합성 (10)</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국가·분야 전략과의 연결</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수원국 정부의 공식 요청서·승인문서에 사업 우선순위가 명시</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대상지역 문제의 객관적 근거 (15) ●</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해결하려는 문제의 규모와 원인이 데이터로 뒷받침되는가</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기초선 조사로 문제 규모·원인이 지역·집단 단위로 검증되고 원자료·방법이 제시</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수혜자 수요·우선순위 분석 (20) ●</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수혜자에게 직접 물었는가</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표본·방법이 명시된 수요조사의 원자료와 우선순위 도출 과정이 확인되고 취약집단이 표본에 포함</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수원기관·파트너 우선순위 (10)</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수원기관의 공식 입장 반영</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수원기관이 대상지·구성요소 등 설계 결정에 공식 참여한 기록</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 이해관계자 실질 참여 (10) ●</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참석이 아니라 결정에 참여했는가</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 의견이 설계 변경으로 이어진 기록(변경 전후 비교)</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문제나무·변화이론 분석 (15) ●</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문제의 원인과 개입 경로가 논리적으로 분석되었는가</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문제나무–변화이론–PDM이 서로 정합하고 원인·경로별 근거와 가정이 기재</w:t>
            </w:r>
          </w:p>
        </w:tc>
      </w:tr>
      <w:tr>
        <w:trPr>
          <w:tblHeader w:val="false"/>
        </w:trPr>
        <w:tc>
          <w:tcPr>
            <w:tcW w:type="dxa" w:w="272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수요→설계 추적성 (10) ●</w:t>
            </w:r>
          </w:p>
        </w:tc>
        <w:tc>
          <w:tcPr>
            <w:tcW w:type="dxa" w:w="30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파악된 수요가 실제 활동으로 연결되었는가</w:t>
            </w:r>
          </w:p>
        </w:tc>
        <w:tc>
          <w:tcPr>
            <w:tcW w:type="dxa" w:w="386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추적표 등으로 주요 수요 전부가 활동·산출·지표에 연결</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288"/>
        <w:gridCol w:w="4149"/>
        <w:gridCol w:w="4201"/>
      </w:tblGrid>
      <w:tr>
        <w:trPr>
          <w:tblHeader/>
        </w:trPr>
        <w:tc>
          <w:tcPr>
            <w:tcW w:type="dxa" w:w="128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414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20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28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41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3점 조건 + 현지 이해관계자의 적극적 참여 아래 문제나무·변화이론 등 구체적 분석으로 당면과제·수요가 충분히 검증·반영됨</w:t>
            </w:r>
          </w:p>
        </w:tc>
        <w:tc>
          <w:tcPr>
            <w:tcW w:type="dxa" w:w="42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수혜자 수요분석·현지 참여·문제나무/변화이론·추적성 네 지표 모두 완전 충족, 종합 지수 80 이상, 근거 확보율 85% 이상</w:t>
            </w:r>
          </w:p>
        </w:tc>
      </w:tr>
      <w:tr>
        <w:trPr>
          <w:tblHeader w:val="false"/>
        </w:trPr>
        <w:tc>
          <w:tcPr>
            <w:tcW w:type="dxa" w:w="128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41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수요에 전반적으로 부합하며 지역 이해관계자 수요·우선순위 분석이 이루어짐</w:t>
            </w:r>
          </w:p>
        </w:tc>
        <w:tc>
          <w:tcPr>
            <w:tcW w:type="dxa" w:w="42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한국·수원국 정책 부합성, 문제 근거, 수요분석 지표가 모두 '상당 부분' 이상, 종합 지수 60 이상</w:t>
            </w:r>
          </w:p>
        </w:tc>
      </w:tr>
      <w:tr>
        <w:trPr>
          <w:tblHeader w:val="false"/>
        </w:trPr>
        <w:tc>
          <w:tcPr>
            <w:tcW w:type="dxa" w:w="128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41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일부 부합하나 분석방식이 전반적으로 미흡</w:t>
            </w:r>
          </w:p>
        </w:tc>
        <w:tc>
          <w:tcPr>
            <w:tcW w:type="dxa" w:w="42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40 이상, 또는 3점 요건 미충족</w:t>
            </w:r>
          </w:p>
        </w:tc>
      </w:tr>
      <w:tr>
        <w:trPr>
          <w:tblHeader w:val="false"/>
        </w:trPr>
        <w:tc>
          <w:tcPr>
            <w:tcW w:type="dxa" w:w="128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41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전략·수요·우선순위를 고려하지 않고 설계</w:t>
            </w:r>
          </w:p>
        </w:tc>
        <w:tc>
          <w:tcPr>
            <w:tcW w:type="dxa" w:w="42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수요분석과 현지 참여가 모두 '부정 확인', 또는 종합 지수 40 미만</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정책 문서와의 부합 근거만 있고 수혜자 수요 근거가 전혀 없으면 최대 3점. 수요와 무관한 설계이거나 주요 이해관계자를 배제한 사실이 확인되면 1점.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DAC의 적절성은 "수혜자·기관·국가의 필요와 우선순위에 대한 반응성"입니다. 정책 부합은 필요조건이지만 실제 수요 반영을 보장하지 않으므로, 이 체계는 정책 부합 지표의 비중을 낮추고 수혜자 수요조사와 추적성에 비중을 두었습니다. 4점 조건은 KOICA 문장의 "문제나무, 변화이론" 언급을 그대로 필수 조건으로 옮긴 것입니다.</w:t>
      </w:r>
    </w:p>
    <w:p>
      <w:pPr>
        <w:pStyle w:val="Heading2"/>
      </w:pPr>
      <w:r>
        <w:rPr>
          <w:rFonts w:ascii="Malgun Gothic" w:cs="Malgun Gothic" w:eastAsia="Malgun Gothic" w:hAnsi="Malgun Gothic"/>
        </w:rPr>
        <w:t xml:space="preserve">1.2 적절성 — 내·외부 상황변화에 맞추어 사업설계를 적절히 관리·유지하였는가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 기간 중 정책 변화, 재난, 감염병, 환율, 파트너 교체 등 예상하지 못한 변화가 생겼을 때 이를 제때 감지하고, 영향을 분석해 이해관계자와 공유하고, 현실적인 대안을 실제로 실행하여 성과를 지켰는가.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769"/>
        <w:gridCol w:w="3205"/>
        <w:gridCol w:w="3664"/>
      </w:tblGrid>
      <w:tr>
        <w:trPr>
          <w:tblHeader/>
        </w:trPr>
        <w:tc>
          <w:tcPr>
            <w:tcW w:type="dxa" w:w="276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20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664"/>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상황변화 감지체계 (10)</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변화를 체계적으로 포착했는가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리스크 대장과 등록 기준이 운영되고 이슈가 일자별로 추적</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위험·영향 분석 (15)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변화가 성과에 미칠 영향을 분석했는가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영향분석이 PDM 지표별로 정량화되고 대안별 비교 포함</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대응 적시성 (15)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손실이 나기 전에 움직였는가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대응 결정과 착수가 손실 이전에 완료되었음이 일자별 기록으로 확인</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이해관계자 공유·협의 (10)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책임 주체와 함께 결정했는가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책임 주체의 의견이 반영·승인된 기록</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대안의 현실성 (15)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대안이 예산·일정·역량 안에서 가능한 것이었는가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 비교분석과 승인문서 존재</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대안의 실제 실행 (15)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계획에 그치지 않고 실행했는가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실행 완료 또는 정상 운영 중임이 집행·계약·교육 기록으로 확인</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변경 후 성과 보전 (10) ●</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변경 뒤에도 핵심 성과가 달성되었는가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변경 전후 비교에서 핵심 지표 전부 달성</w:t>
            </w:r>
          </w:p>
        </w:tc>
      </w:tr>
      <w:tr>
        <w:trPr>
          <w:tblHeader w:val="false"/>
        </w:trPr>
        <w:tc>
          <w:tcPr>
            <w:tcW w:type="dxa" w:w="276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목표 달성 가능성 유지 (10)</w:t>
            </w:r>
          </w:p>
        </w:tc>
        <w:tc>
          <w:tcPr>
            <w:tcW w:type="dxa" w:w="320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최종 목표로 가는 논리가 살아 있는가</w:t>
            </w:r>
          </w:p>
        </w:tc>
        <w:tc>
          <w:tcPr>
            <w:tcW w:type="dxa" w:w="366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수정된 경로가 근거로 뒷받침되고 외부 검토 또는 데이터로 확인</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79"/>
        <w:gridCol w:w="4176"/>
        <w:gridCol w:w="4083"/>
      </w:tblGrid>
      <w:tr>
        <w:trPr>
          <w:tblHeader/>
        </w:trPr>
        <w:tc>
          <w:tcPr>
            <w:tcW w:type="dxa" w:w="137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417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08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3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417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적기 대응 + 위기·영향 분석과 공유 + 실현가능한 대안 실천 + 성과지표 달성 + 목표 달성 가능성 높음</w:t>
            </w:r>
          </w:p>
        </w:tc>
        <w:tc>
          <w:tcPr>
            <w:tcW w:type="dxa" w:w="40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영향 분석·적시성·공유·대안 현실성·실행·성과 보전 여섯 지표 모두 완전 충족, 종합 지수 80 이상</w:t>
            </w:r>
          </w:p>
        </w:tc>
      </w:tr>
      <w:tr>
        <w:trPr>
          <w:tblHeader w:val="false"/>
        </w:trPr>
        <w:tc>
          <w:tcPr>
            <w:tcW w:type="dxa" w:w="13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417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위 조건 충족했으나 성과목표 일부만 달성</w:t>
            </w:r>
          </w:p>
        </w:tc>
        <w:tc>
          <w:tcPr>
            <w:tcW w:type="dxa" w:w="40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영향 분석·적시성·공유·현실성·실행 다섯 지표가 '상당 부분' 이상, 종합 지수 60 이상</w:t>
            </w:r>
          </w:p>
        </w:tc>
      </w:tr>
      <w:tr>
        <w:trPr>
          <w:tblHeader w:val="false"/>
        </w:trPr>
        <w:tc>
          <w:tcPr>
            <w:tcW w:type="dxa" w:w="13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417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일부 대응했으나 대안의 실효성 부족으로 중요 산출물·성과 미달</w:t>
            </w:r>
          </w:p>
        </w:tc>
        <w:tc>
          <w:tcPr>
            <w:tcW w:type="dxa" w:w="40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40 이상</w:t>
            </w:r>
          </w:p>
        </w:tc>
      </w:tr>
      <w:tr>
        <w:trPr>
          <w:tblHeader w:val="false"/>
        </w:trPr>
        <w:tc>
          <w:tcPr>
            <w:tcW w:type="dxa" w:w="13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417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적시 대응 실패로 성과에 중대한 영향</w:t>
            </w:r>
          </w:p>
        </w:tc>
        <w:tc>
          <w:tcPr>
            <w:tcW w:type="dxa" w:w="40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대응 적시성과 성과 보전이 모두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회의·계획 변경 기록만 있고 실행이나 성과 보전 근거가 없으면 최대 2점. 평가기간 중 유의미한 상황변화가 없었음이 교차검증되면 대응 관련 지표를 제외하고 최대 3점(변화가 없었던 사업이 4점을 받거나 억울하게 감점되는 것을 모두 방지).</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3점·4점 문장이 △ 세 항목과 성과 조건을 열거하므로 이를 그대로 필수 조건으로 옮겼습니다. 3점과 4점의 차이는 오직 성과 보전 여부입니다.</w:t>
      </w:r>
    </w:p>
    <w:p>
      <w:pPr>
        <w:pStyle w:val="Heading2"/>
      </w:pPr>
      <w:r>
        <w:rPr>
          <w:rFonts w:ascii="Malgun Gothic" w:cs="Malgun Gothic" w:eastAsia="Malgun Gothic" w:hAnsi="Malgun Gothic"/>
        </w:rPr>
        <w:t xml:space="preserve">2.1 일관성 — 한국 정부·국내 타 기관·KOICA 타 사업·국제규범과 조화롭게 추진했는가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같은 지역·분야에서 한국이 하는 다른 사업(KOICA, 타 부처, 지자체, NGO)과 겹치거나 충돌하지 않도록 사전에 파악하고 조율했으며, 국제규범(인권·환경·세이프가드 등)을 지켰는가. 나아가 연계를 통해 시너지를 냈는가.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280"/>
        <w:gridCol w:w="2834"/>
        <w:gridCol w:w="3524"/>
      </w:tblGrid>
      <w:tr>
        <w:trPr>
          <w:tblHeader/>
        </w:trPr>
        <w:tc>
          <w:tcPr>
            <w:tcW w:type="dxa" w:w="328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2834"/>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524"/>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국내·KOICA 유관사업 사전 조사 (15) ●</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겹칠 수 있는 사업을 조사했는가</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 중복검토 결과가 설계에 반영된 기록</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한국정부 정책과 조화 (10)</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정책 목표와의 정합</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정책 매핑표와 상충 검토 기록</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국제규범·세이프가드 준수 (15) ●</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적용되는 규범을 식별하고 지켰는가</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준수 증거와 위반 대응 절차가 독립 점검으로 확인</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중복·충돌 방지 (20) ●</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실제로 겹침을 피했는가</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조정 기록과 그 결과(중복 제거·자원 재배분) 확인</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조율 체계 (15) ●</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정례적으로 협의했는가</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의사결정 경로와 후속조치 이행이 기록으로 확인</w:t>
            </w:r>
          </w:p>
        </w:tc>
      </w:tr>
      <w:tr>
        <w:trPr>
          <w:tblHeader w:val="false"/>
        </w:trPr>
        <w:tc>
          <w:tcPr>
            <w:tcW w:type="dxa" w:w="328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시너지·부가가치 (25) ●</w:t>
            </w:r>
          </w:p>
        </w:tc>
        <w:tc>
          <w:tcPr>
            <w:tcW w:type="dxa" w:w="283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연계로 무엇이 더 좋아졌는가</w:t>
            </w:r>
          </w:p>
        </w:tc>
        <w:tc>
          <w:tcPr>
            <w:tcW w:type="dxa" w:w="35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공동성과·비용절감·범위확대 중 하나 이상이 데이터로 검증</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03"/>
        <w:gridCol w:w="4032"/>
        <w:gridCol w:w="4303"/>
      </w:tblGrid>
      <w:tr>
        <w:trPr>
          <w:tblHeader/>
        </w:trPr>
        <w:tc>
          <w:tcPr>
            <w:tcW w:type="dxa" w:w="130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403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30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403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기획단계부터 상호보완성 인지, 구체적 조율·연계로 시너지 확인</w:t>
            </w:r>
          </w:p>
        </w:tc>
        <w:tc>
          <w:tcPr>
            <w:tcW w:type="dxa" w:w="4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사전 조사·중복 방지·조율 체계·시너지 네 지표 모두 완전 충족, 종합 지수 80 이상</w:t>
            </w:r>
          </w:p>
        </w:tc>
      </w:tr>
      <w:tr>
        <w:trPr>
          <w:tblHeader w:val="false"/>
        </w:trPr>
        <w:tc>
          <w:tcPr>
            <w:tcW w:type="dxa" w:w="1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403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추진 과정의 협의·조정으로 일부 반영 또는 구체 계획 확인 / 충분히 검토했으나 연계 가능 사업 부재(교차검증)</w:t>
            </w:r>
          </w:p>
        </w:tc>
        <w:tc>
          <w:tcPr>
            <w:tcW w:type="dxa" w:w="4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사전 조사·조율 체계·중복 방지가 '상당 부분' 이상, 종합 지수 55 이상 </w:t>
            </w:r>
            <w:r>
              <w:rPr>
                <w:rFonts w:ascii="Malgun Gothic" w:cs="Malgun Gothic" w:eastAsia="Malgun Gothic" w:hAnsi="Malgun Gothic"/>
                <w:sz w:val="18"/>
                <w:szCs w:val="18"/>
              </w:rPr>
              <w:t xml:space="preserve">또는</w:t>
            </w:r>
            <w:r>
              <w:rPr>
                <w:rFonts w:ascii="Malgun Gothic" w:cs="Malgun Gothic" w:eastAsia="Malgun Gothic" w:hAnsi="Malgun Gothic"/>
                <w:sz w:val="18"/>
                <w:szCs w:val="18"/>
              </w:rPr>
              <w:t xml:space="preserve"> 예외 사유 '연계 가능 사업 없음' 적용</w:t>
            </w:r>
          </w:p>
        </w:tc>
      </w:tr>
      <w:tr>
        <w:trPr>
          <w:tblHeader w:val="false"/>
        </w:trPr>
        <w:tc>
          <w:tcPr>
            <w:tcW w:type="dxa" w:w="1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403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타 개입 인지했으나 연계 시도 미확인 / 연계 의지만 있고 계획 없음</w:t>
            </w:r>
          </w:p>
        </w:tc>
        <w:tc>
          <w:tcPr>
            <w:tcW w:type="dxa" w:w="4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35 이상</w:t>
            </w:r>
          </w:p>
        </w:tc>
      </w:tr>
      <w:tr>
        <w:trPr>
          <w:tblHeader w:val="false"/>
        </w:trPr>
        <w:tc>
          <w:tcPr>
            <w:tcW w:type="dxa" w:w="1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403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파악·논의 미비로 중복·충돌 발생, 성과 영향</w:t>
            </w:r>
          </w:p>
        </w:tc>
        <w:tc>
          <w:tcPr>
            <w:tcW w:type="dxa" w:w="430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중복·충돌 방치 또는 국제규범 위반이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정책 부합 근거만 있고 실제 조율·부가가치 근거가 없으면 최대 3점. 연계 의지만 있고 구체 계획·조치가 없으면 최대 2점.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KOICA의 2점·3점 문장은 선택 조항으로 되어 있어 평가자마다 적용이 달랐던 대표적 질문입니다. "연계 가능한 사업이 없었다"는 사유는 수행기관이 주장하기 쉬우므로 사전 조사 지표의 완전 충족과 품질검토자의 교차검증을 조건으로 걸었습니다. 시너지 지표에 가장 큰 비중을 둔 것은 4점 문장이 시너지 확인을 요구하기 때문입니다.</w:t>
      </w:r>
    </w:p>
    <w:p>
      <w:pPr>
        <w:pStyle w:val="Heading2"/>
      </w:pPr>
      <w:r>
        <w:rPr>
          <w:rFonts w:ascii="Malgun Gothic" w:cs="Malgun Gothic" w:eastAsia="Malgun Gothic" w:hAnsi="Malgun Gothic"/>
        </w:rPr>
        <w:t xml:space="preserve">2.2 일관성 — 타 공여기관·민간·수원국 정부의 개입과 조율했는가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2.1과 같은 논리를 한국 밖의 주체(다른 공여국·국제기구·민간·수원국 정부 자체 사업)에 적용합니다. 수원국이 조율을 주도했는지도 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113"/>
        <w:gridCol w:w="3058"/>
        <w:gridCol w:w="3467"/>
      </w:tblGrid>
      <w:tr>
        <w:trPr>
          <w:tblHeader/>
        </w:trPr>
        <w:tc>
          <w:tcPr>
            <w:tcW w:type="dxa" w:w="311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05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46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타 공여·정부·민간 개입 조사 (15) ●</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같은 지역·분야의 다른 개입을 파악했는가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 매핑 결과가 설계·대상 선정에 반영</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조율 메커니즘 (20) ●</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공식 조율 창구가 작동했는가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MoU·워킹그룹 등 공식 조율체계의 결정사항이 이행</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기관별 역할분담 (15) ●</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누가 무엇을 맡는지 정했는가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RACI·업무분장이 공식화되고 실제 이행 확인</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중복·충돌 방지 (15) ●</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대상·활동·예산이 겹치지 않았는가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조정 결과가 데이터(대상 분리·예산 조정)로 확인</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공동성과·시너지 (25) ●</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함께 해서 더 좋아진 것이 있는가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공동성과·확산·비용절감이 공동 보고 또는 데이터로 검증</w:t>
            </w:r>
          </w:p>
        </w:tc>
      </w:tr>
      <w:tr>
        <w:trPr>
          <w:tblHeader w:val="false"/>
        </w:trPr>
        <w:tc>
          <w:tcPr>
            <w:tcW w:type="dxa" w:w="311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수원국 주도성 (10)</w:t>
            </w:r>
          </w:p>
        </w:tc>
        <w:tc>
          <w:tcPr>
            <w:tcW w:type="dxa" w:w="30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수원국이 조율을 이끌었는가</w:t>
            </w:r>
          </w:p>
        </w:tc>
        <w:tc>
          <w:tcPr>
            <w:tcW w:type="dxa" w:w="346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수원국이 조율·자원배분을 주도하고 승인한 기록</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59"/>
        <w:gridCol w:w="3823"/>
        <w:gridCol w:w="4356"/>
      </w:tblGrid>
      <w:tr>
        <w:trPr>
          <w:tblHeader/>
        </w:trPr>
        <w:tc>
          <w:tcPr>
            <w:tcW w:type="dxa" w:w="145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82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35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4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82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기획단계부터 상호보완성 인지, 조율·연계로 시너지 확인</w:t>
            </w:r>
          </w:p>
        </w:tc>
        <w:tc>
          <w:tcPr>
            <w:tcW w:type="dxa" w:w="435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조사·조율 메커니즘·역할분담·공동성과 네 지표 모두 완전 충족, 종합 지수 80 이상</w:t>
            </w:r>
          </w:p>
        </w:tc>
      </w:tr>
      <w:tr>
        <w:trPr>
          <w:tblHeader w:val="false"/>
        </w:trPr>
        <w:tc>
          <w:tcPr>
            <w:tcW w:type="dxa" w:w="14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82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협의·조정으로 일부 반영 또는 계획 확인 / 연계 가능 개입 부재(교차검증)</w:t>
            </w:r>
          </w:p>
        </w:tc>
        <w:tc>
          <w:tcPr>
            <w:tcW w:type="dxa" w:w="435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조사·조율 메커니즘·중복 방지가 '상당 부분' 이상, 종합 지수 55 이상 </w:t>
            </w:r>
            <w:r>
              <w:rPr>
                <w:rFonts w:ascii="Malgun Gothic" w:cs="Malgun Gothic" w:eastAsia="Malgun Gothic" w:hAnsi="Malgun Gothic"/>
                <w:sz w:val="18"/>
                <w:szCs w:val="18"/>
              </w:rPr>
              <w:t xml:space="preserve">또는</w:t>
            </w:r>
            <w:r>
              <w:rPr>
                <w:rFonts w:ascii="Malgun Gothic" w:cs="Malgun Gothic" w:eastAsia="Malgun Gothic" w:hAnsi="Malgun Gothic"/>
                <w:sz w:val="18"/>
                <w:szCs w:val="18"/>
              </w:rPr>
              <w:t xml:space="preserve"> 예외 사유 적용</w:t>
            </w:r>
          </w:p>
        </w:tc>
      </w:tr>
      <w:tr>
        <w:trPr>
          <w:tblHeader w:val="false"/>
        </w:trPr>
        <w:tc>
          <w:tcPr>
            <w:tcW w:type="dxa" w:w="14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82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인지했으나 연계 시도 미확인 / 의지만 확인</w:t>
            </w:r>
          </w:p>
        </w:tc>
        <w:tc>
          <w:tcPr>
            <w:tcW w:type="dxa" w:w="435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35 이상</w:t>
            </w:r>
          </w:p>
        </w:tc>
      </w:tr>
      <w:tr>
        <w:trPr>
          <w:tblHeader w:val="false"/>
        </w:trPr>
        <w:tc>
          <w:tcPr>
            <w:tcW w:type="dxa" w:w="145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82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중복·충돌 발생 / 국제규범 명백한 위반</w:t>
            </w:r>
          </w:p>
        </w:tc>
        <w:tc>
          <w:tcPr>
            <w:tcW w:type="dxa" w:w="435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중복·충돌 방치가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공동성과가 확인되지 않으면 최대 3점. 단순 회의 참석과 의지 표명만 확인되면 최대 2점.</w:t>
      </w:r>
    </w:p>
    <w:p>
      <w:pPr>
        <w:pStyle w:val="Heading2"/>
      </w:pPr>
      <w:r>
        <w:rPr>
          <w:rFonts w:ascii="Malgun Gothic" w:cs="Malgun Gothic" w:eastAsia="Malgun Gothic" w:hAnsi="Malgun Gothic"/>
        </w:rPr>
        <w:t xml:space="preserve">3.1 효과성 — 직접적·일차적 산출물(output)을 계획대로 달성하였는가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건물·장비·교육·시스템 등 사업이 직접 만들기로 한 것을 계획한 수량·품질·범위로 만들었는가. 수량이 채워졌더라도 품질이 낮거나 쓸 수 없는 상태면 달성으로 보지 않습니다.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83"/>
        <w:gridCol w:w="2983"/>
        <w:gridCol w:w="3672"/>
      </w:tblGrid>
      <w:tr>
        <w:trPr>
          <w:tblHeader/>
        </w:trPr>
        <w:tc>
          <w:tcPr>
            <w:tcW w:type="dxa" w:w="298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298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67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중요도 가중 산출물 달성률 (35) ●</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최종 PDM 산출물 지표의 실적/목표</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가중 달성률 100% 이상(지표별 120% 상한), 원자료 확인</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산출물 품질 (20) ●</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만든 것이 쓸 만한가</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독립 검수 또는 사용자 검증에서 '우수·적합' 확인</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목표 수량·범위 (15) ●</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계획한 지역·대상을 다 포함했는가</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계획된 지역·수량·범위 전부 이행이 완료계·인수증으로 확인</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일정 준수 (10)</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제때 완료했는가</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당초 계획 일정 내 완료</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활용 가능성 (10)</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인수인계되어 쓰이고 있는가</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사용 기록 또는 운영 개시 확인</w:t>
            </w:r>
          </w:p>
        </w:tc>
      </w:tr>
      <w:tr>
        <w:trPr>
          <w:tblHeader w:val="false"/>
        </w:trPr>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산출물 실패 여부 (10) ●</w:t>
            </w:r>
          </w:p>
        </w:tc>
        <w:tc>
          <w:tcPr>
            <w:tcW w:type="dxa" w:w="298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가장 중요한 산출물이 무너지지 않았는가</w:t>
            </w:r>
          </w:p>
        </w:tc>
        <w:tc>
          <w:tcPr>
            <w:tcW w:type="dxa" w:w="367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산출물 전부 100% 이상</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26"/>
        <w:gridCol w:w="3957"/>
        <w:gridCol w:w="4155"/>
      </w:tblGrid>
      <w:tr>
        <w:trPr>
          <w:tblHeader/>
        </w:trPr>
        <w:tc>
          <w:tcPr>
            <w:tcW w:type="dxa" w:w="152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95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15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52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95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모든 산출물 100% 이상, 품질 우수, 중장기 성과 기여 가능성 높음</w:t>
            </w:r>
          </w:p>
        </w:tc>
        <w:tc>
          <w:tcPr>
            <w:tcW w:type="dxa" w:w="41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달성률·품질·핵심 산출물 세 지표 모두 완전 충족, 종합 지수 80 이상</w:t>
            </w:r>
          </w:p>
        </w:tc>
      </w:tr>
      <w:tr>
        <w:trPr>
          <w:tblHeader w:val="false"/>
        </w:trPr>
        <w:tc>
          <w:tcPr>
            <w:tcW w:type="dxa" w:w="152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95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대부분 달성, 일부 미흡하나 불가피성 인정·극복 가능</w:t>
            </w:r>
          </w:p>
        </w:tc>
        <w:tc>
          <w:tcPr>
            <w:tcW w:type="dxa" w:w="41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달성률과 핵심 산출물이 '상당 부분' 이상, 품질 근거 존재, 종합 지수 60 이상</w:t>
            </w:r>
          </w:p>
        </w:tc>
      </w:tr>
      <w:tr>
        <w:trPr>
          <w:tblHeader w:val="false"/>
        </w:trPr>
        <w:tc>
          <w:tcPr>
            <w:tcW w:type="dxa" w:w="152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95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하나 이상 일부 미달, 불가피성 일부 인정되나 성과 부정 영향 가능성 높음</w:t>
            </w:r>
          </w:p>
        </w:tc>
        <w:tc>
          <w:tcPr>
            <w:tcW w:type="dxa" w:w="41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40 이상</w:t>
            </w:r>
          </w:p>
        </w:tc>
      </w:tr>
      <w:tr>
        <w:trPr>
          <w:tblHeader w:val="false"/>
        </w:trPr>
        <w:tc>
          <w:tcPr>
            <w:tcW w:type="dxa" w:w="152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95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하나 이상 현저히 미달, 불가피성 불인정</w:t>
            </w:r>
          </w:p>
        </w:tc>
        <w:tc>
          <w:tcPr>
            <w:tcW w:type="dxa" w:w="41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산출물 현저한 실패(50% 미만)가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핵심 산출물 하나라도 100% 미만이면 최대 3점. 품질 근거가 전혀 없으면 최대 3점.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4점 문장이 "모든 산출물 100% 이상"과 "품질 우수"를 함께 요구하므로 달성률만으로 4점이 되지 않도록 품질 지표를 필수 조건에 넣었습니다. 120% 상한은 한 지표의 과잉 달성이 평균을 끌어올려 다른 지표의 미달을 가리는 것을 막기 위한 장치입니다.</w:t>
      </w:r>
    </w:p>
    <w:p>
      <w:pPr>
        <w:pStyle w:val="Heading2"/>
      </w:pPr>
      <w:r>
        <w:rPr>
          <w:rFonts w:ascii="Malgun Gothic" w:cs="Malgun Gothic" w:eastAsia="Malgun Gothic" w:hAnsi="Malgun Gothic"/>
        </w:rPr>
        <w:t xml:space="preserve">3.2 효과성 — 중장기 성과(outcome)와 목표(goal)를 달성했거나 달성할 것으로 예상하는가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산출물을 넘어 사람과 기관이 실제로 달라졌는가(역량·행동·서비스 이용·건강 상태 등). 그리고 그 변화가 이 사업 때문이라고 말할 수 있는가. 이 질문은 평가자 편차가 가장 큰 질문이며, 이 체계는 "달성률"과 "그 달성이 사업 덕분인가"를 분리해서 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44"/>
        <w:gridCol w:w="3001"/>
        <w:gridCol w:w="3693"/>
      </w:tblGrid>
      <w:tr>
        <w:trPr>
          <w:tblHeader/>
        </w:trPr>
        <w:tc>
          <w:tcPr>
            <w:tcW w:type="dxa" w:w="2944"/>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00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69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중요도 가중 성과 달성률 (30) ●</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최종 PDM 성과 지표의 실적/목표</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100% 이상, 종료선 원자료 확인</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성과지표 대표성·타당성 (15) ●</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지표가 의도한 변화를 제대로 재는가</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지표가 실제 변화를 대표함을 정의·검증 기록으로 확인</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 기여도·인과성 (20) ●</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변화가 사업 때문인가</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 설명(외부 요인) 검토와 독립 출처 교차검증으로 기여 확인</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가정 충족 (10)</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성과의 전제 조건이 유지되었는가</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가정 모니터링과 대응이 인과경로 유지로 이어짐</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수혜자 변화 (15) ●</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대상집단이 실제로 달라졌는가</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행동·역량·상태 변화가 정량 근거로 확인</w:t>
            </w:r>
          </w:p>
        </w:tc>
      </w:tr>
      <w:tr>
        <w:trPr>
          <w:tblHeader w:val="false"/>
        </w:trPr>
        <w:tc>
          <w:tcPr>
            <w:tcW w:type="dxa" w:w="294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의도하지 않은 효과 (10)</w:t>
            </w:r>
          </w:p>
        </w:tc>
        <w:tc>
          <w:tcPr>
            <w:tcW w:type="dxa" w:w="300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예상 밖의 긍정·부정 효과를 조사했는가</w:t>
            </w:r>
          </w:p>
        </w:tc>
        <w:tc>
          <w:tcPr>
            <w:tcW w:type="dxa" w:w="369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조사와 대응 반영</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12"/>
        <w:gridCol w:w="3755"/>
        <w:gridCol w:w="4371"/>
      </w:tblGrid>
      <w:tr>
        <w:trPr>
          <w:tblHeader/>
        </w:trPr>
        <w:tc>
          <w:tcPr>
            <w:tcW w:type="dxa" w:w="151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75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37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5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7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모든 성과 달성, 지표가 실제 성과를 대표, 목표 달성 인과성 확인</w:t>
            </w:r>
          </w:p>
        </w:tc>
        <w:tc>
          <w:tcPr>
            <w:tcW w:type="dxa" w:w="43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달성률·대표성·인과성 세 지표 모두 완전 충족, 종합 지수 80 이상</w:t>
            </w:r>
          </w:p>
        </w:tc>
      </w:tr>
      <w:tr>
        <w:trPr>
          <w:tblHeader w:val="false"/>
        </w:trPr>
        <w:tc>
          <w:tcPr>
            <w:tcW w:type="dxa" w:w="15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7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대부분 성과 달성·예상, 선결과제 해결 시 목표 달성 가능성 상당</w:t>
            </w:r>
          </w:p>
        </w:tc>
        <w:tc>
          <w:tcPr>
            <w:tcW w:type="dxa" w:w="43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달성률과 수혜자 변화가 '상당 부분' 이상, 인과성이 '초기 단계' 이상, 종합 지수 60 이상</w:t>
            </w:r>
          </w:p>
        </w:tc>
      </w:tr>
      <w:tr>
        <w:trPr>
          <w:tblHeader w:val="false"/>
        </w:trPr>
        <w:tc>
          <w:tcPr>
            <w:tcW w:type="dxa" w:w="15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7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일부 성과 달성·예상되나 목표 달성 가능성 불확실</w:t>
            </w:r>
          </w:p>
        </w:tc>
        <w:tc>
          <w:tcPr>
            <w:tcW w:type="dxa" w:w="43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40 이상</w:t>
            </w:r>
          </w:p>
        </w:tc>
      </w:tr>
      <w:tr>
        <w:trPr>
          <w:tblHeader w:val="false"/>
        </w:trPr>
        <w:tc>
          <w:tcPr>
            <w:tcW w:type="dxa" w:w="15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75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성과 전혀 미달성·가능성 없음</w:t>
            </w:r>
          </w:p>
        </w:tc>
        <w:tc>
          <w:tcPr>
            <w:tcW w:type="dxa" w:w="43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달성률과 수혜자 변화가 모두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성과 수치는 있으나 지표 대표성 또는 인과성이 완전 충족이 아니면 최대 3점.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종료선 달성률이 100%를 넘어도 그것이 지표를 좁게 잡았기 때문이거나 외부 요인 덕분일 수 있습니다. KOICA 4점 문장은 "지표가 실제 성과를 대표"하고 "인과성이 확인"될 것을 명시하므로 두 항목을 필수 조건으로 두었습니다. 인과성은 4등급(독립 출처 교차검증) 자료를 요구하며, 이는 기여도 분석의 기본 원칙입니다.</w:t>
      </w:r>
    </w:p>
    <w:p>
      <w:pPr>
        <w:pStyle w:val="Heading2"/>
      </w:pPr>
      <w:r>
        <w:rPr>
          <w:rFonts w:ascii="Malgun Gothic" w:cs="Malgun Gothic" w:eastAsia="Malgun Gothic" w:hAnsi="Malgun Gothic"/>
        </w:rPr>
        <w:t xml:space="preserve">3.3 효과성 — 사회적 소외계층을 포용하여 형평성 있게 성과를 달성하였는가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여성, 장애인, 빈곤층, 소수민족, 원거리 거주자 등 사업 맥락에서 소외되기 쉬운 집단을 식별하고, 그들이 서비스에 접근하지 못하는 이유를 분석해 설계에 반영했으며, 실제로 그 집단에서도 성과가 났는가. 전체 평균이 좋아도 취약집단이 뒤처졌다면 형평성 있는 성과가 아닙니다.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79"/>
        <w:gridCol w:w="3017"/>
        <w:gridCol w:w="3942"/>
      </w:tblGrid>
      <w:tr>
        <w:trPr>
          <w:tblHeader/>
        </w:trPr>
        <w:tc>
          <w:tcPr>
            <w:tcW w:type="dxa" w:w="267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01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94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취약·소외계층 식별 (15)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누가 소외되기 쉬운지 구체적으로 정했는가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선정 근거·데이터와 함께 집단·규모·위치 명시</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접근제약 분석 (10)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왜 접근이 어려운지 분석했는가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비용·거리·언어·성별·장애 등 제약 분석이 조사 데이터로 뒷받침되고 설계에 연결</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취약계층 수요반영 (15)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그들의 수요가 설계에 들어갔는가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우선 수요가 설계·자원배분·지표에 반영된 추적 확인</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포용적 설계·실행 (15)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접근을 돕는 조치를 실행했는가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합리적 편의·표적활동 전 범위 실행이 실적으로 확인</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분리 데이터 (20)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집단별로 나눠 측정했는가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성·지역·장애·계층 등 필요한 분리자료 전부와 데이터사전 존재</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집단별 성과·격차 (20)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취약집단에서도 성과가 났는가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격차 원인 분석과 조치, 취약집단 성과 개선 확인</w:t>
            </w:r>
          </w:p>
        </w:tc>
      </w:tr>
      <w:tr>
        <w:trPr>
          <w:tblHeader w:val="false"/>
        </w:trPr>
        <w:tc>
          <w:tcPr>
            <w:tcW w:type="dxa" w:w="267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해를 끼치지 않음 (5) ●</w:t>
            </w:r>
          </w:p>
        </w:tc>
        <w:tc>
          <w:tcPr>
            <w:tcW w:type="dxa" w:w="301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사업이 누군가를 더 어렵게 만들지 않았는가</w:t>
            </w:r>
          </w:p>
        </w:tc>
        <w:tc>
          <w:tcPr>
            <w:tcW w:type="dxa" w:w="394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점검·민원 대응·완화조치 기록</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365"/>
        <w:gridCol w:w="3849"/>
        <w:gridCol w:w="4424"/>
      </w:tblGrid>
      <w:tr>
        <w:trPr>
          <w:tblHeader/>
        </w:trPr>
        <w:tc>
          <w:tcPr>
            <w:tcW w:type="dxa" w:w="136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84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424"/>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3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8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취약층 식별·제약 파악·수요 반영·분리데이터 모니터링 조치 + 소외계층 성과 확인</w:t>
            </w:r>
          </w:p>
        </w:tc>
        <w:tc>
          <w:tcPr>
            <w:tcW w:type="dxa" w:w="44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식별·제약 분석·수요 반영·분리 데이터·집단별 성과 다섯 지표 모두 완전 충족, 종합 지수 80 이상</w:t>
            </w:r>
          </w:p>
        </w:tc>
      </w:tr>
      <w:tr>
        <w:trPr>
          <w:tblHeader w:val="false"/>
        </w:trPr>
        <w:tc>
          <w:tcPr>
            <w:tcW w:type="dxa" w:w="13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8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조치는 했으나 성과 특정 어려움 / 고려는 두드러지지 않으나 파급효과로 취약계층 개선 확인</w:t>
            </w:r>
          </w:p>
        </w:tc>
        <w:tc>
          <w:tcPr>
            <w:tcW w:type="dxa" w:w="44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식별·수요 반영·포용적 실행이 '상당 부분' 이상, 종합 지수 55 이상 </w:t>
            </w:r>
            <w:r>
              <w:rPr>
                <w:rFonts w:ascii="Malgun Gothic" w:cs="Malgun Gothic" w:eastAsia="Malgun Gothic" w:hAnsi="Malgun Gothic"/>
                <w:sz w:val="18"/>
                <w:szCs w:val="18"/>
              </w:rPr>
              <w:t xml:space="preserve">또는</w:t>
            </w:r>
            <w:r>
              <w:rPr>
                <w:rFonts w:ascii="Malgun Gothic" w:cs="Malgun Gothic" w:eastAsia="Malgun Gothic" w:hAnsi="Malgun Gothic"/>
                <w:sz w:val="18"/>
                <w:szCs w:val="18"/>
              </w:rPr>
              <w:t xml:space="preserve"> 예외 사유 '취약계층 실제 개선' 적용</w:t>
            </w:r>
          </w:p>
        </w:tc>
      </w:tr>
      <w:tr>
        <w:trPr>
          <w:tblHeader w:val="false"/>
        </w:trPr>
        <w:tc>
          <w:tcPr>
            <w:tcW w:type="dxa" w:w="13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8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고려 미흡, 취약계층 영향 미확인</w:t>
            </w:r>
          </w:p>
        </w:tc>
        <w:tc>
          <w:tcPr>
            <w:tcW w:type="dxa" w:w="44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35 이상</w:t>
            </w:r>
          </w:p>
        </w:tc>
      </w:tr>
      <w:tr>
        <w:trPr>
          <w:tblHeader w:val="false"/>
        </w:trPr>
        <w:tc>
          <w:tcPr>
            <w:tcW w:type="dxa" w:w="136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84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고려 미흡 + 부정적 파급효과로 취약성 심화</w:t>
            </w:r>
          </w:p>
        </w:tc>
        <w:tc>
          <w:tcPr>
            <w:tcW w:type="dxa" w:w="4424"/>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집단별 성과 악화 또는 부정적 차등영향 방치가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필요한 분리 데이터 없이 서술만 있으면 최대 3점(취약계층 성과를 확인할 방법이 없기 때문).</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4점 문장이 "분리데이터 모니터링"을 명시합니다. 분리 데이터는 형평성을 판단하는 유일한 객관적 수단이므로 가장 큰 비중과 상한 규칙을 두었습니다. 3점의 두 번째 선택 조항(설계 고려는 없었으나 결과적으로 개선)은 예외 사유로 만들어 근거 없이 적용되지 않게 했습니다.</w:t>
      </w:r>
    </w:p>
    <w:p>
      <w:pPr>
        <w:pStyle w:val="Heading2"/>
      </w:pPr>
      <w:r>
        <w:rPr>
          <w:rFonts w:ascii="Malgun Gothic" w:cs="Malgun Gothic" w:eastAsia="Malgun Gothic" w:hAnsi="Malgun Gothic"/>
        </w:rPr>
        <w:t xml:space="preserve">4.1 효율성 — 사업은 경제적이고 시의적절한 방식으로 추진되었는가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계획한 돈과 시간 안에서 했는가. 늘어났다면 이유가 정당했는가. 그리고 단순히 예산을 다 썼다는 것이 아니라, 비슷한 것을 더 싸게 할 수 있었는지 비교해 봤는가.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19"/>
        <w:gridCol w:w="3199"/>
        <w:gridCol w:w="3420"/>
      </w:tblGrid>
      <w:tr>
        <w:trPr>
          <w:tblHeader/>
        </w:trPr>
        <w:tc>
          <w:tcPr>
            <w:tcW w:type="dxa" w:w="301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19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42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 대비 예산 비율 (15) ●</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집행/당초 승인 예산</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승인 범위 내 집행(3.7 매트릭스)</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계획 대비 기간 비율 (15) ●</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실제 기간/당초 승인 기간</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승인 일정 내 핵심 활동 완료(3.7 매트릭스)</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증액·지연 사유 타당성 (15) ●</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늘어난 이유가 외부 요인이고 승인받았는가</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불가피성·공식 승인·완화조치가 모두 검증</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조달·행정 소요기간 (10)</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조달 병목을 관리했는가</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소요기간을 측정·관리하고 기준 이내</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단위비용·벤치마크 (20) ●</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비슷한 사업·시장가와 비교했는가</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비교 대비 동등 이하 비용이 데이터로 확인</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투입 대비 산출 생산성 (15)</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 대비 산출이 양호한가</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생산성이 계획 또는 벤치마크 이상</w:t>
            </w:r>
          </w:p>
        </w:tc>
      </w:tr>
      <w:tr>
        <w:trPr>
          <w:tblHeader w:val="false"/>
        </w:trPr>
        <w:tc>
          <w:tcPr>
            <w:tcW w:type="dxa" w:w="301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절감·단축·추가성과 (10) ●</w:t>
            </w:r>
          </w:p>
        </w:tc>
        <w:tc>
          <w:tcPr>
            <w:tcW w:type="dxa" w:w="319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더 아끼거나 빨리 하거나 더 했는가</w:t>
            </w:r>
          </w:p>
        </w:tc>
        <w:tc>
          <w:tcPr>
            <w:tcW w:type="dxa" w:w="34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하나 이상이 비교표·실적으로 검증</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431"/>
        <w:gridCol w:w="4036"/>
        <w:gridCol w:w="4171"/>
      </w:tblGrid>
      <w:tr>
        <w:trPr>
          <w:tblHeader/>
        </w:trPr>
        <w:tc>
          <w:tcPr>
            <w:tcW w:type="dxa" w:w="143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4036"/>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17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4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403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소폭 조정, 불가피성 인정 + 예산 절감·공기 단축·추가 사업요소 반영 등 긍정 효과 확인</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 비율·기간 비율·벤치마크·절감/단축/추가성과 네 지표 모두 완전 충족, 종합 지수 80 이상</w:t>
            </w:r>
          </w:p>
        </w:tc>
      </w:tr>
      <w:tr>
        <w:trPr>
          <w:tblHeader w:val="false"/>
        </w:trPr>
        <w:tc>
          <w:tcPr>
            <w:tcW w:type="dxa" w:w="14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403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소폭 조정(150% 미만), 필요성·불가피성 인정</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예산·기간 비율과 사유 타당성이 '상당 부분' 이상, 종합 지수 60 이상</w:t>
            </w:r>
          </w:p>
        </w:tc>
      </w:tr>
      <w:tr>
        <w:trPr>
          <w:tblHeader w:val="false"/>
        </w:trPr>
        <w:tc>
          <w:tcPr>
            <w:tcW w:type="dxa" w:w="14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403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150% 이상 증액·연장, 필요성·불가피성 일부 인정</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40 이상, 또는 상한 규칙 적용</w:t>
            </w:r>
          </w:p>
        </w:tc>
      </w:tr>
      <w:tr>
        <w:trPr>
          <w:tblHeader w:val="false"/>
        </w:trPr>
        <w:tc>
          <w:tcPr>
            <w:tcW w:type="dxa" w:w="143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4036"/>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타당한 사유 없이 150% 이상</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 또는 기간 비율 지표가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벤치마크·대안 비교 없이 집행률만 있으면 최대 3점. 150% 이상 증액·연장이나 불가피성이 일부 인정되면 최대 2점.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문장의 150% 기준과 "불가피성 인정" 여부를 3.7의 격자표로 옮겨 경계 해석을 없앴습니다. 집행률 100%는 효율의 증거가 아니므로 DAC 정의의 "경제성"을 확인하는 단위비용·벤치마크 지표에 가장 큰 비중을 두었습니다.</w:t>
      </w:r>
    </w:p>
    <w:p>
      <w:pPr>
        <w:pStyle w:val="Heading2"/>
      </w:pPr>
      <w:r>
        <w:rPr>
          <w:rFonts w:ascii="Malgun Gothic" w:cs="Malgun Gothic" w:eastAsia="Malgun Gothic" w:hAnsi="Malgun Gothic"/>
        </w:rPr>
        <w:t xml:space="preserve">4.2 효율성 — 주요 투입·활동 간 균형과 상호작용을 고려하여 효율적으로 추진되었는가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 구성요소(예: 시설, 장비, 교육, 제도 자문)가 서로 맞물리도록 설계·운영되었는가. 장비가 들어왔는데 교육이 1년 뒤에 이루어지거나, 한 활동에 자원이 몰려 다른 활동이 부실해지는 일이 없었는가.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12"/>
        <w:gridCol w:w="3128"/>
        <w:gridCol w:w="3498"/>
      </w:tblGrid>
      <w:tr>
        <w:trPr>
          <w:tblHeader/>
        </w:trPr>
        <w:tc>
          <w:tcPr>
            <w:tcW w:type="dxa" w:w="3012"/>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12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49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 투입–활동 논리 (20) ●</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처음부터 자원과 활동의 연결을 설계했는가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자원·활동·산출 연결과 상호의존이 기획문서에 명시</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활동 순서·선후관계 (15) ●</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순서를 관리했는가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의존성·임계경로 관리 기록</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자원배분 균형 (20) ●</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활동에 자원이 적정하게 갔는가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자원배분표와 실적이 성과 기여도에 비례</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역할·조정체계 (15)</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역할 공백·중복이 없었는가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의사결정 경로와 이행이 기록으로 확인</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재배분·적응관리 (15) ●</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진행 중 필요에 따라 자원을 옮겼는가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모니터링 기반 적시 재배분과 효과 기록</w:t>
            </w:r>
          </w:p>
        </w:tc>
      </w:tr>
      <w:tr>
        <w:trPr>
          <w:tblHeader w:val="false"/>
        </w:trPr>
        <w:tc>
          <w:tcPr>
            <w:tcW w:type="dxa" w:w="3012"/>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투입요소 간 시너지 (15) ●</w:t>
            </w:r>
          </w:p>
        </w:tc>
        <w:tc>
          <w:tcPr>
            <w:tcW w:type="dxa" w:w="312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맞물림이 실제 성과로 이어졌는가</w:t>
            </w:r>
          </w:p>
        </w:tc>
        <w:tc>
          <w:tcPr>
            <w:tcW w:type="dxa" w:w="349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연계로 산출 품질·속도·범위 개선이 전후 비교로 확인</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609"/>
        <w:gridCol w:w="3858"/>
        <w:gridCol w:w="4171"/>
      </w:tblGrid>
      <w:tr>
        <w:trPr>
          <w:tblHeader/>
        </w:trPr>
        <w:tc>
          <w:tcPr>
            <w:tcW w:type="dxa" w:w="1609"/>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85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17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60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8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기획단계부터 균형·상호작용 고려, 시너지·연계가 성과 강화요인</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 논리·자원배분·시너지 세 지표 모두 완전 충족, 종합 지수 80 이상</w:t>
            </w:r>
          </w:p>
        </w:tc>
      </w:tr>
      <w:tr>
        <w:trPr>
          <w:tblHeader w:val="false"/>
        </w:trPr>
        <w:tc>
          <w:tcPr>
            <w:tcW w:type="dxa" w:w="160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8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기획단계 미고려, 추진단계에서 사후 조정</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자원배분과 재배분이 '상당 부분' 이상, 종합 지수 55 이상</w:t>
            </w:r>
          </w:p>
        </w:tc>
      </w:tr>
      <w:tr>
        <w:trPr>
          <w:tblHeader w:val="false"/>
        </w:trPr>
        <w:tc>
          <w:tcPr>
            <w:tcW w:type="dxa" w:w="160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8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균형 별도 고려 없음, 성과에 유의미한 영향 없음</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35 이상</w:t>
            </w:r>
          </w:p>
        </w:tc>
      </w:tr>
      <w:tr>
        <w:trPr>
          <w:tblHeader w:val="false"/>
        </w:trPr>
        <w:tc>
          <w:tcPr>
            <w:tcW w:type="dxa" w:w="1609"/>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85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미고려로 성과 미흡에 심각한 영향</w:t>
            </w:r>
          </w:p>
        </w:tc>
        <w:tc>
          <w:tcPr>
            <w:tcW w:type="dxa" w:w="417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자원배분 균형이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기획단계 고려 근거가 없고 사후 조정만 확인되면 최대 3점(KOICA 3점 문장 그대로).</w:t>
      </w:r>
    </w:p>
    <w:p>
      <w:pPr>
        <w:pStyle w:val="Heading2"/>
      </w:pPr>
      <w:r>
        <w:rPr>
          <w:rFonts w:ascii="Malgun Gothic" w:cs="Malgun Gothic" w:eastAsia="Malgun Gothic" w:hAnsi="Malgun Gothic"/>
        </w:rPr>
        <w:t xml:space="preserve">5.1 지속가능성 — 수원국 시스템·조직·이해관계자는 재정적·경제적 자립역량과 위기대응능력을 갖추었는가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사업이 끝난 뒤에도 돈·사람·유지보수·의사결정이 수원국 안에서 돌아가는가. "의지가 있다"가 아니라 예산이 편성되었는지, 담당 조직과 인력이 있는지, 위기가 왔을 때 스스로 대응한 적이 있는지를 봅니다.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48"/>
        <w:gridCol w:w="2930"/>
        <w:gridCol w:w="3660"/>
      </w:tblGrid>
      <w:tr>
        <w:trPr>
          <w:tblHeader/>
        </w:trPr>
        <w:tc>
          <w:tcPr>
            <w:tcW w:type="dxa" w:w="304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293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66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 운영주체·주인의식 (15) ●</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누가 책임지는가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책임조직과 의사결정권이 조직규정·운영기록으로 확인</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다년도 예산 또는 수익모델 (25) ●</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돈이 계속 나오는가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승인된 다년도 예산 또는 검증된 자립 수익 구조</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운영인력 (15) ●</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사람이 있는가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필요 인원·역량·고용계획 확보</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유지보수·소모품 공급망 (15) ●</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장비·시설을 유지할 수 있는가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비용·계약·공급경로가 운영 중</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 의사결정권 (10)</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현지가 결정하는가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현지 주도 의사결정이 상시 운영</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위험·위기 대응능력 (15) ●</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문제가 생기면 스스로 대응하는가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자체 인력·예산·절차로 대응한 사례 또는 업무연속성계획 운영</w:t>
            </w:r>
          </w:p>
        </w:tc>
      </w:tr>
      <w:tr>
        <w:trPr>
          <w:tblHeader w:val="false"/>
        </w:trPr>
        <w:tc>
          <w:tcPr>
            <w:tcW w:type="dxa" w:w="30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외부지원 의존도 (5)</w:t>
            </w:r>
          </w:p>
        </w:tc>
        <w:tc>
          <w:tcPr>
            <w:tcW w:type="dxa" w:w="293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외부 도움 없이 핵심 운영이 되는가</w:t>
            </w:r>
          </w:p>
        </w:tc>
        <w:tc>
          <w:tcPr>
            <w:tcW w:type="dxa" w:w="366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핵심 운영이 단기 외부지원 없이 가능</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47"/>
        <w:gridCol w:w="4250"/>
        <w:gridCol w:w="3841"/>
      </w:tblGrid>
      <w:tr>
        <w:trPr>
          <w:tblHeader/>
        </w:trPr>
        <w:tc>
          <w:tcPr>
            <w:tcW w:type="dxa" w:w="154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425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3841"/>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54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425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다년도 예산 확보 또는 자체 수익모델, 자체 위기대응 사례 또는 인력·예산구조 확보</w:t>
            </w:r>
          </w:p>
        </w:tc>
        <w:tc>
          <w:tcPr>
            <w:tcW w:type="dxa" w:w="38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예산·인력·위기대응 세 지표 모두 완전 충족, 종합 지수 80 이상</w:t>
            </w:r>
          </w:p>
        </w:tc>
      </w:tr>
      <w:tr>
        <w:trPr>
          <w:tblHeader w:val="false"/>
        </w:trPr>
        <w:tc>
          <w:tcPr>
            <w:tcW w:type="dxa" w:w="154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425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단년도 예산 확보 또는 조기 자립 가능, 위기 인지·조치안 있으나 단기 외부지원 필요</w:t>
            </w:r>
          </w:p>
        </w:tc>
        <w:tc>
          <w:tcPr>
            <w:tcW w:type="dxa" w:w="38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예산·운영주체·위기대응이 '상당 부분' 이상, 종합 지수 55 이상</w:t>
            </w:r>
          </w:p>
        </w:tc>
      </w:tr>
      <w:tr>
        <w:trPr>
          <w:tblHeader w:val="false"/>
        </w:trPr>
        <w:tc>
          <w:tcPr>
            <w:tcW w:type="dxa" w:w="154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425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지속 의지 확인되나 예산·인력 확보계획 불구체</w:t>
            </w:r>
          </w:p>
        </w:tc>
        <w:tc>
          <w:tcPr>
            <w:tcW w:type="dxa" w:w="38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35 이상</w:t>
            </w:r>
          </w:p>
        </w:tc>
      </w:tr>
      <w:tr>
        <w:trPr>
          <w:tblHeader w:val="false"/>
        </w:trPr>
        <w:tc>
          <w:tcPr>
            <w:tcW w:type="dxa" w:w="154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425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인력 미확인, 예산 불투명, 위기 대처 기제 없음</w:t>
            </w:r>
          </w:p>
        </w:tc>
        <w:tc>
          <w:tcPr>
            <w:tcW w:type="dxa" w:w="3841"/>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운영주체·예산·위기대응 모두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단년도 예산이거나 외부지원 필요가 확인되면 최대 3점. 예산·인력 계획이 모두 초기 단계이면 최대 2점.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3점과 4점을 가르는 것은 "단년도 vs 다년도 예산"과 "외부지원 필요 여부"이므로 예산 지표에 가장 큰 비중을 두고 상한 규칙으로 명문화했습니다.</w:t>
      </w:r>
    </w:p>
    <w:p>
      <w:pPr>
        <w:pStyle w:val="Heading2"/>
      </w:pPr>
      <w:r>
        <w:rPr>
          <w:rFonts w:ascii="Malgun Gothic" w:cs="Malgun Gothic" w:eastAsia="Malgun Gothic" w:hAnsi="Malgun Gothic"/>
        </w:rPr>
        <w:t xml:space="preserve">5.2 지속가능성 — 사업 편익이 장기적으로 지속될 제도적·사회적 환경이 갖추어졌는가</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사업이 만든 모델이 수원국의 법·정책·정규 프로그램에 들어갔는가, 전담 기관이 지정되었는가, 주민과 이해관계자가 계속 받아들이고 이용하는가.</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975"/>
        <w:gridCol w:w="3220"/>
        <w:gridCol w:w="3443"/>
      </w:tblGrid>
      <w:tr>
        <w:trPr>
          <w:tblHeader/>
        </w:trPr>
        <w:tc>
          <w:tcPr>
            <w:tcW w:type="dxa" w:w="2975"/>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22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44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법·정책·제도화 (25) ●</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제도로 굳어졌는가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법령·정책·지침 또는 정규사업에 공식 반영·시행</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책임기관과 권한 (20) ●</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전담 기관이 있는가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전담기관과 공식 책임이 지정·운영</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기존 시스템 통합 (15) ●</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별도 사업이 아니라 정규 업무가 되었는가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예산·정보·인력·업무체계에 정규 통합</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사회적 수용성·정당성 (15) ●</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주민이 계속 쓰고 지지하는가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이용률 유지·지지·민원 대응이 데이터로 확인</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확산·복제 (10)</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다른 곳으로 퍼지는가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확산 승인 또는 복제 실적</w:t>
            </w:r>
          </w:p>
        </w:tc>
      </w:tr>
      <w:tr>
        <w:trPr>
          <w:tblHeader w:val="false"/>
        </w:trPr>
        <w:tc>
          <w:tcPr>
            <w:tcW w:type="dxa" w:w="2975"/>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환경·사회적 지속가능성 (15)</w:t>
            </w:r>
          </w:p>
        </w:tc>
        <w:tc>
          <w:tcPr>
            <w:tcW w:type="dxa" w:w="322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장기 환경·사회 위험을 관리하는가</w:t>
            </w:r>
          </w:p>
        </w:tc>
        <w:tc>
          <w:tcPr>
            <w:tcW w:type="dxa" w:w="344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관리계획 이행과 수용 가능성 확인</w:t>
            </w:r>
          </w:p>
        </w:tc>
      </w:tr>
    </w:tbl>
    <w:p>
      <w:pPr>
        <w:spacing w:after="12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1537"/>
        <w:gridCol w:w="3548"/>
        <w:gridCol w:w="4553"/>
      </w:tblGrid>
      <w:tr>
        <w:trPr>
          <w:tblHeader/>
        </w:trPr>
        <w:tc>
          <w:tcPr>
            <w:tcW w:type="dxa" w:w="1537"/>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점수</w:t>
            </w:r>
          </w:p>
        </w:tc>
        <w:tc>
          <w:tcPr>
            <w:tcW w:type="dxa" w:w="354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KOICA 공식 기준</w:t>
            </w:r>
          </w:p>
        </w:tc>
        <w:tc>
          <w:tcPr>
            <w:tcW w:type="dxa" w:w="4553"/>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이 체계의 판정 조건</w:t>
            </w:r>
          </w:p>
        </w:tc>
      </w:tr>
      <w:tr>
        <w:trPr>
          <w:tblHeader w:val="false"/>
        </w:trPr>
        <w:tc>
          <w:tcPr>
            <w:tcW w:type="dxa" w:w="153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4</w:t>
            </w:r>
          </w:p>
        </w:tc>
        <w:tc>
          <w:tcPr>
            <w:tcW w:type="dxa" w:w="35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입법화·정규사업화·전담기관 지정 등 구체적 조치가 실현됨</w:t>
            </w:r>
          </w:p>
        </w:tc>
        <w:tc>
          <w:tcPr>
            <w:tcW w:type="dxa" w:w="455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제도화 또는 책임기관 중 하나가 완전 충족이고 다른 하나가 '상당 부분' 이상, 종합 지수 80 이상</w:t>
            </w:r>
          </w:p>
        </w:tc>
      </w:tr>
      <w:tr>
        <w:trPr>
          <w:tblHeader w:val="false"/>
        </w:trPr>
        <w:tc>
          <w:tcPr>
            <w:tcW w:type="dxa" w:w="153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3</w:t>
            </w:r>
          </w:p>
        </w:tc>
        <w:tc>
          <w:tcPr>
            <w:tcW w:type="dxa" w:w="35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구체적 조치를 위한 사전 준비·논의 진행 중</w:t>
            </w:r>
          </w:p>
        </w:tc>
        <w:tc>
          <w:tcPr>
            <w:tcW w:type="dxa" w:w="455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제도화와 책임기관이 '초기 단계' 이상, 사회적 수용성이 '상당 부분' 이상, 종합 지수 45 이상</w:t>
            </w:r>
          </w:p>
        </w:tc>
      </w:tr>
      <w:tr>
        <w:trPr>
          <w:tblHeader w:val="false"/>
        </w:trPr>
        <w:tc>
          <w:tcPr>
            <w:tcW w:type="dxa" w:w="153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2</w:t>
            </w:r>
          </w:p>
        </w:tc>
        <w:tc>
          <w:tcPr>
            <w:tcW w:type="dxa" w:w="35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성과 일부 확인되나 지속·확장 조치 미확인</w:t>
            </w:r>
          </w:p>
        </w:tc>
        <w:tc>
          <w:tcPr>
            <w:tcW w:type="dxa" w:w="455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종합 지수 30 이상</w:t>
            </w:r>
          </w:p>
        </w:tc>
      </w:tr>
      <w:tr>
        <w:trPr>
          <w:tblHeader w:val="false"/>
        </w:trPr>
        <w:tc>
          <w:tcPr>
            <w:tcW w:type="dxa" w:w="1537"/>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1</w:t>
            </w:r>
          </w:p>
        </w:tc>
        <w:tc>
          <w:tcPr>
            <w:tcW w:type="dxa" w:w="354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기획·추진 미흡으로 지속·확장 불가</w:t>
            </w:r>
          </w:p>
        </w:tc>
        <w:tc>
          <w:tcPr>
            <w:tcW w:type="dxa" w:w="4553"/>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제도화와 사회적 수용성이 모두 '부정 확인'</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제도화와 책임기관 지정이 모두 완전 충족에 이르지 못하면(논의·준비 단계) 최대 3점.</w:t>
      </w:r>
    </w:p>
    <w:p>
      <w:pPr>
        <w:spacing w:after="120"/>
      </w:pPr>
      <w:r>
        <w:rPr>
          <w:rFonts w:ascii="Malgun Gothic" w:cs="Malgun Gothic" w:eastAsia="Malgun Gothic" w:hAnsi="Malgun Gothic"/>
          <w:b/>
          <w:bCs/>
          <w:sz w:val="20"/>
          <w:szCs w:val="20"/>
        </w:rPr>
        <w:t xml:space="preserve">왜 이렇게 보는가</w:t>
      </w:r>
      <w:r>
        <w:rPr>
          <w:rFonts w:ascii="Malgun Gothic" w:cs="Malgun Gothic" w:eastAsia="Malgun Gothic" w:hAnsi="Malgun Gothic"/>
          <w:sz w:val="20"/>
          <w:szCs w:val="20"/>
        </w:rPr>
        <w:t xml:space="preserve">: KOICA 3점과 4점의 차이는 "논의 중"과 "실현됨"의 차이 하나입니다. 이를 제도화 지표의 '상당 부분'(승인 절차 진행)과 '완전 충족'(공식 시행)으로 옮겼습니다. 종합 지수 하한을 다른 질문보다 낮춘 것은 제도화가 실현되었다면 확산·환경 같은 부수 지표가 약해도 공식 4점 문장이 충족되기 때문입니다.</w:t>
      </w:r>
    </w:p>
    <w:p>
      <w:pPr>
        <w:pStyle w:val="Heading2"/>
      </w:pPr>
      <w:r>
        <w:rPr>
          <w:rFonts w:ascii="Malgun Gothic" w:cs="Malgun Gothic" w:eastAsia="Malgun Gothic" w:hAnsi="Malgun Gothic"/>
        </w:rPr>
        <w:t xml:space="preserve">영향력 (DAC 6번째 기준, KOICA 종료평가 총점에는 미포함)</w:t>
      </w:r>
    </w:p>
    <w:p>
      <w:pPr>
        <w:spacing w:after="120"/>
      </w:pPr>
      <w:r>
        <w:rPr>
          <w:rFonts w:ascii="Malgun Gothic" w:cs="Malgun Gothic" w:eastAsia="Malgun Gothic" w:hAnsi="Malgun Gothic"/>
          <w:b/>
          <w:bCs/>
          <w:sz w:val="20"/>
          <w:szCs w:val="20"/>
        </w:rPr>
        <w:t xml:space="preserve">이 질문이 묻는 것</w:t>
      </w:r>
      <w:r>
        <w:rPr>
          <w:rFonts w:ascii="Malgun Gothic" w:cs="Malgun Gothic" w:eastAsia="Malgun Gothic" w:hAnsi="Malgun Gothic"/>
          <w:sz w:val="20"/>
          <w:szCs w:val="20"/>
        </w:rPr>
        <w:t xml:space="preserve">: 사업이 성과를 넘어 사회·정책·시스템 수준의 크고 넓은 변화를 만들었는가, 그 변화에 사업이 실제로 기여했는가, 의도하지 않은 효과(특히 부정적 효과)는 없었는가. 종료 시점에는 판단이 이르므로 KOICA 종료평가 20점에는 포함되지 않으며 별도 진단값으로만 제시합니다.</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010"/>
        <w:gridCol w:w="3010"/>
        <w:gridCol w:w="3618"/>
      </w:tblGrid>
      <w:tr>
        <w:trPr>
          <w:tblHeader/>
        </w:trPr>
        <w:tc>
          <w:tcPr>
            <w:tcW w:type="dxa" w:w="301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세부 지표 (가중치)</w:t>
            </w:r>
          </w:p>
        </w:tc>
        <w:tc>
          <w:tcPr>
            <w:tcW w:type="dxa" w:w="3010"/>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무엇을 확인하는가</w:t>
            </w:r>
          </w:p>
        </w:tc>
        <w:tc>
          <w:tcPr>
            <w:tcW w:type="dxa" w:w="3618"/>
            <w:shd w:fill="DCE6F1" w:val="clear"/>
            <w:tcMar>
              <w:top w:type="dxa" w:w="40"/>
              <w:left w:type="dxa" w:w="70"/>
              <w:bottom w:type="dxa" w:w="40"/>
              <w:right w:type="dxa" w:w="70"/>
            </w:tcMar>
          </w:tcPr>
          <w:p>
            <w:pPr>
              <w:spacing w:after="0" w:before="0"/>
            </w:pPr>
            <w:r>
              <w:rPr>
                <w:rFonts w:ascii="Malgun Gothic" w:cs="Malgun Gothic" w:eastAsia="Malgun Gothic" w:hAnsi="Malgun Gothic"/>
                <w:b/>
                <w:bCs/>
                <w:sz w:val="18"/>
                <w:szCs w:val="18"/>
              </w:rPr>
              <w:t xml:space="preserve">'완전 충족'으로 인정되는 경우</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상위수준 변화 크기 (25) ●</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성과를 넘어선 변화가 측정되는가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측정 가능한 중요 변화가 장기 추적자료로 확인</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변화 중요성 (15)</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그 변화가 의미 있는가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정책·시스템 차원 의미가 이해관계자 검증으로 확인</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범위·확산 (10)</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대상 밖으로 퍼졌는가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지역·기관·집단으로 확산 확인</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 기여도 (20) ●</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사업 때문인가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대안설명 검토와 독립 교차검증</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의도하지 않은 효과 (15)</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예상 밖 효과를 조사했는가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긍정·부정 효과 조사와 대응</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시스템 전환 (10)</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구조가 바뀌었는가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제도·규범·시장·서비스체계 구조 변화</w:t>
            </w:r>
          </w:p>
        </w:tc>
      </w:tr>
      <w:tr>
        <w:trPr>
          <w:tblHeader w:val="false"/>
        </w:trPr>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집단별 차등효과 (5)</w:t>
            </w:r>
          </w:p>
        </w:tc>
        <w:tc>
          <w:tcPr>
            <w:tcW w:type="dxa" w:w="3010"/>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집단마다 효과가 달랐는가</w:t>
            </w:r>
          </w:p>
        </w:tc>
        <w:tc>
          <w:tcPr>
            <w:tcW w:type="dxa" w:w="3618"/>
            <w:tcMar>
              <w:top w:type="dxa" w:w="40"/>
              <w:left w:type="dxa" w:w="70"/>
              <w:bottom w:type="dxa" w:w="40"/>
              <w:right w:type="dxa" w:w="70"/>
            </w:tcMar>
          </w:tcPr>
          <w:p>
            <w:pPr>
              <w:spacing w:after="0" w:before="0"/>
            </w:pPr>
            <w:r>
              <w:rPr>
                <w:rFonts w:ascii="Malgun Gothic" w:cs="Malgun Gothic" w:eastAsia="Malgun Gothic" w:hAnsi="Malgun Gothic"/>
                <w:sz w:val="18"/>
                <w:szCs w:val="18"/>
              </w:rPr>
              <w:t xml:space="preserve">차등효과 분석과 대응</w:t>
            </w:r>
          </w:p>
        </w:tc>
      </w:tr>
    </w:tbl>
    <w:p>
      <w:pPr>
        <w:spacing w:after="120"/>
      </w:pPr>
    </w:p>
    <w:p>
      <w:pPr>
        <w:spacing w:after="120"/>
      </w:pPr>
      <w:r>
        <w:rPr>
          <w:rFonts w:ascii="Malgun Gothic" w:cs="Malgun Gothic" w:eastAsia="Malgun Gothic" w:hAnsi="Malgun Gothic"/>
          <w:b/>
          <w:bCs/>
          <w:sz w:val="20"/>
          <w:szCs w:val="20"/>
        </w:rPr>
        <w:t xml:space="preserve">특별 규칙</w:t>
      </w:r>
      <w:r>
        <w:rPr>
          <w:rFonts w:ascii="Malgun Gothic" w:cs="Malgun Gothic" w:eastAsia="Malgun Gothic" w:hAnsi="Malgun Gothic"/>
          <w:sz w:val="20"/>
          <w:szCs w:val="20"/>
        </w:rPr>
        <w:t xml:space="preserve">: 기여도가 완전 충족이 아니면 최대 3점. 중대한 부정적 영향이 완화되지 않았으면 1점이며 공식 결과 확정을 차단합니다.</w:t>
      </w:r>
    </w:p>
    <w:p>
      <w:pPr>
        <w:pStyle w:val="Heading1"/>
      </w:pPr>
      <w:r>
        <w:rPr>
          <w:rFonts w:ascii="Malgun Gothic" w:cs="Malgun Gothic" w:eastAsia="Malgun Gothic" w:hAnsi="Malgun Gothic"/>
        </w:rPr>
        <w:t xml:space="preserve">6. 평가자 합의 절차</w:t>
      </w:r>
    </w:p>
    <w:p>
      <w:pPr>
        <w:spacing w:after="120"/>
      </w:pPr>
      <w:r>
        <w:rPr>
          <w:rFonts w:ascii="Malgun Gothic" w:cs="Malgun Gothic" w:eastAsia="Malgun Gothic" w:hAnsi="Malgun Gothic"/>
          <w:sz w:val="20"/>
          <w:szCs w:val="20"/>
        </w:rPr>
        <w:t xml:space="preserve">알고리즘은 규칙을 고정하지만 최종 점수는 사람이 확정합니다. 절차는 다음과 같습니다.</w:t>
      </w:r>
    </w:p>
    <w:p>
      <w:pPr>
        <w:spacing w:after="120"/>
      </w:pPr>
      <w:r>
        <w:rPr>
          <w:rFonts w:ascii="Malgun Gothic" w:cs="Malgun Gothic" w:eastAsia="Malgun Gothic" w:hAnsi="Malgun Gothic"/>
          <w:b/>
          <w:bCs/>
          <w:sz w:val="20"/>
          <w:szCs w:val="20"/>
        </w:rPr>
        <w:t xml:space="preserve">독립 판정</w:t>
      </w:r>
      <w:r>
        <w:rPr>
          <w:rFonts w:ascii="Malgun Gothic" w:cs="Malgun Gothic" w:eastAsia="Malgun Gothic" w:hAnsi="Malgun Gothic"/>
          <w:sz w:val="20"/>
          <w:szCs w:val="20"/>
        </w:rPr>
        <w:t xml:space="preserve"> — 평가자(기본 3인)는 서로의 결과를 보지 않고 세부 지표를 판정합니다. 시스템은 판정이 다른 지표만 골라 "어느 지표의 어느 단계를, 어떤 자료를 근거로 다르게 봤는가"를 보여줍니다. 합의 회의는 이 목록만 다룹니다.</w:t>
      </w:r>
    </w:p>
    <w:p>
      <w:pPr>
        <w:spacing w:after="120"/>
      </w:pPr>
      <w:r>
        <w:rPr>
          <w:rFonts w:ascii="Malgun Gothic" w:cs="Malgun Gothic" w:eastAsia="Malgun Gothic" w:hAnsi="Malgun Gothic"/>
          <w:b/>
          <w:bCs/>
          <w:sz w:val="20"/>
          <w:szCs w:val="20"/>
        </w:rPr>
        <w:t xml:space="preserve">해소 순서</w:t>
      </w:r>
    </w:p>
    <w:p>
      <w:pPr>
        <w:pStyle w:val="ListParagraph"/>
        <w:numPr>
          <w:ilvl w:val="0"/>
          <w:numId w:val="2"/>
        </w:numPr>
        <w:spacing w:after="60"/>
      </w:pPr>
      <w:r>
        <w:rPr>
          <w:rFonts w:ascii="Malgun Gothic" w:cs="Malgun Gothic" w:eastAsia="Malgun Gothic" w:hAnsi="Malgun Gothic"/>
          <w:sz w:val="20"/>
          <w:szCs w:val="20"/>
        </w:rPr>
        <w:t xml:space="preserve">한쪽만 본 자료가 있으면 공유한 뒤 다시 판정합니다. 대부분의 차이는 여기서 해소됩니다.</w:t>
      </w:r>
    </w:p>
    <w:p>
      <w:pPr>
        <w:pStyle w:val="ListParagraph"/>
        <w:numPr>
          <w:ilvl w:val="0"/>
          <w:numId w:val="2"/>
        </w:numPr>
        <w:spacing w:after="60"/>
      </w:pPr>
      <w:r>
        <w:rPr>
          <w:rFonts w:ascii="Malgun Gothic" w:cs="Malgun Gothic" w:eastAsia="Malgun Gothic" w:hAnsi="Malgun Gothic"/>
          <w:sz w:val="20"/>
          <w:szCs w:val="20"/>
        </w:rPr>
        <w:t xml:space="preserve">같은 자료를 다르게 해석했으면 해당 단계의 기준 사례(앞서 위원회가 확정한 유사 사례)와 비교해 더 가까운 판정을 채택합니다.</w:t>
      </w:r>
    </w:p>
    <w:p>
      <w:pPr>
        <w:pStyle w:val="ListParagraph"/>
        <w:numPr>
          <w:ilvl w:val="0"/>
          <w:numId w:val="2"/>
        </w:numPr>
        <w:spacing w:after="60"/>
      </w:pPr>
      <w:r>
        <w:rPr>
          <w:rFonts w:ascii="Malgun Gothic" w:cs="Malgun Gothic" w:eastAsia="Malgun Gothic" w:hAnsi="Malgun Gothic"/>
          <w:sz w:val="20"/>
          <w:szCs w:val="20"/>
        </w:rPr>
        <w:t xml:space="preserve">근거 자료의 신뢰 등급이 높은 쪽 판정을 채택합니다. 등급이 같으면 낮은 단계를 채택하고 '보수적 결정'으로 기록합니다.</w:t>
      </w:r>
    </w:p>
    <w:p>
      <w:pPr>
        <w:pStyle w:val="ListParagraph"/>
        <w:numPr>
          <w:ilvl w:val="0"/>
          <w:numId w:val="2"/>
        </w:numPr>
        <w:spacing w:after="60"/>
      </w:pPr>
      <w:r>
        <w:rPr>
          <w:rFonts w:ascii="Malgun Gothic" w:cs="Malgun Gothic" w:eastAsia="Malgun Gothic" w:hAnsi="Malgun Gothic"/>
          <w:sz w:val="20"/>
          <w:szCs w:val="20"/>
        </w:rPr>
        <w:t xml:space="preserve">핵심 지표에서 두 단계 이상 차이가 나거나 1점 조건 해석이 다르면 품질검토자가 판정하고 사유를 기록합니다.</w:t>
      </w:r>
    </w:p>
    <w:p>
      <w:pPr>
        <w:pStyle w:val="ListParagraph"/>
        <w:numPr>
          <w:ilvl w:val="0"/>
          <w:numId w:val="2"/>
        </w:numPr>
        <w:spacing w:after="60"/>
      </w:pPr>
      <w:r>
        <w:rPr>
          <w:rFonts w:ascii="Malgun Gothic" w:cs="Malgun Gothic" w:eastAsia="Malgun Gothic" w:hAnsi="Malgun Gothic"/>
          <w:sz w:val="20"/>
          <w:szCs w:val="20"/>
        </w:rPr>
        <w:t xml:space="preserve">그래도 해소되지 않으면 다수결로 확정하되 '기준 공백'으로 표시합니다. 분기마다 기준 공백 목록이 기준 개정 안건이 됩니다.</w:t>
      </w:r>
    </w:p>
    <w:p>
      <w:pPr>
        <w:spacing w:after="120"/>
      </w:pPr>
      <w:r>
        <w:rPr>
          <w:rFonts w:ascii="Malgun Gothic" w:cs="Malgun Gothic" w:eastAsia="Malgun Gothic" w:hAnsi="Malgun Gothic"/>
          <w:b/>
          <w:bCs/>
          <w:sz w:val="20"/>
          <w:szCs w:val="20"/>
        </w:rPr>
        <w:t xml:space="preserve">수정 권한</w:t>
      </w:r>
      <w:r>
        <w:rPr>
          <w:rFonts w:ascii="Malgun Gothic" w:cs="Malgun Gothic" w:eastAsia="Malgun Gothic" w:hAnsi="Malgun Gothic"/>
          <w:sz w:val="20"/>
          <w:szCs w:val="20"/>
        </w:rPr>
        <w:t xml:space="preserve"> — 평가자는 알고리즘 추천 점수와 다른 점수를 줄 수 있으나, 1점 차이는 사유와 채택 근거를, 2점 이상 차이는 상세 사유와 품질검토자 승인을 기록해야 합니다. 1점 조건을 무시하려면 관리자와 품질검토자의 이중 승인이 필요합니다. 모든 수정은 이전 값·이후 값·사유·승인자와 함께 남습니다.</w:t>
      </w:r>
    </w:p>
    <w:p>
      <w:pPr>
        <w:spacing w:after="120"/>
      </w:pPr>
      <w:r>
        <w:rPr>
          <w:rFonts w:ascii="Malgun Gothic" w:cs="Malgun Gothic" w:eastAsia="Malgun Gothic" w:hAnsi="Malgun Gothic"/>
          <w:b/>
          <w:bCs/>
          <w:sz w:val="20"/>
          <w:szCs w:val="20"/>
        </w:rPr>
        <w:t xml:space="preserve">수행기관의 이의제기</w:t>
      </w:r>
      <w:r>
        <w:rPr>
          <w:rFonts w:ascii="Malgun Gothic" w:cs="Malgun Gothic" w:eastAsia="Malgun Gothic" w:hAnsi="Malgun Gothic"/>
          <w:sz w:val="20"/>
          <w:szCs w:val="20"/>
        </w:rPr>
        <w:t xml:space="preserve"> — 결과 확정 전 세부 지표 단위로 이의를 제기할 수 있습니다. 이의에는 새 자료 또는 기준 사례 인용이 첨부되어야 하며, 처리는 자료 추가 → 재판정 → 재계산 경로로만 이루어집니다. 점수를 직접 조정하는 경로는 없습니다.</w:t>
      </w:r>
    </w:p>
    <w:p>
      <w:pPr>
        <w:spacing w:after="120"/>
      </w:pPr>
      <w:r>
        <w:rPr>
          <w:rFonts w:ascii="Malgun Gothic" w:cs="Malgun Gothic" w:eastAsia="Malgun Gothic" w:hAnsi="Malgun Gothic"/>
          <w:b/>
          <w:bCs/>
          <w:sz w:val="20"/>
          <w:szCs w:val="20"/>
        </w:rPr>
        <w:t xml:space="preserve">기준의 관리</w:t>
      </w:r>
      <w:r>
        <w:rPr>
          <w:rFonts w:ascii="Malgun Gothic" w:cs="Malgun Gothic" w:eastAsia="Malgun Gothic" w:hAnsi="Malgun Gothic"/>
          <w:sz w:val="20"/>
          <w:szCs w:val="20"/>
        </w:rPr>
        <w:t xml:space="preserve"> — 세부 지표의 판정 문장, 필수 조건, 상한 규칙, 대응표는 평가기관·수행기관 대표·외부 전문가로 구성된 위원회가 승인하고 버전으로 고정합니다. 진행 중인 평가에는 새 버전이 소급 적용되지 않습니다. 시스템은 평가자 간 일치도를 지표별로 상시 측정하며, 일치도가 반복적으로 낮은 지표는 판정 문장이 모호하다는 뜻이므로 자동으로 개정 안건에 오릅니다.</w:t>
      </w:r>
    </w:p>
    <w:p>
      <w:pPr>
        <w:pStyle w:val="Heading1"/>
      </w:pPr>
      <w:r>
        <w:rPr>
          <w:rFonts w:ascii="Malgun Gothic" w:cs="Malgun Gothic" w:eastAsia="Malgun Gothic" w:hAnsi="Malgun Gothic"/>
        </w:rPr>
        <w:t xml:space="preserve">7. 자주 묻는 질문</w:t>
      </w:r>
    </w:p>
    <w:p>
      <w:pPr>
        <w:spacing w:after="120"/>
      </w:pPr>
      <w:r>
        <w:rPr>
          <w:rFonts w:ascii="Malgun Gothic" w:cs="Malgun Gothic" w:eastAsia="Malgun Gothic" w:hAnsi="Malgun Gothic"/>
          <w:b/>
          <w:bCs/>
          <w:sz w:val="20"/>
          <w:szCs w:val="20"/>
        </w:rPr>
        <w:t xml:space="preserve">우리 최종보고서에 다 적혀 있는데 왜 인정이 안 되는가?</w:t>
      </w:r>
    </w:p>
    <w:p>
      <w:pPr>
        <w:spacing w:after="120"/>
      </w:pPr>
      <w:r>
        <w:rPr>
          <w:rFonts w:ascii="Malgun Gothic" w:cs="Malgun Gothic" w:eastAsia="Malgun Gothic" w:hAnsi="Malgun Gothic"/>
          <w:sz w:val="20"/>
          <w:szCs w:val="20"/>
        </w:rPr>
        <w:t xml:space="preserve">최종보고서는 1등급 자료(수행기관 자체 서술)입니다. 내용이 사실이더라도 그것을 뒷받침하는 회의록·검수서·조사 원자료·행정통계가 없으면 '상당 부분'까지만 인정됩니다. 이는 수행기관을 불신해서가 아니라, 모든 사업에 같은 기준을 적용하기 위해서입니다. 보고서에 인용된 자료를 첨부하면 대부분 해결됩니다.</w:t>
      </w:r>
    </w:p>
    <w:p>
      <w:pPr>
        <w:spacing w:after="120"/>
      </w:pPr>
      <w:r>
        <w:rPr>
          <w:rFonts w:ascii="Malgun Gothic" w:cs="Malgun Gothic" w:eastAsia="Malgun Gothic" w:hAnsi="Malgun Gothic"/>
          <w:b/>
          <w:bCs/>
          <w:sz w:val="20"/>
          <w:szCs w:val="20"/>
        </w:rPr>
        <w:t xml:space="preserve">자료가 없으면 감점인가?</w:t>
      </w:r>
    </w:p>
    <w:p>
      <w:pPr>
        <w:spacing w:after="120"/>
      </w:pPr>
      <w:r>
        <w:rPr>
          <w:rFonts w:ascii="Malgun Gothic" w:cs="Malgun Gothic" w:eastAsia="Malgun Gothic" w:hAnsi="Malgun Gothic"/>
          <w:sz w:val="20"/>
          <w:szCs w:val="20"/>
        </w:rPr>
        <w:t xml:space="preserve">아닙니다. 자료가 없는 항목은 '미확인'이며 점수를 깎지 않습니다. 다만 근거가 부족한 질문은 4점을 받을 수 없고, 근거 확보율이 60% 미만이면 점수 자체가 보류되어 자료 보완 요청이 나갑니다.</w:t>
      </w:r>
    </w:p>
    <w:p>
      <w:pPr>
        <w:spacing w:after="120"/>
      </w:pPr>
      <w:r>
        <w:rPr>
          <w:rFonts w:ascii="Malgun Gothic" w:cs="Malgun Gothic" w:eastAsia="Malgun Gothic" w:hAnsi="Malgun Gothic"/>
          <w:b/>
          <w:bCs/>
          <w:sz w:val="20"/>
          <w:szCs w:val="20"/>
        </w:rPr>
        <w:t xml:space="preserve">종합 지수가 85인데 왜 3점인가?</w:t>
      </w:r>
    </w:p>
    <w:p>
      <w:pPr>
        <w:spacing w:after="120"/>
      </w:pPr>
      <w:r>
        <w:rPr>
          <w:rFonts w:ascii="Malgun Gothic" w:cs="Malgun Gothic" w:eastAsia="Malgun Gothic" w:hAnsi="Malgun Gothic"/>
          <w:sz w:val="20"/>
          <w:szCs w:val="20"/>
        </w:rPr>
        <w:t xml:space="preserve">공식 기준의 4점 문장이 요구하는 필수 조건 중 하나가 완전 충족이 아니기 때문입니다. 시스템은 어느 조건이 미충족인지, 4점이 되려면 어떤 자료가 필요한지를 함께 표시합니다.</w:t>
      </w:r>
    </w:p>
    <w:p>
      <w:pPr>
        <w:spacing w:after="120"/>
      </w:pPr>
      <w:r>
        <w:rPr>
          <w:rFonts w:ascii="Malgun Gothic" w:cs="Malgun Gothic" w:eastAsia="Malgun Gothic" w:hAnsi="Malgun Gothic"/>
          <w:b/>
          <w:bCs/>
          <w:sz w:val="20"/>
          <w:szCs w:val="20"/>
        </w:rPr>
        <w:t xml:space="preserve">우리 사업은 특수해서 이 지표가 맞지 않는다.</w:t>
      </w:r>
    </w:p>
    <w:p>
      <w:pPr>
        <w:spacing w:after="120"/>
      </w:pPr>
      <w:r>
        <w:rPr>
          <w:rFonts w:ascii="Malgun Gothic" w:cs="Malgun Gothic" w:eastAsia="Malgun Gothic" w:hAnsi="Malgun Gothic"/>
          <w:sz w:val="20"/>
          <w:szCs w:val="20"/>
        </w:rPr>
        <w:t xml:space="preserve">평가기간 중 상황변화가 없었던 경우, 연계할 사업이 없었던 경우처럼 공식 기준이 인정하는 상황은 예외 사유로 처리됩니다. 그 밖의 특수성은 평가자가 사유를 기록하고 점수를 수정할 수 있으며, 반복되는 특수성은 기준 개정 안건이 됩니다.</w:t>
      </w:r>
    </w:p>
    <w:p>
      <w:pPr>
        <w:spacing w:after="120"/>
      </w:pPr>
      <w:r>
        <w:rPr>
          <w:rFonts w:ascii="Malgun Gothic" w:cs="Malgun Gothic" w:eastAsia="Malgun Gothic" w:hAnsi="Malgun Gothic"/>
          <w:b/>
          <w:bCs/>
          <w:sz w:val="20"/>
          <w:szCs w:val="20"/>
        </w:rPr>
        <w:t xml:space="preserve">두 평가자가 다르게 판정하면 누가 맞는가?</w:t>
      </w:r>
    </w:p>
    <w:p>
      <w:pPr>
        <w:spacing w:after="120"/>
      </w:pPr>
      <w:r>
        <w:rPr>
          <w:rFonts w:ascii="Malgun Gothic" w:cs="Malgun Gothic" w:eastAsia="Malgun Gothic" w:hAnsi="Malgun Gothic"/>
          <w:sz w:val="20"/>
          <w:szCs w:val="20"/>
        </w:rPr>
        <w:t xml:space="preserve">시스템은 누가 맞는지를 정하지 않습니다. 어느 항목에서 왜 달라졌는지를 보여주고, 6장의 해소 순서에 따라 자료와 기준 사례로 결정합니다. 결정 과정은 기록됩니다.</w:t>
      </w:r>
    </w:p>
    <w:p>
      <w:pPr>
        <w:spacing w:after="120"/>
      </w:pPr>
      <w:r>
        <w:rPr>
          <w:rFonts w:ascii="Malgun Gothic" w:cs="Malgun Gothic" w:eastAsia="Malgun Gothic" w:hAnsi="Malgun Gothic"/>
          <w:b/>
          <w:bCs/>
          <w:sz w:val="20"/>
          <w:szCs w:val="20"/>
        </w:rPr>
        <w:t xml:space="preserve">점수를 AI가 정하는가?</w:t>
      </w:r>
    </w:p>
    <w:p>
      <w:pPr>
        <w:spacing w:after="120"/>
      </w:pPr>
      <w:r>
        <w:rPr>
          <w:rFonts w:ascii="Malgun Gothic" w:cs="Malgun Gothic" w:eastAsia="Malgun Gothic" w:hAnsi="Malgun Gothic"/>
          <w:sz w:val="20"/>
          <w:szCs w:val="20"/>
        </w:rPr>
        <w:t xml:space="preserve">AI는 문서에서 근거를 찾아 위치와 함께 제시하고 판정을 제안합니다. 점수·상한·등급의 계산은 버전이 고정된 규칙으로 이루어지며, 같은 자료와 같은 기준 버전이면 언제 계산해도 같은 결과가 나옵니다. 최종 확정은 평가자가 합니다.</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t xml:space="preserve">ODA 종료평가 표준화 평가체계 설명서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Malgun Gothic" w:cs="Malgun Gothic" w:eastAsia="Malgun Gothic" w:hAnsi="Malgun Gothic"/>
      <w:b/>
      <w:bCs/>
      <w:color w:val="1F3864"/>
      <w:sz w:val="40"/>
      <w:szCs w:val="40"/>
    </w:rPr>
  </w:style>
  <w:style w:type="paragraph" w:styleId="Heading1">
    <w:name w:val="Heading 1"/>
    <w:basedOn w:val="Normal"/>
    <w:next w:val="Normal"/>
    <w:qFormat/>
    <w:pPr>
      <w:spacing w:after="160" w:before="360"/>
      <w:outlineLvl w:val="0"/>
    </w:pPr>
    <w:rPr>
      <w:rFonts w:ascii="Malgun Gothic" w:cs="Malgun Gothic" w:eastAsia="Malgun Gothic" w:hAnsi="Malgun Gothic"/>
      <w:b/>
      <w:bCs/>
      <w:color w:val="1F3864"/>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2026-09-16T19:18:30.373Z</dcterms:created>
  <dcterms:modified xsi:type="dcterms:W3CDTF">2026-09-16T19:18:30.383Z</dcterms:modified>
</cp:coreProperties>
</file>

<file path=docProps/custom.xml><?xml version="1.0" encoding="utf-8"?>
<Properties xmlns="http://schemas.openxmlformats.org/officeDocument/2006/custom-properties" xmlns:vt="http://schemas.openxmlformats.org/officeDocument/2006/docPropsVTypes"/>
</file>