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8B4916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8B4916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8B4916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8B491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4927BCEA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w określonych godzinach pracy oraz lokalizację </w:t>
      </w:r>
      <w:r w:rsidR="00C948A1">
        <w:t>pomieszczeń</w:t>
      </w:r>
      <w:r w:rsidR="00E87B91">
        <w:t xml:space="preserve"> w budynkach Wydziału Informatyki . W dalszej części dokumentacji podane są wszystkie potrzebne informacje.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0F320E3C" w14:textId="2155CC2B" w:rsidR="00F32359" w:rsidRDefault="00F32359" w:rsidP="00F32359">
      <w:r>
        <w:t xml:space="preserve">Celem </w:t>
      </w:r>
      <w:r w:rsidR="00E36B64">
        <w:t>s</w:t>
      </w:r>
      <w:r w:rsidR="00E36B64">
        <w:t>erwis</w:t>
      </w:r>
      <w:r w:rsidR="00E36B64">
        <w:t>u</w:t>
      </w:r>
      <w:r w:rsidR="00E36B64">
        <w:t xml:space="preserve"> internetow</w:t>
      </w:r>
      <w:r w:rsidR="00E36B64">
        <w:t>ego</w:t>
      </w:r>
      <w:r w:rsidR="00E36B64">
        <w:t xml:space="preserve"> </w:t>
      </w:r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jest ułatwianie lokalizowania pracowników</w:t>
      </w:r>
      <w:r w:rsidR="007C1861">
        <w:t xml:space="preserve"> oraz pomieszczeń</w:t>
      </w:r>
      <w:r>
        <w:t xml:space="preserve"> Wydziału Informatyki ZUT o określonej porze dnia.</w:t>
      </w:r>
    </w:p>
    <w:p w14:paraId="1925C11C" w14:textId="57AD586A" w:rsidR="00EF22CC" w:rsidRPr="00EF22CC" w:rsidRDefault="00F32359" w:rsidP="00EF22CC">
      <w:r>
        <w:t>Dokument jest przeznaczony dla zespołu projektowego oraz dla szanownego grona dydaktycznego sprawdzając</w:t>
      </w:r>
      <w:r w:rsidR="00886990">
        <w:t>ego</w:t>
      </w:r>
      <w:r>
        <w:t xml:space="preserve"> naszą pracę.</w:t>
      </w:r>
    </w:p>
    <w:p w14:paraId="586E18D3" w14:textId="4A27E7D4" w:rsidR="00EF22CC" w:rsidRPr="00D97595" w:rsidRDefault="00EF22CC" w:rsidP="00EF22CC">
      <w:pPr>
        <w:pStyle w:val="Nagwek2"/>
      </w:pPr>
      <w:bookmarkStart w:id="4" w:name="_Toc52991317"/>
      <w:r w:rsidRPr="00D97595">
        <w:t>1.2 Przyjęte konwencje</w:t>
      </w:r>
      <w:bookmarkEnd w:id="4"/>
    </w:p>
    <w:p w14:paraId="695E0863" w14:textId="61C6B516" w:rsidR="005653B3" w:rsidRDefault="00EF22CC" w:rsidP="00EF22CC">
      <w:r w:rsidRPr="00EF22CC">
        <w:t>Opisz tu przyjęte standardy I konwencje, znaczenie formatowania.</w:t>
      </w:r>
    </w:p>
    <w:p w14:paraId="6505AAD0" w14:textId="77777777" w:rsidR="007C1861" w:rsidRDefault="007C1861" w:rsidP="00EF22CC"/>
    <w:p w14:paraId="67D1B80C" w14:textId="6E5B4B18" w:rsidR="005653B3" w:rsidRPr="00EF22CC" w:rsidRDefault="007766EC" w:rsidP="00EF22CC">
      <w:r>
        <w:t xml:space="preserve">Wydział Informatyki Zachodniopomorskiego </w:t>
      </w:r>
      <w:r w:rsidR="005C7573">
        <w:t>Uniwersytetu Technologicznego</w:t>
      </w:r>
      <w:r w:rsidR="007C1861">
        <w:t xml:space="preserve"> </w:t>
      </w:r>
      <w:r w:rsidR="00921371">
        <w:t>– WI ZUT.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57749E79" w:rsidR="00EF22CC" w:rsidRDefault="00EF22CC" w:rsidP="00EF22CC"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FF06000" w14:textId="77777777" w:rsidR="005653B3" w:rsidRDefault="005653B3" w:rsidP="00EF22CC"/>
    <w:p w14:paraId="0FB4635C" w14:textId="6143F18F" w:rsidR="00F709F9" w:rsidRDefault="00F709F9" w:rsidP="00EF22CC">
      <w:r>
        <w:t>Główne funkcje oprogramowania:</w:t>
      </w:r>
    </w:p>
    <w:p w14:paraId="0696E80C" w14:textId="79AC29A6" w:rsidR="00F709F9" w:rsidRDefault="00F709F9" w:rsidP="00EF22CC">
      <w:r>
        <w:t xml:space="preserve">- wyszukiwarka </w:t>
      </w:r>
      <w:r w:rsidR="005653B3">
        <w:t xml:space="preserve">miejsca pobytu pracowników </w:t>
      </w:r>
      <w:r w:rsidR="00886990">
        <w:t>WI</w:t>
      </w:r>
      <w:r w:rsidR="005653B3">
        <w:t xml:space="preserve"> ZUT w określonym przedziale czasowym</w:t>
      </w:r>
    </w:p>
    <w:p w14:paraId="4065C762" w14:textId="7B0E8C5C" w:rsidR="005653B3" w:rsidRDefault="005653B3" w:rsidP="00EF22CC">
      <w:r>
        <w:t xml:space="preserve">- wyszukiwarka </w:t>
      </w:r>
      <w:proofErr w:type="spellStart"/>
      <w:r>
        <w:t>sal</w:t>
      </w:r>
      <w:proofErr w:type="spellEnd"/>
      <w:r>
        <w:t xml:space="preserve">, pomieszczeń, auli </w:t>
      </w:r>
      <w:r w:rsidR="00365753">
        <w:t>WI</w:t>
      </w:r>
      <w:r>
        <w:t xml:space="preserve"> ZUT</w:t>
      </w:r>
    </w:p>
    <w:p w14:paraId="05DB7565" w14:textId="33B12E0B" w:rsidR="0054114B" w:rsidRPr="00D97595" w:rsidRDefault="0054114B" w:rsidP="00EF22CC">
      <w:r>
        <w:t xml:space="preserve">- cyfrowa makieta interaktywna budynków </w:t>
      </w:r>
      <w:r w:rsidR="00365753">
        <w:t>WI</w:t>
      </w:r>
      <w:r>
        <w:t xml:space="preserve"> ZUT z informacjami o </w:t>
      </w:r>
      <w:r w:rsidR="00406E22">
        <w:t>salach, gabinetach i pomieszczeniach</w:t>
      </w:r>
    </w:p>
    <w:p w14:paraId="28F45854" w14:textId="6D9C4A2B" w:rsidR="00EF22CC" w:rsidRDefault="00EF22CC" w:rsidP="00EF22CC">
      <w:pPr>
        <w:pStyle w:val="Nagwek2"/>
      </w:pPr>
      <w:bookmarkStart w:id="6" w:name="_Toc52991319"/>
      <w:r w:rsidRPr="00D97595">
        <w:t>1.4 Odwołania</w:t>
      </w:r>
      <w:bookmarkEnd w:id="6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47A71224" w:rsidR="00EF22CC" w:rsidRDefault="005653B3" w:rsidP="00EF22CC">
      <w:r>
        <w:t>Dokument - ‘</w:t>
      </w:r>
      <w:proofErr w:type="spellStart"/>
      <w:r>
        <w:t>Wymagania_przypadki_użycia_WBS</w:t>
      </w:r>
      <w:proofErr w:type="spellEnd"/>
      <w:r>
        <w:t>’, w którym znajdują się:</w:t>
      </w:r>
    </w:p>
    <w:p w14:paraId="6F6FD26E" w14:textId="180FA001" w:rsidR="005653B3" w:rsidRDefault="005653B3" w:rsidP="00EF22CC">
      <w:r>
        <w:t>- wymagania funkcjonalne</w:t>
      </w:r>
    </w:p>
    <w:p w14:paraId="2A7A0A2D" w14:textId="7B7E8626" w:rsidR="005653B3" w:rsidRDefault="005653B3" w:rsidP="00EF22CC">
      <w:r>
        <w:lastRenderedPageBreak/>
        <w:t>- wymagania niefunkcjonalne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68BF3BFD" w:rsidR="005653B3" w:rsidRPr="00EF22CC" w:rsidRDefault="005653B3" w:rsidP="00EF22CC">
      <w:r>
        <w:t>Dokument – ‘WBS-Delphi’ z wyceną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5EA3E758" w:rsidR="00EF22CC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50EF042B" w14:textId="7C7FC05B" w:rsidR="00406E22" w:rsidRDefault="00406E22" w:rsidP="00EF22CC"/>
    <w:p w14:paraId="4C0361FD" w14:textId="77777777" w:rsidR="00406E22" w:rsidRPr="00DD7B4B" w:rsidRDefault="00406E22" w:rsidP="00EF22CC"/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1048E144" w:rsidR="00EF22CC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56F6B2C9" w14:textId="3EE1F126" w:rsidR="007E4F22" w:rsidRDefault="007E4F22" w:rsidP="00EF22CC"/>
    <w:p w14:paraId="7CED1AF7" w14:textId="77777777" w:rsidR="007E4F22" w:rsidRPr="00DD7B4B" w:rsidRDefault="007E4F22" w:rsidP="00EF22CC"/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744F34FA" w:rsidR="00EF22CC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1DB04EBD" w14:textId="5110BB5B" w:rsidR="007E4F22" w:rsidRDefault="007E4F22" w:rsidP="00EF22CC"/>
    <w:p w14:paraId="09F0604A" w14:textId="6F9004DD" w:rsidR="007E4F22" w:rsidRPr="00DD7B4B" w:rsidRDefault="007E4F22" w:rsidP="00EF22CC">
      <w:r>
        <w:t>Oprogramowanie działa jako witryna internetowa, dostępne jest na przeglądarkach internetowych …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031795B7" w:rsidR="00EF22CC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3AD731AC" w14:textId="6C99630F" w:rsidR="007E4F22" w:rsidRDefault="007E4F22" w:rsidP="00EF22CC"/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29870DB6" w:rsidR="007E4F22" w:rsidRPr="005827F0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lastRenderedPageBreak/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D97595" w:rsidRDefault="00457AF2" w:rsidP="00EF22CC"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D97595" w:rsidRDefault="00EF22CC" w:rsidP="00457AF2">
      <w:pPr>
        <w:pStyle w:val="Nagwek1"/>
      </w:pPr>
      <w:bookmarkStart w:id="13" w:name="_Toc52991326"/>
      <w:r w:rsidRPr="00D97595">
        <w:t xml:space="preserve">3. </w:t>
      </w:r>
      <w:r w:rsidR="00FD2D09" w:rsidRPr="00D97595">
        <w:t>Funkcjonalności systemu</w:t>
      </w:r>
      <w:bookmarkEnd w:id="13"/>
    </w:p>
    <w:p w14:paraId="12C1A052" w14:textId="31E5F37F" w:rsidR="00EF22CC" w:rsidRPr="00D97595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5A92B531" w:rsidR="00EF22CC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493DEC7F" w14:textId="7701B744" w:rsidR="00A806FD" w:rsidRPr="00FD2D09" w:rsidRDefault="00A806FD" w:rsidP="00EF22CC"/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D97595" w:rsidRDefault="00FD2D09" w:rsidP="00EF22CC"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D97595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lastRenderedPageBreak/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D97595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D97595" w:rsidRDefault="00EF22CC" w:rsidP="00B56BBE">
      <w:pPr>
        <w:pStyle w:val="Nagwek2"/>
      </w:pPr>
      <w:bookmarkStart w:id="25" w:name="_Toc52991338"/>
      <w:r w:rsidRPr="00D97595">
        <w:t xml:space="preserve">5.4 </w:t>
      </w:r>
      <w:r w:rsidR="00B56BBE" w:rsidRPr="00D97595">
        <w:t>Interfejsy komunikacyjne</w:t>
      </w:r>
      <w:bookmarkEnd w:id="25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D97595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D97595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lastRenderedPageBreak/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D97595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D97595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D97595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D97595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D97595" w:rsidRDefault="00E107FD" w:rsidP="00E107FD">
      <w:pPr>
        <w:pStyle w:val="Nagwek1"/>
      </w:pPr>
      <w:bookmarkStart w:id="35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4261" w14:textId="77777777" w:rsidR="00A66054" w:rsidRDefault="00A66054" w:rsidP="007B5743">
      <w:pPr>
        <w:spacing w:after="0" w:line="240" w:lineRule="auto"/>
      </w:pPr>
      <w:r>
        <w:separator/>
      </w:r>
    </w:p>
  </w:endnote>
  <w:endnote w:type="continuationSeparator" w:id="0">
    <w:p w14:paraId="6264707F" w14:textId="77777777" w:rsidR="00A66054" w:rsidRDefault="00A66054" w:rsidP="007B5743">
      <w:pPr>
        <w:spacing w:after="0" w:line="240" w:lineRule="auto"/>
      </w:pPr>
      <w:r>
        <w:continuationSeparator/>
      </w:r>
    </w:p>
  </w:endnote>
  <w:endnote w:type="continuationNotice" w:id="1">
    <w:p w14:paraId="29908BCB" w14:textId="77777777" w:rsidR="00DE7CEB" w:rsidRDefault="00DE7C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3DEE" w14:textId="77777777" w:rsidR="00A66054" w:rsidRDefault="00A66054" w:rsidP="007B5743">
      <w:pPr>
        <w:spacing w:after="0" w:line="240" w:lineRule="auto"/>
      </w:pPr>
      <w:r>
        <w:separator/>
      </w:r>
    </w:p>
  </w:footnote>
  <w:footnote w:type="continuationSeparator" w:id="0">
    <w:p w14:paraId="76005E37" w14:textId="77777777" w:rsidR="00A66054" w:rsidRDefault="00A66054" w:rsidP="007B5743">
      <w:pPr>
        <w:spacing w:after="0" w:line="240" w:lineRule="auto"/>
      </w:pPr>
      <w:r>
        <w:continuationSeparator/>
      </w:r>
    </w:p>
  </w:footnote>
  <w:footnote w:type="continuationNotice" w:id="1">
    <w:p w14:paraId="23AFB347" w14:textId="77777777" w:rsidR="00DE7CEB" w:rsidRDefault="00DE7C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410495591">
    <w:abstractNumId w:val="1"/>
  </w:num>
  <w:num w:numId="2" w16cid:durableId="6963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55C3F"/>
    <w:rsid w:val="00163744"/>
    <w:rsid w:val="0016471F"/>
    <w:rsid w:val="001E13FE"/>
    <w:rsid w:val="002342E2"/>
    <w:rsid w:val="00252C92"/>
    <w:rsid w:val="002D259A"/>
    <w:rsid w:val="002D67BB"/>
    <w:rsid w:val="00365753"/>
    <w:rsid w:val="003A3955"/>
    <w:rsid w:val="00406E22"/>
    <w:rsid w:val="00457AF2"/>
    <w:rsid w:val="00471B37"/>
    <w:rsid w:val="00483DB5"/>
    <w:rsid w:val="004E3FD1"/>
    <w:rsid w:val="00530871"/>
    <w:rsid w:val="0054114B"/>
    <w:rsid w:val="005653B3"/>
    <w:rsid w:val="005827F0"/>
    <w:rsid w:val="005C7573"/>
    <w:rsid w:val="00616DD2"/>
    <w:rsid w:val="00617D70"/>
    <w:rsid w:val="0069647C"/>
    <w:rsid w:val="006E3A01"/>
    <w:rsid w:val="00743FE7"/>
    <w:rsid w:val="007766EC"/>
    <w:rsid w:val="00784556"/>
    <w:rsid w:val="007B5743"/>
    <w:rsid w:val="007C1861"/>
    <w:rsid w:val="007E0AAA"/>
    <w:rsid w:val="007E4F22"/>
    <w:rsid w:val="00807F40"/>
    <w:rsid w:val="008377F0"/>
    <w:rsid w:val="00863D09"/>
    <w:rsid w:val="00886990"/>
    <w:rsid w:val="008A3F07"/>
    <w:rsid w:val="008D7E49"/>
    <w:rsid w:val="00921035"/>
    <w:rsid w:val="00921371"/>
    <w:rsid w:val="00944113"/>
    <w:rsid w:val="009629B7"/>
    <w:rsid w:val="0097671B"/>
    <w:rsid w:val="00A016C8"/>
    <w:rsid w:val="00A66054"/>
    <w:rsid w:val="00A806FD"/>
    <w:rsid w:val="00AE2CFE"/>
    <w:rsid w:val="00B40DFB"/>
    <w:rsid w:val="00B56BBE"/>
    <w:rsid w:val="00BF4A02"/>
    <w:rsid w:val="00C200F1"/>
    <w:rsid w:val="00C77705"/>
    <w:rsid w:val="00C948A1"/>
    <w:rsid w:val="00D242CC"/>
    <w:rsid w:val="00D5427E"/>
    <w:rsid w:val="00D97595"/>
    <w:rsid w:val="00DD7B4B"/>
    <w:rsid w:val="00DE7CEB"/>
    <w:rsid w:val="00E016A8"/>
    <w:rsid w:val="00E107FD"/>
    <w:rsid w:val="00E36B64"/>
    <w:rsid w:val="00E87B91"/>
    <w:rsid w:val="00EF22CC"/>
    <w:rsid w:val="00F32359"/>
    <w:rsid w:val="00F52A05"/>
    <w:rsid w:val="00F709F9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2122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2</cp:revision>
  <dcterms:created xsi:type="dcterms:W3CDTF">2023-01-14T20:22:00Z</dcterms:created>
  <dcterms:modified xsi:type="dcterms:W3CDTF">2023-01-14T20:22:00Z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