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A"/>
          <w:sz w:val="22"/>
          <w:szCs w:val="22"/>
        </w:rPr>
        <w:t xml:space="preserve">dobryai.pl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Piotr Antoniewicz — konsultant i trener AI dla organizacji</w:t>
      </w:r>
    </w:p>
    <w:p>
      <w:pPr>
        <w:pStyle w:val="Title"/>
        <w:spacing w:after="100"/>
      </w:pPr>
      <w:r>
        <w:rPr>
          <w:b/>
          <w:bCs/>
          <w:color w:val="1F4E5A"/>
          <w:sz w:val="40"/>
          <w:szCs w:val="40"/>
        </w:rPr>
        <w:t xml:space="preserve">Oferta szkolenia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AI w pracy nauczyciela akademickiego — dydaktyka, badania, publikacje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F4E5A"/>
          <w:sz w:val="24"/>
          <w:szCs w:val="24"/>
        </w:rPr>
        <w:t xml:space="preserve">W skrócie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dni szkoleniowe × 4 godziny (łącznie 8 h), zajęcia stacjonarne</w:t>
            </w:r>
          </w:p>
        </w:tc>
      </w:tr>
      <w:tr>
        <w:tc>
          <w:tcPr>
            <w:tcW w:type="dxa" w:w="3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Grupa docelowa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Nauczyciele akademiccy — poziom początkujący, bez wymaganego wcześniejszego doświadczenia z AI</w:t>
            </w:r>
          </w:p>
        </w:tc>
      </w:tr>
      <w:tr>
        <w:tc>
          <w:tcPr>
            <w:tcW w:type="dxa" w:w="3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Narzędzia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Ogólnodostępne, darmowe wersje: ChatGPT, Gemini, NotebookLM (bez wymogu licencji instytucjonalnych)</w:t>
            </w:r>
          </w:p>
        </w:tc>
      </w:tr>
      <w:tr>
        <w:tc>
          <w:tcPr>
            <w:tcW w:type="dxa" w:w="3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Grupa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15–20 osób na grupę (przy większej liczbie uczestników rekomendowany podział na grupy równoległe)</w:t>
            </w:r>
          </w:p>
        </w:tc>
      </w:tr>
      <w:tr>
        <w:tc>
          <w:tcPr>
            <w:tcW w:type="dxa" w:w="3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Miejsce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 szkoleniowa uczelni, wymagany rzutnik/ekran i dostęp do internetu dla uczestników (własne laptopy)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F4E5A"/>
          <w:sz w:val="24"/>
          <w:szCs w:val="24"/>
        </w:rPr>
        <w:t xml:space="preserve">Dla kogo</w:t>
      </w:r>
    </w:p>
    <w:p>
      <w:pPr>
        <w:spacing w:after="120"/>
      </w:pPr>
      <w:r>
        <w:rPr>
          <w:sz w:val="21"/>
          <w:szCs w:val="21"/>
        </w:rPr>
        <w:t xml:space="preserve">Szkolenie adresowane jest do wykładowców, adiunktów, profesorów i doktorantów, którzy chcą świadomie i odpowiedzialnie wykorzystywać generatywną AI w trzech obszarach swojej pracy: prowadzeniu zajęć, pracy badawczej i pisaniu publikacji naukowych. Program zakłada poziom początkujący — nie wymaga wcześniejszego doświadczenia z narzędziami AI.</w:t>
      </w:r>
    </w:p>
    <w:p>
      <w:pPr>
        <w:pStyle w:val="Heading2"/>
        <w:spacing w:after="100" w:before="200"/>
      </w:pPr>
      <w:r>
        <w:rPr>
          <w:b/>
          <w:bCs/>
          <w:color w:val="1F4E5A"/>
          <w:sz w:val="24"/>
          <w:szCs w:val="24"/>
        </w:rPr>
        <w:t xml:space="preserve">Cele szkolenia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Uczestnicy rozumieją, jak działają modele językowe (LLM) i potrafią świadomie ocenić ich możliwości oraz ograniczenia (halucynacje, brak aktualnej wiedzy, stronniczość).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Uczestnicy potrafią samodzielnie wykorzystać AI do przygotowania materiałów dydaktycznych, oceniania i informacji zwrotnej dla studentów.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Uczestnicy potrafią wykorzystać AI we wstępnym etapie badań (przegląd literatury, synteza źródeł) oraz w redakcji tekstów naukowych — z zachowaniem rzetelności naukowej i zgodności z politykami wydawców.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Uczestnicy znają podstawowe zasady bezpieczeństwa danych, RODO i wymogi ujawniania wykorzystania AI w publikacjach.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5A"/>
          <w:sz w:val="28"/>
          <w:szCs w:val="28"/>
        </w:rPr>
        <w:t xml:space="preserve">Program szkolenia</w:t>
      </w:r>
    </w:p>
    <w:p>
      <w:pPr>
        <w:pStyle w:val="Heading2"/>
        <w:spacing w:after="100" w:before="200"/>
      </w:pPr>
      <w:r>
        <w:rPr>
          <w:b/>
          <w:bCs/>
          <w:color w:val="1F4E5A"/>
          <w:sz w:val="24"/>
          <w:szCs w:val="24"/>
        </w:rPr>
        <w:t xml:space="preserve">Dzień 1 (4 h) — AI w dydaktyce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Wprowadzenie do generatywnej AI: jak działają modele językowe, czym są halucynacje, jak weryfikować odpowiedzi. Przegląd narzędzi (ChatGPT, Gemini, Claude) i różnic między nimi.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Prompt engineering w praktyce — jak formułować polecenia, żeby otrzymać użyteczny, gotowy do wykorzystania materiał.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Bezpieczeństwo danych i etyka: co wolno wprowadzać do narzędzi AI (dane studentów, prace niepublikowane), podstawy RODO, polityki uczelni.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w przygotowaniu zajęć: sylabusy, konspekty, warianty ćwiczeń i studiów przypadków, quizy i zadania sprawdzające, materiały dla różnych poziomów zaawansowania.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jako wsparcie w ocenianiu: przygotowanie rubryk oceny, generowanie informacji zwrotnej dla studentów, wykrywanie tekstów pisanych przez AI — możliwości i ograniczenia.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Warsztat praktyczny: każdy uczestnik pracuje na własnym przedmiocie/materiale i wychodzi z gotowym konspektem zajęć wspartym AI.</w:t>
      </w:r>
    </w:p>
    <w:p>
      <w:pPr>
        <w:pStyle w:val="Heading2"/>
        <w:spacing w:after="100" w:before="200"/>
      </w:pPr>
      <w:r>
        <w:rPr>
          <w:b/>
          <w:bCs/>
          <w:color w:val="1F4E5A"/>
          <w:sz w:val="24"/>
          <w:szCs w:val="24"/>
        </w:rPr>
        <w:t xml:space="preserve">Dzień 2 (4 h) — AI w badaniach i publikacjach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we wczesnym etapie badań: przegląd literatury, synteza wielu źródeł, narzędzia do pracy z dużymi zbiorami dokumentów (np. NotebookLM).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Wyszukiwanie i weryfikacja źródeł z AI — jak unikać fałszywych cytowań i halucynowanych publikacji; zasada „AI proponuje, człowiek weryfikuje”.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w pisaniu naukowym: strukturyzacja artykułu, redakcja i korekta językowa, streszczenia i abstrakty, tłumaczenia — z zachowaniem własnego głosu autorskiego.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Granice etyczne i formalne: polityki czasopism i wydawców dot. AI, wymogi ujawniania wykorzystania AI, ryzyka dla rzetelności naukowej.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Krótki moduł regulacyjny: AI Act i RODO w kontekście danych badawczych — co realnie zmienia się dla pracownika naukowego.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Warsztat praktyczny: uczestnicy pracują na fragmencie własnego artykułu lub projektu badawczego.</w:t>
      </w:r>
    </w:p>
    <w:p>
      <w:pPr>
        <w:pStyle w:val="Heading2"/>
        <w:spacing w:after="100" w:before="200"/>
      </w:pPr>
      <w:r>
        <w:rPr>
          <w:b/>
          <w:bCs/>
          <w:color w:val="1F4E5A"/>
          <w:sz w:val="24"/>
          <w:szCs w:val="24"/>
        </w:rPr>
        <w:t xml:space="preserve">Metodyka</w:t>
      </w:r>
    </w:p>
    <w:p>
      <w:pPr>
        <w:spacing w:after="120"/>
      </w:pPr>
      <w:r>
        <w:rPr>
          <w:sz w:val="21"/>
          <w:szCs w:val="21"/>
        </w:rPr>
        <w:t xml:space="preserve">Szkolenie ma charakter warsztatowy — każdy blok teoretyczny (ok. 30–40% czasu) jest natychmiast przećwiczony na materiałach własnych uczestników (ok. 60–70% czasu). Uczestnicy pracują na swoich laptopach z darmowymi wersjami narzędzi, więc mogą kontynuować pracę tymi samymi metodami po szkoleniu, bez konieczności zakupu licencji.</w:t>
      </w:r>
    </w:p>
    <w:p>
      <w:pPr>
        <w:pStyle w:val="Heading2"/>
        <w:spacing w:after="100" w:before="200"/>
      </w:pPr>
      <w:r>
        <w:rPr>
          <w:b/>
          <w:bCs/>
          <w:color w:val="1F4E5A"/>
          <w:sz w:val="24"/>
          <w:szCs w:val="24"/>
        </w:rPr>
        <w:t xml:space="preserve">Materiały i po szkoleniu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Zestaw gotowych promptów dopasowanych do dydaktyki, badań i publikacji (biblioteka do samodzielnego wykorzystania).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Krótkie materiały podsumowujące (PDF) do każdego dnia.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Zaświadczenie ukończenia szkolenia dla uczestników.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Opcjonalnie: 30-dniowe wsparcie mailowe dla uczestników przy pierwszych samodzielnych próbach wdrożenia.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5A"/>
          <w:sz w:val="28"/>
          <w:szCs w:val="28"/>
        </w:rPr>
        <w:t xml:space="preserve">Wycena</w:t>
      </w:r>
    </w:p>
    <w:p>
      <w:pPr>
        <w:spacing w:after="120"/>
      </w:pPr>
      <w:r>
        <w:rPr>
          <w:sz w:val="21"/>
          <w:szCs w:val="21"/>
        </w:rPr>
        <w:t xml:space="preserve">Poniższa wycena to punkt wyjścia do rozmowy — ostateczna kwota zależy od liczby uczestników, terminu i ewentualnych dodatkowych ustaleń (np. materiałów dopasowanych do konkretnego wydziału).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600"/>
      </w:tblGrid>
      <w:tr>
        <w:tc>
          <w:tcPr>
            <w:tcW w:type="dxa" w:w="6200"/>
            <w:shd w:fill="1F4E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Pozycja</w:t>
            </w:r>
          </w:p>
        </w:tc>
        <w:tc>
          <w:tcPr>
            <w:tcW w:type="dxa" w:w="3600"/>
            <w:shd w:fill="1F4E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Kwota netto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Szkolenie stacjonarne, 2 dni × 4 h (1 grupa, do ok. 20 osób)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7 500 – 9 000 zł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Dojazd i ewentualny nocleg (jeśli lokalizacja poza Warszawą)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wg kosztów rzeczywistych, do uzgodnienia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Materiały dodatkowe dopasowane do wydziału/dyscypliny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wycena indywidualna</w:t>
            </w:r>
          </w:p>
        </w:tc>
      </w:tr>
    </w:tbl>
    <w:p>
      <w:pPr>
        <w:spacing w:after="150" w:before="150"/>
      </w:pPr>
      <w:r>
        <w:rPr>
          <w:i/>
          <w:iCs/>
          <w:color w:val="555555"/>
          <w:sz w:val="18"/>
          <w:szCs w:val="18"/>
        </w:rPr>
        <w:t xml:space="preserve">Do podanych kwot netto zostanie doliczony VAT wg obowiązującej stawki. Rozliczenie na podstawie faktury VAT, płatność przelewem po zrealizowanym szkoleniu (termin do uzgodnienia).</w:t>
      </w:r>
    </w:p>
    <w:p>
      <w:pPr>
        <w:pStyle w:val="Heading2"/>
        <w:spacing w:after="100" w:before="200"/>
      </w:pPr>
      <w:r>
        <w:rPr>
          <w:b/>
          <w:bCs/>
          <w:color w:val="1F4E5A"/>
          <w:sz w:val="24"/>
          <w:szCs w:val="24"/>
        </w:rPr>
        <w:t xml:space="preserve">O prowadzącym</w:t>
      </w:r>
    </w:p>
    <w:p>
      <w:pPr>
        <w:spacing w:after="120"/>
      </w:pPr>
      <w:r>
        <w:rPr>
          <w:sz w:val="21"/>
          <w:szCs w:val="21"/>
        </w:rPr>
        <w:t xml:space="preserve">Piotr Antoniewicz — konsultant i trener specjalizujący się w praktycznym wdrażaniu AI w organizacjach (automatyzacja, fundraising, digital campaigning, ghostwriting). Prowadzi szkolenia z AI m.in. dla organizacji społecznych (we współpracy z TechSoup Polska) oraz posiada ukończone certyfikowane kursy z zakresu strategii AI i AI dla liderów (Microsoft/LinkedIn Learning). Podejście oparte na praktyce: uczestnicy wychodzą z gotowymi materiałami, nie tylko teorią.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/>
      </w:pPr>
      <w:r>
        <w:rPr>
          <w:sz w:val="19"/>
          <w:szCs w:val="19"/>
        </w:rPr>
        <w:t xml:space="preserve">Kontakt: piotr.antoniewicz@gmail.com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2026-07-21T12:10:31.791Z</dcterms:created>
  <dcterms:modified xsi:type="dcterms:W3CDTF">2026-07-21T12:10:31.791Z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