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87" w:rsidRDefault="00A15187">
      <w:pPr>
        <w:rPr>
          <w:lang w:val="pl-PL"/>
        </w:rPr>
      </w:pPr>
    </w:p>
    <w:p w:rsidR="00A15187" w:rsidRPr="00187AF4" w:rsidRDefault="00A15187">
      <w:pPr>
        <w:rPr>
          <w:b/>
          <w:sz w:val="36"/>
          <w:szCs w:val="36"/>
          <w:lang w:val="pl-PL"/>
        </w:rPr>
      </w:pPr>
      <w:r w:rsidRPr="00187AF4">
        <w:rPr>
          <w:b/>
          <w:sz w:val="36"/>
          <w:szCs w:val="36"/>
          <w:lang w:val="pl-PL"/>
        </w:rPr>
        <w:t xml:space="preserve">Badanie efektywności inwestycyjnej prostej strategii opartej na koncepcji poziomów </w:t>
      </w:r>
      <w:proofErr w:type="spellStart"/>
      <w:r w:rsidRPr="00187AF4">
        <w:rPr>
          <w:b/>
          <w:sz w:val="36"/>
          <w:szCs w:val="36"/>
          <w:lang w:val="pl-PL"/>
        </w:rPr>
        <w:t>pivot</w:t>
      </w:r>
      <w:proofErr w:type="spellEnd"/>
      <w:r w:rsidRPr="00187AF4">
        <w:rPr>
          <w:b/>
          <w:sz w:val="36"/>
          <w:szCs w:val="36"/>
          <w:lang w:val="pl-PL"/>
        </w:rPr>
        <w:t xml:space="preserve"> </w:t>
      </w:r>
      <w:proofErr w:type="spellStart"/>
      <w:r w:rsidRPr="00187AF4">
        <w:rPr>
          <w:b/>
          <w:sz w:val="36"/>
          <w:szCs w:val="36"/>
          <w:lang w:val="pl-PL"/>
        </w:rPr>
        <w:t>points</w:t>
      </w:r>
      <w:proofErr w:type="spellEnd"/>
      <w:r w:rsidRPr="00187AF4">
        <w:rPr>
          <w:b/>
          <w:sz w:val="36"/>
          <w:szCs w:val="36"/>
          <w:lang w:val="pl-PL"/>
        </w:rPr>
        <w:t xml:space="preserve"> za pomocą kryterium Matthewsa.</w:t>
      </w:r>
    </w:p>
    <w:p w:rsidR="00A15187" w:rsidRDefault="00A15187">
      <w:pPr>
        <w:rPr>
          <w:lang w:val="pl-PL"/>
        </w:rPr>
      </w:pPr>
    </w:p>
    <w:p w:rsidR="00A15187" w:rsidRDefault="00A15187">
      <w:pPr>
        <w:rPr>
          <w:lang w:val="pl-PL"/>
        </w:rPr>
      </w:pPr>
      <w:r>
        <w:rPr>
          <w:lang w:val="pl-PL"/>
        </w:rPr>
        <w:t xml:space="preserve">Nyczaj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w:t>
      </w:r>
      <w:proofErr w:type="spellStart"/>
      <w:r w:rsidR="00B5146E">
        <w:rPr>
          <w:lang w:val="pl-PL"/>
        </w:rPr>
        <w:t>Wsród</w:t>
      </w:r>
      <w:proofErr w:type="spellEnd"/>
      <w:r w:rsidR="00B5146E">
        <w:rPr>
          <w:lang w:val="pl-PL"/>
        </w:rPr>
        <w:t xml:space="preserve"> tych strategii jest zwykła </w:t>
      </w:r>
      <w:r w:rsidR="001215F6">
        <w:rPr>
          <w:lang w:val="pl-PL"/>
        </w:rPr>
        <w:t>strategia</w:t>
      </w:r>
      <w:r w:rsidR="00B5146E">
        <w:rPr>
          <w:lang w:val="pl-PL"/>
        </w:rPr>
        <w:t xml:space="preserve"> oparta na koncepcji poziomów </w:t>
      </w:r>
      <w:proofErr w:type="spellStart"/>
      <w:r w:rsidR="00B5146E">
        <w:rPr>
          <w:lang w:val="pl-PL"/>
        </w:rPr>
        <w:t>pivot</w:t>
      </w:r>
      <w:proofErr w:type="spellEnd"/>
      <w:r w:rsidR="00B5146E">
        <w:rPr>
          <w:lang w:val="pl-PL"/>
        </w:rPr>
        <w:t xml:space="preserve"> </w:t>
      </w:r>
      <w:proofErr w:type="spellStart"/>
      <w:r w:rsidR="00B5146E">
        <w:rPr>
          <w:lang w:val="pl-PL"/>
        </w:rPr>
        <w:t>points</w:t>
      </w:r>
      <w:proofErr w:type="spellEnd"/>
      <w:r w:rsidR="00B5146E">
        <w:rPr>
          <w:lang w:val="pl-PL"/>
        </w:rPr>
        <w:t xml:space="preserve"> oraz bardziej złożone s</w:t>
      </w:r>
      <w:r w:rsidR="0012411A">
        <w:rPr>
          <w:lang w:val="pl-PL"/>
        </w:rPr>
        <w:t xml:space="preserve">trategie </w:t>
      </w:r>
      <w:r w:rsidR="00B5146E">
        <w:rPr>
          <w:lang w:val="pl-PL"/>
        </w:rPr>
        <w:t>pochodne</w:t>
      </w:r>
      <w:r w:rsidR="00ED5692">
        <w:rPr>
          <w:lang w:val="pl-PL"/>
        </w:rPr>
        <w:t>, oparte na wektorze optymalizowanych wartości pewnych parametrów</w:t>
      </w:r>
      <w:r w:rsidR="00B5146E">
        <w:rPr>
          <w:lang w:val="pl-PL"/>
        </w:rPr>
        <w:t xml:space="preserve"> . Strategie te </w:t>
      </w:r>
      <w:r w:rsidR="0012411A">
        <w:rPr>
          <w:lang w:val="pl-PL"/>
        </w:rPr>
        <w:t xml:space="preserve"> oceniane s</w:t>
      </w:r>
      <w:r w:rsidR="001215F6">
        <w:rPr>
          <w:lang w:val="pl-PL"/>
        </w:rPr>
        <w:t>ą</w:t>
      </w:r>
      <w:r w:rsidR="0012411A">
        <w:rPr>
          <w:lang w:val="pl-PL"/>
        </w:rPr>
        <w:t xml:space="preserve"> zarówno za pomocą tradycyjn</w:t>
      </w:r>
      <w:r w:rsidR="00EC586F">
        <w:rPr>
          <w:lang w:val="pl-PL"/>
        </w:rPr>
        <w:t xml:space="preserve">ych </w:t>
      </w:r>
      <w:r w:rsidR="0012411A">
        <w:rPr>
          <w:lang w:val="pl-PL"/>
        </w:rPr>
        <w:t>kryteriów</w:t>
      </w:r>
      <w:r w:rsidR="00B5146E">
        <w:rPr>
          <w:lang w:val="pl-PL"/>
        </w:rPr>
        <w:t xml:space="preserve"> </w:t>
      </w:r>
      <w:r w:rsidR="0012411A">
        <w:rPr>
          <w:lang w:val="pl-PL"/>
        </w:rPr>
        <w:t>jak i proponowanego przez autorów zmodyfikowanego MCC.</w:t>
      </w:r>
      <w:r w:rsidR="00ED5692">
        <w:rPr>
          <w:lang w:val="pl-PL"/>
        </w:rPr>
        <w:t xml:space="preserve"> </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r w:rsidR="00B10C48">
        <w:rPr>
          <w:lang w:val="pl-PL"/>
        </w:rPr>
        <w:t xml:space="preserve"> (</w:t>
      </w:r>
      <w:proofErr w:type="spellStart"/>
      <w:r w:rsidR="00B10C48">
        <w:rPr>
          <w:lang w:val="pl-PL"/>
        </w:rPr>
        <w:t>S</w:t>
      </w:r>
      <w:r w:rsidR="0027015F">
        <w:rPr>
          <w:lang w:val="pl-PL"/>
        </w:rPr>
        <w:t>h</w:t>
      </w:r>
      <w:r w:rsidR="00B10C48">
        <w:rPr>
          <w:lang w:val="pl-PL"/>
        </w:rPr>
        <w:t>arpe</w:t>
      </w:r>
      <w:proofErr w:type="spellEnd"/>
      <w:r w:rsidR="00B10C48">
        <w:rPr>
          <w:lang w:val="pl-PL"/>
        </w:rPr>
        <w:t xml:space="preserve">, </w:t>
      </w:r>
      <w:proofErr w:type="spellStart"/>
      <w:r w:rsidR="00B10C48">
        <w:rPr>
          <w:lang w:val="pl-PL"/>
        </w:rPr>
        <w:t>Calmar</w:t>
      </w:r>
      <w:proofErr w:type="spellEnd"/>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ED5692" w:rsidRDefault="00ED5692">
      <w:pPr>
        <w:rPr>
          <w:lang w:val="pl-PL"/>
        </w:rPr>
      </w:pPr>
      <w:r>
        <w:rPr>
          <w:lang w:val="pl-PL"/>
        </w:rPr>
        <w:t>Strategia oparta na regułach wynikających wprost z wielu sugestii literaturowych. Autorzy dowodzą empirycznie jej niskiej efektywności.</w:t>
      </w:r>
    </w:p>
    <w:p w:rsidR="00ED5692" w:rsidRDefault="00AA4EB8">
      <w:pPr>
        <w:rPr>
          <w:lang w:val="pl-PL"/>
        </w:rPr>
      </w:pPr>
      <w:r>
        <w:rPr>
          <w:lang w:val="pl-PL"/>
        </w:rPr>
        <w:t>Strategie</w:t>
      </w:r>
      <w:r w:rsidR="00ED5692">
        <w:rPr>
          <w:lang w:val="pl-PL"/>
        </w:rPr>
        <w:t xml:space="preserve"> oparte na pewnych parametrów np. związanych z wolumenem lub okresem do </w:t>
      </w:r>
      <w:r>
        <w:rPr>
          <w:lang w:val="pl-PL"/>
        </w:rPr>
        <w:t>zamknięcia</w:t>
      </w:r>
      <w:r w:rsidR="00ED5692">
        <w:rPr>
          <w:lang w:val="pl-PL"/>
        </w:rPr>
        <w:t xml:space="preserve"> pozycji.</w:t>
      </w:r>
    </w:p>
    <w:p w:rsidR="00ED5692" w:rsidRDefault="00ED5692">
      <w:pPr>
        <w:rPr>
          <w:lang w:val="pl-PL"/>
        </w:rPr>
      </w:pPr>
    </w:p>
    <w:p w:rsidR="00F02714" w:rsidRDefault="00F02714">
      <w:pPr>
        <w:rPr>
          <w:lang w:val="pl-PL"/>
        </w:rPr>
      </w:pPr>
    </w:p>
    <w:p w:rsidR="00496875" w:rsidRDefault="00496875">
      <w:pPr>
        <w:rPr>
          <w:lang w:val="pl-PL"/>
        </w:rPr>
      </w:pPr>
      <w:r>
        <w:rPr>
          <w:lang w:val="pl-PL"/>
        </w:rPr>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00A24420">
        <w:rPr>
          <w:b/>
          <w:lang w:val="pl-PL"/>
        </w:rPr>
        <w:t xml:space="preserve">, </w:t>
      </w:r>
      <w:proofErr w:type="spellStart"/>
      <w:r w:rsidR="00A24420">
        <w:rPr>
          <w:b/>
          <w:lang w:val="pl-PL"/>
        </w:rPr>
        <w:t>aw</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A24420" w:rsidRDefault="00E163E4">
      <w:pPr>
        <w:rPr>
          <w:lang w:val="pl-PL"/>
        </w:rPr>
      </w:pPr>
      <w:r>
        <w:rPr>
          <w:lang w:val="pl-PL"/>
        </w:rPr>
        <w:t xml:space="preserve">W pracy rozpatruje się dwie zasadniczo różne strategie związane z ideą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(PP). Pierwsza, to traktowanie sugestii wielu autorów i pomysłodawców PP dosłownie, a druga to wprowadzenie dodatkowych parametrów poddawanych optymalizacji w uczeniu maszynowym.</w:t>
      </w:r>
    </w:p>
    <w:p w:rsidR="00E163E4" w:rsidRDefault="00E163E4">
      <w:pPr>
        <w:rPr>
          <w:lang w:val="pl-PL"/>
        </w:rPr>
      </w:pPr>
      <w:r>
        <w:rPr>
          <w:lang w:val="pl-PL"/>
        </w:rPr>
        <w:t>W ujęciu pierwszym PP traktuje się jako prostą, niezmienną i powtarzaln</w:t>
      </w:r>
      <w:r w:rsidR="00505959">
        <w:rPr>
          <w:lang w:val="pl-PL"/>
        </w:rPr>
        <w:t>ą</w:t>
      </w:r>
      <w:r>
        <w:rPr>
          <w:lang w:val="pl-PL"/>
        </w:rPr>
        <w:t xml:space="preserve"> operację.</w:t>
      </w:r>
      <w:r w:rsidR="00505959">
        <w:rPr>
          <w:lang w:val="pl-PL"/>
        </w:rPr>
        <w:t xml:space="preserve"> Po zakończeniu kolejnej świecy obliczą się PP </w:t>
      </w:r>
      <w:r w:rsidR="007320C3">
        <w:rPr>
          <w:lang w:val="pl-PL"/>
        </w:rPr>
        <w:t xml:space="preserve">[ ] </w:t>
      </w:r>
      <w:r w:rsidR="00505959">
        <w:rPr>
          <w:lang w:val="pl-PL"/>
        </w:rPr>
        <w:t>i wszystkie pochodne poziomy wg tradycyjnych (ewentualnie zmodyfikowanych formuł) a następnie natychmiast otwiera pozycje długa lub krótką w zależności od sytuacji mi pozycję tę zamyka się na zamknięciu świecy, w której nastąpiło otwarcie.</w:t>
      </w:r>
    </w:p>
    <w:p w:rsidR="00505959" w:rsidRDefault="00505959">
      <w:pPr>
        <w:rPr>
          <w:lang w:val="pl-PL"/>
        </w:rPr>
      </w:pPr>
      <w:r>
        <w:rPr>
          <w:lang w:val="pl-PL"/>
        </w:rPr>
        <w:t>W ujęciu drugim strategie pierwszą wzbogaca się o parametry.</w:t>
      </w:r>
    </w:p>
    <w:p w:rsidR="00505959" w:rsidRDefault="00505959">
      <w:pPr>
        <w:rPr>
          <w:lang w:val="pl-PL"/>
        </w:rPr>
      </w:pPr>
      <w:r>
        <w:rPr>
          <w:lang w:val="pl-PL"/>
        </w:rPr>
        <w:t>Oto pierwszy prosty typ strategii.</w:t>
      </w:r>
    </w:p>
    <w:p w:rsidR="00505959" w:rsidRDefault="00505959">
      <w:pPr>
        <w:rPr>
          <w:lang w:val="pl-PL"/>
        </w:rPr>
      </w:pPr>
    </w:p>
    <w:p w:rsidR="00505959" w:rsidRDefault="00505959">
      <w:pPr>
        <w:rPr>
          <w:lang w:val="pl-PL"/>
        </w:rPr>
      </w:pPr>
    </w:p>
    <w:p w:rsidR="00A24420" w:rsidRDefault="00A24420">
      <w:pPr>
        <w:rPr>
          <w:lang w:val="pl-PL"/>
        </w:rPr>
      </w:pP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w:t>
      </w:r>
      <w:r w:rsidR="00D91FF9">
        <w:rPr>
          <w:lang w:val="pl-PL"/>
        </w:rPr>
        <w:t xml:space="preserve">tzw. </w:t>
      </w:r>
      <w:r>
        <w:rPr>
          <w:lang w:val="pl-PL"/>
        </w:rPr>
        <w:t>poziomy oporu</w:t>
      </w:r>
      <w:r w:rsidR="00B82F72">
        <w:rPr>
          <w:lang w:val="pl-PL"/>
        </w:rPr>
        <w:t xml:space="preserve"> (R1, R2)</w:t>
      </w:r>
      <w:r>
        <w:rPr>
          <w:lang w:val="pl-PL"/>
        </w:rPr>
        <w:t>, dwa dolne</w:t>
      </w:r>
      <w:r w:rsidR="00D91FF9">
        <w:rPr>
          <w:lang w:val="pl-PL"/>
        </w:rPr>
        <w:t xml:space="preserve"> zwane są </w:t>
      </w:r>
      <w:r>
        <w:rPr>
          <w:lang w:val="pl-PL"/>
        </w:rPr>
        <w:t>poziom</w:t>
      </w:r>
      <w:r w:rsidR="00D91FF9">
        <w:rPr>
          <w:lang w:val="pl-PL"/>
        </w:rPr>
        <w:t>ami</w:t>
      </w:r>
      <w:r>
        <w:rPr>
          <w:lang w:val="pl-PL"/>
        </w:rPr>
        <w:t xml:space="preserve">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0F7AA3" w:rsidRDefault="005E1E1F">
      <w:pPr>
        <w:rPr>
          <w:lang w:val="pl-PL"/>
        </w:rPr>
      </w:pPr>
      <w:r>
        <w:rPr>
          <w:lang w:val="pl-PL"/>
        </w:rPr>
        <w:t xml:space="preserve">Strategia </w:t>
      </w:r>
      <w:r w:rsidR="000F7AA3">
        <w:rPr>
          <w:lang w:val="pl-PL"/>
        </w:rPr>
        <w:t>polega na stawianiu czterech różnych hipotez co do dalszego przebiegu ceny w zależności od miejsca ceny zamknięcia na „skali”  poziomów obliczonej także w chwili zamknięcia świecy.</w:t>
      </w:r>
    </w:p>
    <w:p w:rsidR="005E1E1F" w:rsidRDefault="00AA4EB8">
      <w:pPr>
        <w:rPr>
          <w:lang w:val="pl-PL"/>
        </w:rPr>
      </w:pPr>
      <w:r>
        <w:rPr>
          <w:lang w:val="pl-PL"/>
        </w:rPr>
        <w:lastRenderedPageBreak/>
        <w:t xml:space="preserve">Przypuszcza </w:t>
      </w:r>
      <w:r w:rsidR="005E1E1F">
        <w:rPr>
          <w:lang w:val="pl-PL"/>
        </w:rPr>
        <w:t>się</w:t>
      </w:r>
      <w:r w:rsidR="002D4621">
        <w:rPr>
          <w:lang w:val="pl-PL"/>
        </w:rPr>
        <w:t xml:space="preserve"> więc, ż</w:t>
      </w:r>
      <w:r w:rsidR="005E1E1F">
        <w:rPr>
          <w:lang w:val="pl-PL"/>
        </w:rPr>
        <w:t xml:space="preserve">e jeżeli odchylenie </w:t>
      </w:r>
      <w:r>
        <w:rPr>
          <w:lang w:val="pl-PL"/>
        </w:rPr>
        <w:t xml:space="preserve">ceny </w:t>
      </w:r>
      <w:r w:rsidR="005E1E1F">
        <w:rPr>
          <w:lang w:val="pl-PL"/>
        </w:rPr>
        <w:t xml:space="preserve">w </w:t>
      </w:r>
      <w:r w:rsidR="00A41122">
        <w:rPr>
          <w:lang w:val="pl-PL"/>
        </w:rPr>
        <w:t>górę</w:t>
      </w:r>
      <w:r w:rsidR="005E1E1F">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FC054B" w:rsidRDefault="003E18BE">
      <w:pPr>
        <w:rPr>
          <w:lang w:val="pl-PL"/>
        </w:rPr>
      </w:pPr>
      <w:r>
        <w:rPr>
          <w:lang w:val="pl-PL"/>
        </w:rPr>
        <w:t xml:space="preserve">A – </w:t>
      </w:r>
      <w:proofErr w:type="spellStart"/>
      <w:r>
        <w:rPr>
          <w:lang w:val="pl-PL"/>
        </w:rPr>
        <w:t>s</w:t>
      </w:r>
      <w:r w:rsidR="00AE6744">
        <w:rPr>
          <w:lang w:val="pl-PL"/>
        </w:rPr>
        <w:t>u</w:t>
      </w:r>
      <w:r>
        <w:rPr>
          <w:lang w:val="pl-PL"/>
        </w:rPr>
        <w:t>bstartegia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w:t>
      </w:r>
      <w:r w:rsidR="00AA4EB8">
        <w:rPr>
          <w:lang w:val="pl-PL"/>
        </w:rPr>
        <w:t xml:space="preserve">. Pozycja </w:t>
      </w:r>
      <w:r w:rsidR="00EC7760">
        <w:rPr>
          <w:lang w:val="pl-PL"/>
        </w:rPr>
        <w:t>będzie</w:t>
      </w:r>
      <w:r w:rsidR="00AA4EB8">
        <w:rPr>
          <w:lang w:val="pl-PL"/>
        </w:rPr>
        <w:t xml:space="preserve"> </w:t>
      </w:r>
      <w:r w:rsidR="00EC7760">
        <w:rPr>
          <w:lang w:val="pl-PL"/>
        </w:rPr>
        <w:t>zamknięta</w:t>
      </w:r>
      <w:r w:rsidR="00AA4EB8">
        <w:rPr>
          <w:lang w:val="pl-PL"/>
        </w:rPr>
        <w:t xml:space="preserve"> na </w:t>
      </w:r>
      <w:r w:rsidR="00EC7760">
        <w:rPr>
          <w:lang w:val="pl-PL"/>
        </w:rPr>
        <w:t>zamknięciu</w:t>
      </w:r>
      <w:r w:rsidR="00AA4EB8">
        <w:rPr>
          <w:lang w:val="pl-PL"/>
        </w:rPr>
        <w:t xml:space="preserve"> bieżącej świecy a więc po upływie </w:t>
      </w:r>
      <w:r w:rsidR="00EC7760">
        <w:rPr>
          <w:lang w:val="pl-PL"/>
        </w:rPr>
        <w:t>jednego</w:t>
      </w:r>
      <w:r w:rsidR="00AA4EB8">
        <w:rPr>
          <w:lang w:val="pl-PL"/>
        </w:rPr>
        <w:t xml:space="preserve"> interwału </w:t>
      </w:r>
      <w:r w:rsidR="00EC7760">
        <w:rPr>
          <w:lang w:val="pl-PL"/>
        </w:rPr>
        <w:t>świecy</w:t>
      </w:r>
      <w:r w:rsidR="00AA4EB8">
        <w:rPr>
          <w:lang w:val="pl-PL"/>
        </w:rPr>
        <w:t xml:space="preserve">. Podobnie następne </w:t>
      </w:r>
      <w:proofErr w:type="spellStart"/>
      <w:r w:rsidR="00AA4EB8">
        <w:rPr>
          <w:lang w:val="pl-PL"/>
        </w:rPr>
        <w:t>substrategie</w:t>
      </w:r>
      <w:proofErr w:type="spellEnd"/>
      <w:r w:rsidR="00AA4EB8">
        <w:rPr>
          <w:lang w:val="pl-PL"/>
        </w:rPr>
        <w:t>.</w:t>
      </w:r>
    </w:p>
    <w:p w:rsidR="00AA4EB8" w:rsidRDefault="00711B7E">
      <w:pPr>
        <w:rPr>
          <w:lang w:val="pl-PL"/>
        </w:rPr>
      </w:pPr>
      <w:r>
        <w:rPr>
          <w:lang w:val="pl-PL"/>
        </w:rPr>
        <w:t xml:space="preserve">B  – </w:t>
      </w:r>
      <w:proofErr w:type="spellStart"/>
      <w:r>
        <w:rPr>
          <w:lang w:val="pl-PL"/>
        </w:rPr>
        <w:t>substartegia</w:t>
      </w:r>
      <w:proofErr w:type="spellEnd"/>
      <w:r>
        <w:rPr>
          <w:lang w:val="pl-PL"/>
        </w:rPr>
        <w:t xml:space="preserve"> uruchamiana, gdy bieżąca cena znajduje się powyżej poziomu R1, a jednocześnie poniżej poziomu R2. Inwestor otworzy wówczas pozycje krótką.  </w:t>
      </w:r>
    </w:p>
    <w:p w:rsidR="00AA4EB8" w:rsidRDefault="00AA4EB8" w:rsidP="00711B7E">
      <w:pPr>
        <w:rPr>
          <w:lang w:val="pl-PL"/>
        </w:rPr>
      </w:pPr>
      <w:r>
        <w:rPr>
          <w:lang w:val="pl-PL"/>
        </w:rPr>
        <w:t xml:space="preserve">C – </w:t>
      </w:r>
      <w:proofErr w:type="spellStart"/>
      <w:r w:rsidR="00711B7E" w:rsidRPr="00711B7E">
        <w:rPr>
          <w:lang w:val="pl-PL"/>
        </w:rPr>
        <w:t>substartegia</w:t>
      </w:r>
      <w:proofErr w:type="spellEnd"/>
      <w:r w:rsidR="00711B7E" w:rsidRPr="00711B7E">
        <w:rPr>
          <w:lang w:val="pl-PL"/>
        </w:rPr>
        <w:t xml:space="preserve"> uruchamiana, gdy bieżąca cena znajduje się powyżej pozi</w:t>
      </w:r>
      <w:r w:rsidR="00711B7E">
        <w:rPr>
          <w:lang w:val="pl-PL"/>
        </w:rPr>
        <w:t xml:space="preserve">omu S2, a jednocześnie poniżej </w:t>
      </w:r>
      <w:r w:rsidR="00711B7E" w:rsidRPr="00711B7E">
        <w:rPr>
          <w:lang w:val="pl-PL"/>
        </w:rPr>
        <w:t>poziomu S1. Inwestor otworzy wówczas pozycje długą.</w:t>
      </w:r>
    </w:p>
    <w:p w:rsidR="00AA4EB8" w:rsidRDefault="00711B7E" w:rsidP="00711B7E">
      <w:pPr>
        <w:rPr>
          <w:lang w:val="pl-PL"/>
        </w:rPr>
      </w:pPr>
      <w:r>
        <w:rPr>
          <w:lang w:val="pl-PL"/>
        </w:rPr>
        <w:t xml:space="preserve">D – </w:t>
      </w:r>
      <w:proofErr w:type="spellStart"/>
      <w:r w:rsidRPr="00711B7E">
        <w:rPr>
          <w:lang w:val="pl-PL"/>
        </w:rPr>
        <w:t>substartegia</w:t>
      </w:r>
      <w:proofErr w:type="spellEnd"/>
      <w:r w:rsidRPr="00711B7E">
        <w:rPr>
          <w:lang w:val="pl-PL"/>
        </w:rPr>
        <w:t xml:space="preserve"> uruchamiana, gdy bieżąca cena znajduje się poniże</w:t>
      </w:r>
      <w:r>
        <w:rPr>
          <w:lang w:val="pl-PL"/>
        </w:rPr>
        <w:t xml:space="preserve">j poziomu S2. Inwestor otworzy </w:t>
      </w:r>
      <w:r w:rsidRPr="00711B7E">
        <w:rPr>
          <w:lang w:val="pl-PL"/>
        </w:rPr>
        <w:t>wówczas pozycje krótką.</w:t>
      </w:r>
    </w:p>
    <w:p w:rsidR="00AA4EB8" w:rsidRDefault="00AA4EB8">
      <w:pPr>
        <w:rPr>
          <w:lang w:val="pl-PL"/>
        </w:rPr>
      </w:pPr>
      <w:r>
        <w:rPr>
          <w:lang w:val="pl-PL"/>
        </w:rPr>
        <w:t>Warto zauważyć, ze z uwagi na nieokreśloność sytuacji, gdy cena jest blisko PP nie otwiera się żadnej pozycji, jeżeli cena znajduję się wewnątrz wstęgi pomiędzy S1 i R1.</w:t>
      </w:r>
    </w:p>
    <w:p w:rsidR="00AA4EB8" w:rsidRDefault="00AA4EB8">
      <w:pPr>
        <w:rPr>
          <w:lang w:val="pl-PL"/>
        </w:rPr>
      </w:pPr>
      <w:r>
        <w:rPr>
          <w:lang w:val="pl-PL"/>
        </w:rPr>
        <w:t>Ta najprostsza strategia daje następujące rezultaty dla rozpatrywanego zbioru danych.</w:t>
      </w: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2B7269" w:rsidRDefault="002B7269" w:rsidP="002B7269">
      <w:pPr>
        <w:rPr>
          <w:lang w:val="pl-PL"/>
        </w:rPr>
      </w:pPr>
      <w:r>
        <w:rPr>
          <w:lang w:val="pl-PL"/>
        </w:rPr>
        <w:lastRenderedPageBreak/>
        <w:t>Krzywa skumulowanego zysku dla prostej strategii A:</w:t>
      </w:r>
      <w:r w:rsidRPr="002B7269">
        <w:rPr>
          <w:lang w:val="pl-PL"/>
        </w:rPr>
        <w:t xml:space="preserve"> </w:t>
      </w:r>
    </w:p>
    <w:p w:rsidR="00AA4EB8" w:rsidRDefault="002B7269" w:rsidP="002B7269">
      <w:pPr>
        <w:jc w:val="center"/>
        <w:rPr>
          <w:lang w:val="pl-PL"/>
        </w:rPr>
      </w:pPr>
      <w:r>
        <w:rPr>
          <w:noProof/>
          <w:lang w:val="pl-PL" w:eastAsia="pl-PL"/>
        </w:rPr>
        <w:drawing>
          <wp:inline distT="0" distB="0" distL="0" distR="0">
            <wp:extent cx="3846000" cy="2880000"/>
            <wp:effectExtent l="19050" t="0" r="2100" b="0"/>
            <wp:docPr id="3" name="Obraz 3" descr="C:\Users\Tomasz\AppData\Local\Microsoft\Windows\INetCache\Content.Word\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z\AppData\Local\Microsoft\Windows\INetCache\Content.Word\PivotPointsA.PNG"/>
                    <pic:cNvPicPr>
                      <a:picLocks noChangeAspect="1" noChangeArrowheads="1"/>
                    </pic:cNvPicPr>
                  </pic:nvPicPr>
                  <pic:blipFill>
                    <a:blip r:embed="rId8" cstate="print"/>
                    <a:srcRect/>
                    <a:stretch>
                      <a:fillRect/>
                    </a:stretch>
                  </pic:blipFill>
                  <pic:spPr bwMode="auto">
                    <a:xfrm>
                      <a:off x="0" y="0"/>
                      <a:ext cx="3846000" cy="2880000"/>
                    </a:xfrm>
                    <a:prstGeom prst="rect">
                      <a:avLst/>
                    </a:prstGeom>
                    <a:noFill/>
                    <a:ln w="9525">
                      <a:noFill/>
                      <a:miter lim="800000"/>
                      <a:headEnd/>
                      <a:tailEnd/>
                    </a:ln>
                  </pic:spPr>
                </pic:pic>
              </a:graphicData>
            </a:graphic>
          </wp:inline>
        </w:drawing>
      </w:r>
    </w:p>
    <w:p w:rsidR="002B7269" w:rsidRDefault="002B7269" w:rsidP="002B7269">
      <w:pPr>
        <w:rPr>
          <w:lang w:val="pl-PL"/>
        </w:rPr>
      </w:pPr>
    </w:p>
    <w:p w:rsidR="002B7269" w:rsidRDefault="002B7269" w:rsidP="002B7269">
      <w:pPr>
        <w:rPr>
          <w:lang w:val="pl-PL"/>
        </w:rPr>
      </w:pPr>
      <w:r>
        <w:rPr>
          <w:lang w:val="pl-PL"/>
        </w:rPr>
        <w:t>Krzywa skumulowanego zysku dla prostej strategii B:</w:t>
      </w:r>
    </w:p>
    <w:p w:rsidR="002B7269" w:rsidRDefault="002B7269" w:rsidP="002B7269">
      <w:pPr>
        <w:jc w:val="center"/>
        <w:rPr>
          <w:lang w:val="pl-PL"/>
        </w:rPr>
      </w:pPr>
      <w:r>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226.2pt">
            <v:imagedata r:id="rId9" o:title="PivotPointsD"/>
          </v:shape>
        </w:pict>
      </w: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2B7269" w:rsidRDefault="002B7269" w:rsidP="002B7269">
      <w:pPr>
        <w:rPr>
          <w:lang w:val="pl-PL"/>
        </w:rPr>
      </w:pPr>
      <w:r>
        <w:rPr>
          <w:lang w:val="pl-PL"/>
        </w:rPr>
        <w:lastRenderedPageBreak/>
        <w:t>Krzywa skumulowanego zysku dla prostej strategii C:</w:t>
      </w:r>
    </w:p>
    <w:p w:rsidR="002B7269" w:rsidRDefault="002B7269" w:rsidP="002B7269">
      <w:pPr>
        <w:jc w:val="center"/>
        <w:rPr>
          <w:lang w:val="pl-PL"/>
        </w:rPr>
      </w:pPr>
      <w:r>
        <w:rPr>
          <w:noProof/>
          <w:lang w:val="pl-PL" w:eastAsia="pl-PL"/>
        </w:rPr>
        <w:drawing>
          <wp:inline distT="0" distB="0" distL="0" distR="0">
            <wp:extent cx="3846000" cy="2880000"/>
            <wp:effectExtent l="19050" t="0" r="2100" b="0"/>
            <wp:docPr id="2" name="Obraz 8" descr="C:\Users\Tomasz\AppData\Local\Microsoft\Windows\INetCache\Content.Word\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z\AppData\Local\Microsoft\Windows\INetCache\Content.Word\PivotPointsC.PNG"/>
                    <pic:cNvPicPr>
                      <a:picLocks noChangeAspect="1" noChangeArrowheads="1"/>
                    </pic:cNvPicPr>
                  </pic:nvPicPr>
                  <pic:blipFill>
                    <a:blip r:embed="rId10" cstate="print"/>
                    <a:srcRect/>
                    <a:stretch>
                      <a:fillRect/>
                    </a:stretch>
                  </pic:blipFill>
                  <pic:spPr bwMode="auto">
                    <a:xfrm>
                      <a:off x="0" y="0"/>
                      <a:ext cx="3846000" cy="2880000"/>
                    </a:xfrm>
                    <a:prstGeom prst="rect">
                      <a:avLst/>
                    </a:prstGeom>
                    <a:noFill/>
                    <a:ln w="9525">
                      <a:noFill/>
                      <a:miter lim="800000"/>
                      <a:headEnd/>
                      <a:tailEnd/>
                    </a:ln>
                  </pic:spPr>
                </pic:pic>
              </a:graphicData>
            </a:graphic>
          </wp:inline>
        </w:drawing>
      </w:r>
    </w:p>
    <w:p w:rsidR="002B7269" w:rsidRDefault="002B7269" w:rsidP="002B7269">
      <w:pPr>
        <w:rPr>
          <w:lang w:val="pl-PL"/>
        </w:rPr>
      </w:pPr>
      <w:r>
        <w:rPr>
          <w:lang w:val="pl-PL"/>
        </w:rPr>
        <w:t>Krzywa skumulowanego zysku dla prostej strategii D:</w:t>
      </w:r>
    </w:p>
    <w:p w:rsidR="002B7269" w:rsidRDefault="002B7269" w:rsidP="002B7269">
      <w:pPr>
        <w:jc w:val="center"/>
        <w:rPr>
          <w:lang w:val="pl-PL"/>
        </w:rPr>
      </w:pPr>
      <w:r>
        <w:rPr>
          <w:lang w:val="pl-PL"/>
        </w:rPr>
        <w:pict>
          <v:shape id="_x0000_i1026" type="#_x0000_t75" style="width:302.25pt;height:226.2pt;mso-position-vertical:absolute">
            <v:imagedata r:id="rId9" o:title="PivotPointsD"/>
          </v:shape>
        </w:pict>
      </w:r>
    </w:p>
    <w:p w:rsidR="00AA4EB8" w:rsidRDefault="00AA4EB8">
      <w:pPr>
        <w:rPr>
          <w:lang w:val="pl-PL"/>
        </w:rPr>
      </w:pPr>
    </w:p>
    <w:p w:rsidR="000D173D" w:rsidRDefault="000D173D">
      <w:pPr>
        <w:rPr>
          <w:lang w:val="pl-PL"/>
        </w:rPr>
      </w:pPr>
    </w:p>
    <w:p w:rsidR="000D173D" w:rsidRDefault="000D173D">
      <w:pPr>
        <w:rPr>
          <w:lang w:val="pl-PL"/>
        </w:rPr>
      </w:pPr>
    </w:p>
    <w:p w:rsidR="000D173D" w:rsidRDefault="000D173D">
      <w:pPr>
        <w:rPr>
          <w:lang w:val="pl-PL"/>
        </w:rPr>
      </w:pPr>
    </w:p>
    <w:p w:rsidR="000D173D" w:rsidRDefault="000D173D">
      <w:pPr>
        <w:rPr>
          <w:lang w:val="pl-PL"/>
        </w:rPr>
      </w:pPr>
    </w:p>
    <w:p w:rsidR="00AA4EB8" w:rsidRDefault="00AB5E88">
      <w:pPr>
        <w:rPr>
          <w:lang w:val="pl-PL"/>
        </w:rPr>
      </w:pPr>
      <w:r>
        <w:rPr>
          <w:lang w:val="pl-PL"/>
        </w:rPr>
        <w:lastRenderedPageBreak/>
        <w:t>Zgodnie z celem postawionym w tytule pracy powyższe symulacje oceniano także za pomocą MCC.</w:t>
      </w:r>
    </w:p>
    <w:p w:rsidR="003E18BE" w:rsidRDefault="00AE6744">
      <w:pPr>
        <w:rPr>
          <w:lang w:val="pl-PL"/>
        </w:rPr>
      </w:pPr>
      <w:r>
        <w:rPr>
          <w:lang w:val="pl-PL"/>
        </w:rPr>
        <w:t xml:space="preserve">W ocenie jakości te strategii za pomocą kryterium Matthewsa przyjmuje się następujące definicje zdarzeń z macierzy pomyłek. </w:t>
      </w:r>
    </w:p>
    <w:p w:rsidR="00AE6744" w:rsidRDefault="00AE6744">
      <w:pPr>
        <w:rPr>
          <w:lang w:val="pl-PL"/>
        </w:rPr>
      </w:pPr>
      <w:proofErr w:type="spellStart"/>
      <w:r>
        <w:rPr>
          <w:lang w:val="pl-PL"/>
        </w:rPr>
        <w:t>True</w:t>
      </w:r>
      <w:proofErr w:type="spellEnd"/>
      <w:r>
        <w:rPr>
          <w:lang w:val="pl-PL"/>
        </w:rPr>
        <w:t xml:space="preserv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proofErr w:type="spellStart"/>
      <w:r>
        <w:rPr>
          <w:lang w:val="pl-PL"/>
        </w:rPr>
        <w:t>True</w:t>
      </w:r>
      <w:proofErr w:type="spellEnd"/>
      <w:r>
        <w:rPr>
          <w:lang w:val="pl-PL"/>
        </w:rPr>
        <w:t xml:space="preserv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w:t>
      </w:r>
      <w:r w:rsidR="00AF1E79">
        <w:rPr>
          <w:lang w:val="pl-PL"/>
        </w:rPr>
        <w:t xml:space="preserve"> pomyłek</w:t>
      </w:r>
      <w:r>
        <w:rPr>
          <w:lang w:val="pl-PL"/>
        </w:rPr>
        <w:t xml:space="preserve"> przedstawiane poniżej będą zatem w postaci:</w:t>
      </w:r>
    </w:p>
    <w:tbl>
      <w:tblPr>
        <w:tblStyle w:val="Tabela-Siatka"/>
        <w:tblW w:w="0" w:type="auto"/>
        <w:jc w:val="center"/>
        <w:tblLook w:val="04A0"/>
      </w:tblPr>
      <w:tblGrid>
        <w:gridCol w:w="1949"/>
        <w:gridCol w:w="1600"/>
        <w:gridCol w:w="1439"/>
      </w:tblGrid>
      <w:tr w:rsidR="00AE4EC3" w:rsidTr="00AE4EC3">
        <w:trPr>
          <w:jc w:val="center"/>
        </w:trPr>
        <w:tc>
          <w:tcPr>
            <w:tcW w:w="1949" w:type="dxa"/>
          </w:tcPr>
          <w:p w:rsidR="00AE4EC3" w:rsidRDefault="00AE4EC3" w:rsidP="00216064">
            <w:pPr>
              <w:rPr>
                <w:lang w:val="pl-PL"/>
              </w:rPr>
            </w:pPr>
          </w:p>
        </w:tc>
        <w:tc>
          <w:tcPr>
            <w:tcW w:w="1600" w:type="dxa"/>
          </w:tcPr>
          <w:p w:rsidR="00AE4EC3" w:rsidRDefault="00AE4EC3" w:rsidP="00216064">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216064">
            <w:pPr>
              <w:rPr>
                <w:lang w:val="pl-PL"/>
              </w:rPr>
            </w:pPr>
            <w:r>
              <w:rPr>
                <w:lang w:val="pl-PL"/>
              </w:rPr>
              <w:t>TP</w:t>
            </w:r>
          </w:p>
        </w:tc>
        <w:tc>
          <w:tcPr>
            <w:tcW w:w="1439" w:type="dxa"/>
          </w:tcPr>
          <w:p w:rsidR="00AE4EC3" w:rsidRDefault="00AE4EC3" w:rsidP="00216064">
            <w:pPr>
              <w:rPr>
                <w:lang w:val="pl-PL"/>
              </w:rPr>
            </w:pPr>
            <w:r>
              <w:rPr>
                <w:lang w:val="pl-PL"/>
              </w:rPr>
              <w:t>FP</w:t>
            </w:r>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216064">
            <w:pPr>
              <w:rPr>
                <w:lang w:val="pl-PL"/>
              </w:rPr>
            </w:pPr>
            <w:r>
              <w:rPr>
                <w:lang w:val="pl-PL"/>
              </w:rPr>
              <w:t>FN</w:t>
            </w:r>
          </w:p>
        </w:tc>
        <w:tc>
          <w:tcPr>
            <w:tcW w:w="1439" w:type="dxa"/>
          </w:tcPr>
          <w:p w:rsidR="00AE4EC3" w:rsidRDefault="00AE4EC3" w:rsidP="00216064">
            <w:pPr>
              <w:rPr>
                <w:lang w:val="pl-PL"/>
              </w:rPr>
            </w:pPr>
            <w:r>
              <w:rPr>
                <w:lang w:val="pl-PL"/>
              </w:rPr>
              <w:t>TN</w:t>
            </w:r>
          </w:p>
        </w:tc>
      </w:tr>
    </w:tbl>
    <w:p w:rsidR="00060773" w:rsidRDefault="00060773" w:rsidP="00060773">
      <w:pPr>
        <w:rPr>
          <w:lang w:val="pl-PL"/>
        </w:rPr>
      </w:pPr>
    </w:p>
    <w:p w:rsidR="00060773" w:rsidRDefault="00060773" w:rsidP="00060773">
      <w:pPr>
        <w:rPr>
          <w:lang w:val="pl-PL"/>
        </w:rPr>
      </w:pPr>
      <w:r>
        <w:rPr>
          <w:lang w:val="pl-PL"/>
        </w:rPr>
        <w:t>Autorzy w swoich badaniach do oceny efektywności strategii inwestycyjnych użyli wskaźnika korelacji Matthewsa (MCC), który wyznacza się przy pomocy wzoru:</w:t>
      </w:r>
    </w:p>
    <w:p w:rsidR="000D173D" w:rsidRDefault="00060773" w:rsidP="00C435EF">
      <w:pPr>
        <w:rPr>
          <w:lang w:val="pl-PL"/>
        </w:rPr>
      </w:pPr>
      <m:oMathPara>
        <m:oMath>
          <m:r>
            <w:rPr>
              <w:rFonts w:ascii="Cambria Math" w:hAnsi="Cambria Math"/>
              <w:lang w:val="pl-PL"/>
            </w:rPr>
            <m:t xml:space="preserve">MCC= </m:t>
          </m:r>
          <m:f>
            <m:fPr>
              <m:ctrlPr>
                <w:rPr>
                  <w:rFonts w:ascii="Cambria Math" w:hAnsi="Cambria Math"/>
                  <w:i/>
                  <w:lang w:val="pl-PL"/>
                </w:rPr>
              </m:ctrlPr>
            </m:fPr>
            <m:num>
              <m:r>
                <w:rPr>
                  <w:rFonts w:ascii="Cambria Math" w:hAnsi="Cambria Math"/>
                  <w:lang w:val="pl-PL"/>
                </w:rPr>
                <m:t>TP∙TN-FP∙FN</m:t>
              </m:r>
            </m:num>
            <m:den>
              <m:rad>
                <m:radPr>
                  <m:degHide m:val="on"/>
                  <m:ctrlPr>
                    <w:rPr>
                      <w:rFonts w:ascii="Cambria Math" w:hAnsi="Cambria Math"/>
                      <w:i/>
                      <w:lang w:val="pl-PL"/>
                    </w:rPr>
                  </m:ctrlPr>
                </m:radPr>
                <m:deg/>
                <m:e>
                  <m:d>
                    <m:dPr>
                      <m:ctrlPr>
                        <w:rPr>
                          <w:rFonts w:ascii="Cambria Math" w:hAnsi="Cambria Math"/>
                          <w:i/>
                          <w:lang w:val="pl-PL"/>
                        </w:rPr>
                      </m:ctrlPr>
                    </m:dPr>
                    <m:e>
                      <m:r>
                        <w:rPr>
                          <w:rFonts w:ascii="Cambria Math" w:hAnsi="Cambria Math"/>
                          <w:lang w:val="pl-PL"/>
                        </w:rPr>
                        <m:t>TP+FP</m:t>
                      </m:r>
                    </m:e>
                  </m:d>
                  <m:r>
                    <w:rPr>
                      <w:rFonts w:ascii="Cambria Math" w:hAnsi="Cambria Math"/>
                      <w:lang w:val="pl-PL"/>
                    </w:rPr>
                    <m:t>∙</m:t>
                  </m:r>
                  <m:d>
                    <m:dPr>
                      <m:ctrlPr>
                        <w:rPr>
                          <w:rFonts w:ascii="Cambria Math" w:hAnsi="Cambria Math"/>
                          <w:i/>
                          <w:lang w:val="pl-PL"/>
                        </w:rPr>
                      </m:ctrlPr>
                    </m:dPr>
                    <m:e>
                      <m:r>
                        <w:rPr>
                          <w:rFonts w:ascii="Cambria Math" w:hAnsi="Cambria Math"/>
                          <w:lang w:val="pl-PL"/>
                        </w:rPr>
                        <m:t>TP+FN</m:t>
                      </m:r>
                    </m:e>
                  </m:d>
                  <m:r>
                    <w:rPr>
                      <w:rFonts w:ascii="Cambria Math" w:hAnsi="Cambria Math"/>
                      <w:lang w:val="pl-PL"/>
                    </w:rPr>
                    <m:t>∙</m:t>
                  </m:r>
                  <m:d>
                    <m:dPr>
                      <m:ctrlPr>
                        <w:rPr>
                          <w:rFonts w:ascii="Cambria Math" w:hAnsi="Cambria Math"/>
                          <w:i/>
                          <w:lang w:val="pl-PL"/>
                        </w:rPr>
                      </m:ctrlPr>
                    </m:dPr>
                    <m:e>
                      <m:r>
                        <w:rPr>
                          <w:rFonts w:ascii="Cambria Math" w:hAnsi="Cambria Math"/>
                          <w:lang w:val="pl-PL"/>
                        </w:rPr>
                        <m:t>TN+FP</m:t>
                      </m:r>
                    </m:e>
                  </m:d>
                  <m:r>
                    <w:rPr>
                      <w:rFonts w:ascii="Cambria Math" w:hAnsi="Cambria Math"/>
                      <w:lang w:val="pl-PL"/>
                    </w:rPr>
                    <m:t>∙</m:t>
                  </m:r>
                  <m:d>
                    <m:dPr>
                      <m:ctrlPr>
                        <w:rPr>
                          <w:rFonts w:ascii="Cambria Math" w:hAnsi="Cambria Math"/>
                          <w:i/>
                          <w:lang w:val="pl-PL"/>
                        </w:rPr>
                      </m:ctrlPr>
                    </m:dPr>
                    <m:e>
                      <m:r>
                        <w:rPr>
                          <w:rFonts w:ascii="Cambria Math" w:hAnsi="Cambria Math"/>
                          <w:lang w:val="pl-PL"/>
                        </w:rPr>
                        <m:t>TN+FN</m:t>
                      </m:r>
                    </m:e>
                  </m:d>
                </m:e>
              </m:rad>
            </m:den>
          </m:f>
        </m:oMath>
      </m:oMathPara>
    </w:p>
    <w:p w:rsidR="000D173D" w:rsidRDefault="000D173D" w:rsidP="00C435EF">
      <w:pPr>
        <w:rPr>
          <w:lang w:val="pl-PL"/>
        </w:rPr>
      </w:pPr>
    </w:p>
    <w:p w:rsidR="00AB5E88" w:rsidRDefault="00AB5E88" w:rsidP="00AB5E88">
      <w:pPr>
        <w:rPr>
          <w:lang w:val="pl-PL"/>
        </w:rPr>
      </w:pPr>
      <w:r>
        <w:rPr>
          <w:lang w:val="pl-PL"/>
        </w:rPr>
        <w:t>Parametry strategii:</w:t>
      </w:r>
    </w:p>
    <w:p w:rsidR="00AB5E88" w:rsidRDefault="00AB5E88" w:rsidP="00AB5E88">
      <w:pPr>
        <w:pStyle w:val="Akapitzlist"/>
        <w:numPr>
          <w:ilvl w:val="0"/>
          <w:numId w:val="2"/>
        </w:numPr>
      </w:pPr>
      <w:r>
        <w:t>p1 – liczba kroków wprzód do zamknięcia pozycji,</w:t>
      </w:r>
    </w:p>
    <w:p w:rsidR="00AB5E88" w:rsidRDefault="00AB5E88" w:rsidP="00AB5E88">
      <w:pPr>
        <w:pStyle w:val="Akapitzlist"/>
        <w:numPr>
          <w:ilvl w:val="0"/>
          <w:numId w:val="2"/>
        </w:numPr>
      </w:pPr>
      <w:r>
        <w:t>p2 – liczba kroków wstecz do obliczania średniej wolumenu,</w:t>
      </w:r>
    </w:p>
    <w:p w:rsidR="00AB5E88" w:rsidRDefault="00AB5E88" w:rsidP="00AB5E88">
      <w:pPr>
        <w:pStyle w:val="Akapitzlist"/>
        <w:numPr>
          <w:ilvl w:val="0"/>
          <w:numId w:val="2"/>
        </w:numPr>
      </w:pPr>
      <w:r>
        <w:t>p3 – liczba kroków wstecz na krzywej zysku skumulowanego dla ustalenia decyzji o otwarciu pozycji,</w:t>
      </w:r>
    </w:p>
    <w:p w:rsidR="00AB5E88" w:rsidRDefault="00AB5E88" w:rsidP="00AB5E88">
      <w:pPr>
        <w:pStyle w:val="Akapitzlist"/>
        <w:numPr>
          <w:ilvl w:val="0"/>
          <w:numId w:val="2"/>
        </w:numPr>
      </w:pPr>
      <w:r>
        <w:t>p4 – wielkość obsunięcia decydująca o wstrzymaniu decyzji o otwarciu pozycji,</w:t>
      </w:r>
    </w:p>
    <w:p w:rsidR="00604523" w:rsidRPr="00A77711" w:rsidRDefault="00AB5E88" w:rsidP="00604523">
      <w:pPr>
        <w:pStyle w:val="Akapitzlist"/>
        <w:numPr>
          <w:ilvl w:val="0"/>
          <w:numId w:val="2"/>
        </w:numPr>
      </w:pPr>
      <w:r>
        <w:t>p5 – poziom wolumenu decydujący o otwarciu pozycji.</w:t>
      </w:r>
    </w:p>
    <w:p w:rsidR="001D607A" w:rsidRPr="002B7269" w:rsidRDefault="001D607A" w:rsidP="00AB5E88">
      <w:pPr>
        <w:rPr>
          <w:lang w:val="en-GB"/>
        </w:rPr>
      </w:pPr>
      <w:r w:rsidRPr="002B7269">
        <w:rPr>
          <w:lang w:val="en-GB"/>
        </w:rPr>
        <w:lastRenderedPageBreak/>
        <w:t>A</w:t>
      </w:r>
      <w:r w:rsidR="00604523" w:rsidRPr="002B7269">
        <w:rPr>
          <w:lang w:val="en-GB"/>
        </w:rPr>
        <w:t xml:space="preserve">: </w:t>
      </w:r>
      <w:proofErr w:type="spellStart"/>
      <w:r w:rsidR="00981E95" w:rsidRPr="002B7269">
        <w:rPr>
          <w:lang w:val="en-GB"/>
        </w:rPr>
        <w:t>Warunki</w:t>
      </w:r>
      <w:proofErr w:type="spellEnd"/>
      <w:r w:rsidR="00981E95" w:rsidRPr="002B7269">
        <w:rPr>
          <w:lang w:val="en-GB"/>
        </w:rPr>
        <w:t xml:space="preserve"> </w:t>
      </w:r>
      <w:proofErr w:type="spellStart"/>
      <w:r w:rsidR="00981E95" w:rsidRPr="002B7269">
        <w:rPr>
          <w:lang w:val="en-GB"/>
        </w:rPr>
        <w:t>otwarcia</w:t>
      </w:r>
      <w:proofErr w:type="spellEnd"/>
      <w:r w:rsidR="00981E95" w:rsidRPr="002B7269">
        <w:rPr>
          <w:lang w:val="en-GB"/>
        </w:rPr>
        <w:t>:</w:t>
      </w:r>
    </w:p>
    <w:p w:rsidR="00C650EB" w:rsidRDefault="00C650EB" w:rsidP="00AB5E88">
      <w:pPr>
        <w:rPr>
          <w:lang w:val="en-GB"/>
        </w:rPr>
      </w:pPr>
      <w:r w:rsidRPr="00981E95">
        <w:rPr>
          <w:lang w:val="en-GB"/>
        </w:rPr>
        <w:t>I</w:t>
      </w:r>
      <w:r w:rsidR="00981E95" w:rsidRPr="00981E95">
        <w:rPr>
          <w:lang w:val="en-GB"/>
        </w:rPr>
        <w:t>f</w:t>
      </w:r>
      <w:r>
        <w:rPr>
          <w:lang w:val="en-GB"/>
        </w:rPr>
        <w:tab/>
      </w:r>
      <w:r w:rsidR="00A77711">
        <w:rPr>
          <w:lang w:val="en-GB"/>
        </w:rPr>
        <w:t>price</w:t>
      </w:r>
      <w:r w:rsidR="00981E95" w:rsidRPr="00981E95">
        <w:rPr>
          <w:lang w:val="en-GB"/>
        </w:rPr>
        <w:t xml:space="preserve">&gt;R2 and </w:t>
      </w:r>
    </w:p>
    <w:p w:rsidR="00C650EB" w:rsidRDefault="00981E95" w:rsidP="00C650EB">
      <w:pPr>
        <w:ind w:firstLine="720"/>
        <w:rPr>
          <w:lang w:val="en-GB"/>
        </w:rPr>
      </w:pPr>
      <w:r>
        <w:rPr>
          <w:lang w:val="en-GB"/>
        </w:rPr>
        <w:t>(</w:t>
      </w:r>
      <w:proofErr w:type="spellStart"/>
      <w:r w:rsidRPr="00981E95">
        <w:rPr>
          <w:lang w:val="en-GB"/>
        </w:rPr>
        <w:t>AverageVolumen</w:t>
      </w:r>
      <w:proofErr w:type="spellEnd"/>
      <w:r w:rsidR="00A77711">
        <w:rPr>
          <w:lang w:val="en-GB"/>
        </w:rPr>
        <w:t>(p2)</w:t>
      </w:r>
      <w:r>
        <w:rPr>
          <w:lang w:val="en-GB"/>
        </w:rPr>
        <w:t xml:space="preserve"> - </w:t>
      </w:r>
      <w:proofErr w:type="spellStart"/>
      <w:r>
        <w:rPr>
          <w:lang w:val="en-GB"/>
        </w:rPr>
        <w:t>CurrentVolumen</w:t>
      </w:r>
      <w:proofErr w:type="spellEnd"/>
      <w:r>
        <w:rPr>
          <w:lang w:val="en-GB"/>
        </w:rPr>
        <w:t>)</w:t>
      </w:r>
      <w:r w:rsidRPr="00981E95">
        <w:rPr>
          <w:lang w:val="en-GB"/>
        </w:rPr>
        <w:t>&gt;p5</w:t>
      </w:r>
      <w:r>
        <w:rPr>
          <w:lang w:val="en-GB"/>
        </w:rPr>
        <w:t xml:space="preserve"> and </w:t>
      </w:r>
    </w:p>
    <w:p w:rsidR="00981E95" w:rsidRDefault="00C650EB" w:rsidP="00C650EB">
      <w:pPr>
        <w:ind w:firstLine="720"/>
        <w:rPr>
          <w:lang w:val="en-GB"/>
        </w:rPr>
      </w:pPr>
      <w:r>
        <w:rPr>
          <w:lang w:val="en-GB"/>
        </w:rPr>
        <w:t>(</w:t>
      </w:r>
      <w:proofErr w:type="spellStart"/>
      <w:r w:rsidR="00981E95">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C650EB" w:rsidRPr="00981E95" w:rsidRDefault="00C650EB" w:rsidP="00C650EB">
      <w:pPr>
        <w:rPr>
          <w:lang w:val="en-GB"/>
        </w:rPr>
      </w:pPr>
      <w:r>
        <w:rPr>
          <w:lang w:val="en-GB"/>
        </w:rPr>
        <w:t xml:space="preserve">Then </w:t>
      </w:r>
      <w:r>
        <w:rPr>
          <w:lang w:val="en-GB"/>
        </w:rPr>
        <w:tab/>
        <w:t>Open Long</w:t>
      </w:r>
    </w:p>
    <w:p w:rsidR="00AB5E88" w:rsidRPr="002B7269" w:rsidRDefault="00604523" w:rsidP="00AB5E88">
      <w:pPr>
        <w:rPr>
          <w:lang w:val="pl-PL"/>
        </w:rPr>
      </w:pPr>
      <w:r w:rsidRPr="002B7269">
        <w:rPr>
          <w:lang w:val="pl-PL"/>
        </w:rPr>
        <w:t>A:</w:t>
      </w:r>
      <w:r w:rsidR="00981E95" w:rsidRPr="002B7269">
        <w:rPr>
          <w:lang w:val="pl-PL"/>
        </w:rPr>
        <w:t xml:space="preserve"> </w:t>
      </w:r>
      <w:r w:rsidRPr="002B7269">
        <w:rPr>
          <w:lang w:val="pl-PL"/>
        </w:rPr>
        <w:t>Warunki zamknię</w:t>
      </w:r>
      <w:r w:rsidR="00C650EB" w:rsidRPr="002B7269">
        <w:rPr>
          <w:lang w:val="pl-PL"/>
        </w:rPr>
        <w:t>cia:</w:t>
      </w:r>
    </w:p>
    <w:p w:rsidR="00C650EB" w:rsidRPr="002B7269" w:rsidRDefault="00C650EB" w:rsidP="00AB5E88">
      <w:pPr>
        <w:rPr>
          <w:lang w:val="pl-PL"/>
        </w:rPr>
      </w:pPr>
      <w:proofErr w:type="spellStart"/>
      <w:r w:rsidRPr="002B7269">
        <w:rPr>
          <w:lang w:val="pl-PL"/>
        </w:rPr>
        <w:t>If</w:t>
      </w:r>
      <w:proofErr w:type="spellEnd"/>
      <w:r w:rsidRPr="002B7269">
        <w:rPr>
          <w:lang w:val="pl-PL"/>
        </w:rPr>
        <w:tab/>
        <w:t>CandleCounter&gt;</w:t>
      </w:r>
      <w:r w:rsidR="00A77711" w:rsidRPr="002B7269">
        <w:rPr>
          <w:lang w:val="pl-PL"/>
        </w:rPr>
        <w:t>p1</w:t>
      </w:r>
    </w:p>
    <w:p w:rsidR="00A77711" w:rsidRPr="00A77711" w:rsidRDefault="00A77711" w:rsidP="00AB5E88">
      <w:pPr>
        <w:rPr>
          <w:lang w:val="en-GB"/>
        </w:rPr>
      </w:pPr>
      <w:r w:rsidRPr="00A77711">
        <w:rPr>
          <w:lang w:val="en-GB"/>
        </w:rPr>
        <w:t>Then</w:t>
      </w:r>
      <w:r w:rsidRPr="00A77711">
        <w:rPr>
          <w:lang w:val="en-GB"/>
        </w:rPr>
        <w:tab/>
        <w:t>Close Long</w:t>
      </w:r>
    </w:p>
    <w:p w:rsidR="00AB5E88" w:rsidRPr="002B7269" w:rsidRDefault="00A77711" w:rsidP="00C435EF">
      <w:pPr>
        <w:rPr>
          <w:lang w:val="en-GB"/>
        </w:rPr>
      </w:pPr>
      <w:r w:rsidRPr="002B7269">
        <w:rPr>
          <w:lang w:val="en-GB"/>
        </w:rPr>
        <w:t>///</w:t>
      </w:r>
    </w:p>
    <w:p w:rsidR="00A77711" w:rsidRPr="002B7269" w:rsidRDefault="00A77711" w:rsidP="00A77711">
      <w:pPr>
        <w:rPr>
          <w:lang w:val="en-GB"/>
        </w:rPr>
      </w:pPr>
      <w:r w:rsidRPr="002B7269">
        <w:rPr>
          <w:lang w:val="en-GB"/>
        </w:rPr>
        <w:t>B:</w:t>
      </w:r>
      <w:r w:rsidR="00604523" w:rsidRPr="002B7269">
        <w:rPr>
          <w:lang w:val="en-GB"/>
        </w:rPr>
        <w:t xml:space="preserve"> </w:t>
      </w:r>
      <w:proofErr w:type="spellStart"/>
      <w:r w:rsidRPr="002B7269">
        <w:rPr>
          <w:lang w:val="en-GB"/>
        </w:rPr>
        <w:t>Warunki</w:t>
      </w:r>
      <w:proofErr w:type="spellEnd"/>
      <w:r w:rsidRPr="002B7269">
        <w:rPr>
          <w:lang w:val="en-GB"/>
        </w:rPr>
        <w:t xml:space="preserve"> </w:t>
      </w:r>
      <w:proofErr w:type="spellStart"/>
      <w:r w:rsidRPr="002B7269">
        <w:rPr>
          <w:lang w:val="en-GB"/>
        </w:rPr>
        <w:t>otwarcia</w:t>
      </w:r>
      <w:proofErr w:type="spellEnd"/>
      <w:r w:rsidRPr="002B7269">
        <w:rPr>
          <w:lang w:val="en-GB"/>
        </w:rPr>
        <w:t>:</w:t>
      </w:r>
    </w:p>
    <w:p w:rsidR="00A77711" w:rsidRPr="00A77711" w:rsidRDefault="00A77711" w:rsidP="00A77711">
      <w:pPr>
        <w:rPr>
          <w:lang w:val="en-GB"/>
        </w:rPr>
      </w:pPr>
      <w:r w:rsidRPr="00A77711">
        <w:rPr>
          <w:lang w:val="en-GB"/>
        </w:rPr>
        <w:t>If</w:t>
      </w:r>
      <w:r w:rsidRPr="00A77711">
        <w:rPr>
          <w:lang w:val="en-GB"/>
        </w:rPr>
        <w:tab/>
      </w:r>
      <w:r>
        <w:rPr>
          <w:lang w:val="en-GB"/>
        </w:rPr>
        <w:t>price</w:t>
      </w:r>
      <w:r w:rsidRPr="00A77711">
        <w:rPr>
          <w:lang w:val="en-GB"/>
        </w:rPr>
        <w:t xml:space="preserve">&lt;R2 and </w:t>
      </w:r>
    </w:p>
    <w:p w:rsidR="00A77711" w:rsidRPr="00A77711" w:rsidRDefault="00A77711" w:rsidP="00A77711">
      <w:pPr>
        <w:rPr>
          <w:lang w:val="en-GB"/>
        </w:rPr>
      </w:pPr>
      <w:r w:rsidRPr="00A77711">
        <w:rPr>
          <w:lang w:val="en-GB"/>
        </w:rPr>
        <w:tab/>
      </w:r>
      <w:r>
        <w:rPr>
          <w:lang w:val="en-GB"/>
        </w:rPr>
        <w:t>price</w:t>
      </w:r>
      <w:r w:rsidRPr="00A77711">
        <w:rPr>
          <w:lang w:val="en-GB"/>
        </w:rPr>
        <w:t>&gt;</w:t>
      </w:r>
      <w:r>
        <w:rPr>
          <w:lang w:val="en-GB"/>
        </w:rPr>
        <w:t>R1 and</w:t>
      </w:r>
    </w:p>
    <w:p w:rsidR="00A77711" w:rsidRDefault="00A77711" w:rsidP="00A7771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A77711" w:rsidRDefault="00A77711" w:rsidP="00A7771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A77711" w:rsidRPr="002B7269" w:rsidRDefault="00A77711" w:rsidP="00A77711">
      <w:pPr>
        <w:rPr>
          <w:lang w:val="en-GB"/>
        </w:rPr>
      </w:pPr>
      <w:r w:rsidRPr="002B7269">
        <w:rPr>
          <w:lang w:val="en-GB"/>
        </w:rPr>
        <w:t xml:space="preserve">Then </w:t>
      </w:r>
      <w:r w:rsidRPr="002B7269">
        <w:rPr>
          <w:lang w:val="en-GB"/>
        </w:rPr>
        <w:tab/>
        <w:t>Open Short</w:t>
      </w:r>
    </w:p>
    <w:p w:rsidR="00A77711" w:rsidRPr="00604523" w:rsidRDefault="00604523" w:rsidP="00A77711">
      <w:pPr>
        <w:rPr>
          <w:lang w:val="pl-PL"/>
        </w:rPr>
      </w:pPr>
      <w:r w:rsidRPr="00604523">
        <w:rPr>
          <w:lang w:val="pl-PL"/>
        </w:rPr>
        <w:t>B:</w:t>
      </w:r>
      <w:r w:rsidR="00A77711" w:rsidRPr="00604523">
        <w:rPr>
          <w:lang w:val="pl-PL"/>
        </w:rPr>
        <w:t xml:space="preserve"> </w:t>
      </w:r>
      <w:r w:rsidRPr="00604523">
        <w:rPr>
          <w:lang w:val="pl-PL"/>
        </w:rPr>
        <w:t>Warunki zamknię</w:t>
      </w:r>
      <w:r w:rsidR="00A77711" w:rsidRPr="00604523">
        <w:rPr>
          <w:lang w:val="pl-PL"/>
        </w:rPr>
        <w:t>cia:</w:t>
      </w:r>
    </w:p>
    <w:p w:rsidR="00A77711" w:rsidRPr="002B7269" w:rsidRDefault="00A77711" w:rsidP="00A77711">
      <w:pPr>
        <w:rPr>
          <w:lang w:val="pl-PL"/>
        </w:rPr>
      </w:pPr>
      <w:proofErr w:type="spellStart"/>
      <w:r w:rsidRPr="002B7269">
        <w:rPr>
          <w:lang w:val="pl-PL"/>
        </w:rPr>
        <w:t>If</w:t>
      </w:r>
      <w:proofErr w:type="spellEnd"/>
      <w:r w:rsidRPr="002B7269">
        <w:rPr>
          <w:lang w:val="pl-PL"/>
        </w:rPr>
        <w:tab/>
        <w:t>CandleCounter&gt;p1</w:t>
      </w:r>
    </w:p>
    <w:p w:rsidR="00A77711" w:rsidRPr="00A77711" w:rsidRDefault="00A77711" w:rsidP="00A77711">
      <w:pPr>
        <w:rPr>
          <w:lang w:val="en-GB"/>
        </w:rPr>
      </w:pPr>
      <w:r>
        <w:rPr>
          <w:lang w:val="en-GB"/>
        </w:rPr>
        <w:t>Then</w:t>
      </w:r>
      <w:r>
        <w:rPr>
          <w:lang w:val="en-GB"/>
        </w:rPr>
        <w:tab/>
        <w:t>Close Short</w:t>
      </w:r>
    </w:p>
    <w:p w:rsidR="000D173D" w:rsidRDefault="00A77711" w:rsidP="00A77711">
      <w:pPr>
        <w:rPr>
          <w:lang w:val="en-GB"/>
        </w:rPr>
      </w:pPr>
      <w:r w:rsidRPr="00A77711">
        <w:rPr>
          <w:lang w:val="en-GB"/>
        </w:rPr>
        <w:t>///</w:t>
      </w:r>
    </w:p>
    <w:p w:rsidR="00A77711" w:rsidRPr="00A77711" w:rsidRDefault="00A77711" w:rsidP="00A77711">
      <w:pPr>
        <w:rPr>
          <w:lang w:val="en-GB"/>
        </w:rPr>
      </w:pPr>
      <w:r>
        <w:rPr>
          <w:lang w:val="en-GB"/>
        </w:rPr>
        <w:t>C</w:t>
      </w:r>
      <w:r w:rsidRPr="00A77711">
        <w:rPr>
          <w:lang w:val="en-GB"/>
        </w:rPr>
        <w:t>:</w:t>
      </w:r>
      <w:r w:rsidR="00604523">
        <w:rPr>
          <w:lang w:val="en-GB"/>
        </w:rPr>
        <w:t xml:space="preserve"> </w:t>
      </w:r>
      <w:proofErr w:type="spellStart"/>
      <w:r w:rsidRPr="00A77711">
        <w:rPr>
          <w:lang w:val="en-GB"/>
        </w:rPr>
        <w:t>Warunki</w:t>
      </w:r>
      <w:proofErr w:type="spellEnd"/>
      <w:r w:rsidRPr="00A77711">
        <w:rPr>
          <w:lang w:val="en-GB"/>
        </w:rPr>
        <w:t xml:space="preserve"> </w:t>
      </w:r>
      <w:proofErr w:type="spellStart"/>
      <w:r w:rsidRPr="00A77711">
        <w:rPr>
          <w:lang w:val="en-GB"/>
        </w:rPr>
        <w:t>otwarcia</w:t>
      </w:r>
      <w:proofErr w:type="spellEnd"/>
      <w:r w:rsidRPr="00A77711">
        <w:rPr>
          <w:lang w:val="en-GB"/>
        </w:rPr>
        <w:t>:</w:t>
      </w:r>
    </w:p>
    <w:p w:rsidR="00A77711" w:rsidRPr="00A77711" w:rsidRDefault="00A77711" w:rsidP="00A77711">
      <w:pPr>
        <w:rPr>
          <w:lang w:val="en-GB"/>
        </w:rPr>
      </w:pPr>
      <w:r w:rsidRPr="00A77711">
        <w:rPr>
          <w:lang w:val="en-GB"/>
        </w:rPr>
        <w:t>If</w:t>
      </w:r>
      <w:r w:rsidRPr="00A77711">
        <w:rPr>
          <w:lang w:val="en-GB"/>
        </w:rPr>
        <w:tab/>
      </w:r>
      <w:r>
        <w:rPr>
          <w:lang w:val="en-GB"/>
        </w:rPr>
        <w:t>price</w:t>
      </w:r>
      <w:r w:rsidRPr="00A77711">
        <w:rPr>
          <w:lang w:val="en-GB"/>
        </w:rPr>
        <w:t>&lt;</w:t>
      </w:r>
      <w:r>
        <w:rPr>
          <w:lang w:val="en-GB"/>
        </w:rPr>
        <w:t>S1</w:t>
      </w:r>
      <w:r w:rsidRPr="00A77711">
        <w:rPr>
          <w:lang w:val="en-GB"/>
        </w:rPr>
        <w:t xml:space="preserve"> and </w:t>
      </w:r>
    </w:p>
    <w:p w:rsidR="00A77711" w:rsidRPr="00A77711" w:rsidRDefault="00A77711" w:rsidP="00A77711">
      <w:pPr>
        <w:rPr>
          <w:lang w:val="en-GB"/>
        </w:rPr>
      </w:pPr>
      <w:r w:rsidRPr="00A77711">
        <w:rPr>
          <w:lang w:val="en-GB"/>
        </w:rPr>
        <w:tab/>
      </w:r>
      <w:r>
        <w:rPr>
          <w:lang w:val="en-GB"/>
        </w:rPr>
        <w:t>price</w:t>
      </w:r>
      <w:r w:rsidRPr="00A77711">
        <w:rPr>
          <w:lang w:val="en-GB"/>
        </w:rPr>
        <w:t>&gt;</w:t>
      </w:r>
      <w:r>
        <w:rPr>
          <w:lang w:val="en-GB"/>
        </w:rPr>
        <w:t>S2 and</w:t>
      </w:r>
    </w:p>
    <w:p w:rsidR="00A77711" w:rsidRDefault="00A77711" w:rsidP="00A7771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A77711" w:rsidRDefault="00A77711" w:rsidP="00A7771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A77711" w:rsidRPr="00981E95" w:rsidRDefault="00A77711" w:rsidP="00A77711">
      <w:pPr>
        <w:rPr>
          <w:lang w:val="en-GB"/>
        </w:rPr>
      </w:pPr>
      <w:r>
        <w:rPr>
          <w:lang w:val="en-GB"/>
        </w:rPr>
        <w:t xml:space="preserve">Then </w:t>
      </w:r>
      <w:r>
        <w:rPr>
          <w:lang w:val="en-GB"/>
        </w:rPr>
        <w:tab/>
        <w:t>Open Long</w:t>
      </w:r>
    </w:p>
    <w:p w:rsidR="00A77711" w:rsidRPr="002B7269" w:rsidRDefault="00604523" w:rsidP="00A77711">
      <w:pPr>
        <w:rPr>
          <w:lang w:val="pl-PL"/>
        </w:rPr>
      </w:pPr>
      <w:r w:rsidRPr="002B7269">
        <w:rPr>
          <w:lang w:val="pl-PL"/>
        </w:rPr>
        <w:t>C: Warunki zamknię</w:t>
      </w:r>
      <w:r w:rsidR="00A77711" w:rsidRPr="002B7269">
        <w:rPr>
          <w:lang w:val="pl-PL"/>
        </w:rPr>
        <w:t>cia:</w:t>
      </w:r>
    </w:p>
    <w:p w:rsidR="00A77711" w:rsidRPr="002B7269" w:rsidRDefault="00A77711" w:rsidP="00A77711">
      <w:pPr>
        <w:rPr>
          <w:lang w:val="pl-PL"/>
        </w:rPr>
      </w:pPr>
      <w:proofErr w:type="spellStart"/>
      <w:r w:rsidRPr="002B7269">
        <w:rPr>
          <w:lang w:val="pl-PL"/>
        </w:rPr>
        <w:lastRenderedPageBreak/>
        <w:t>If</w:t>
      </w:r>
      <w:proofErr w:type="spellEnd"/>
      <w:r w:rsidRPr="002B7269">
        <w:rPr>
          <w:lang w:val="pl-PL"/>
        </w:rPr>
        <w:tab/>
        <w:t>CandleCounter&gt;p1</w:t>
      </w:r>
    </w:p>
    <w:p w:rsidR="00A77711" w:rsidRPr="00A77711" w:rsidRDefault="00A77711" w:rsidP="00A77711">
      <w:pPr>
        <w:rPr>
          <w:lang w:val="en-GB"/>
        </w:rPr>
      </w:pPr>
      <w:r w:rsidRPr="00A77711">
        <w:rPr>
          <w:lang w:val="en-GB"/>
        </w:rPr>
        <w:t>Then</w:t>
      </w:r>
      <w:r w:rsidRPr="00A77711">
        <w:rPr>
          <w:lang w:val="en-GB"/>
        </w:rPr>
        <w:tab/>
        <w:t>Close Long</w:t>
      </w:r>
    </w:p>
    <w:p w:rsidR="00A77711" w:rsidRPr="00A77711" w:rsidRDefault="00A77711" w:rsidP="00A77711">
      <w:pPr>
        <w:rPr>
          <w:lang w:val="en-GB"/>
        </w:rPr>
      </w:pPr>
      <w:r w:rsidRPr="00A77711">
        <w:rPr>
          <w:lang w:val="en-GB"/>
        </w:rPr>
        <w:t>///</w:t>
      </w:r>
    </w:p>
    <w:p w:rsidR="00A77711" w:rsidRPr="00A77711" w:rsidRDefault="00A77711" w:rsidP="00A77711">
      <w:pPr>
        <w:rPr>
          <w:lang w:val="en-GB"/>
        </w:rPr>
      </w:pPr>
      <w:r>
        <w:rPr>
          <w:lang w:val="en-GB"/>
        </w:rPr>
        <w:t>D</w:t>
      </w:r>
      <w:r w:rsidRPr="00A77711">
        <w:rPr>
          <w:lang w:val="en-GB"/>
        </w:rPr>
        <w:t>:</w:t>
      </w:r>
      <w:r w:rsidR="00604523">
        <w:rPr>
          <w:lang w:val="en-GB"/>
        </w:rPr>
        <w:t xml:space="preserve"> </w:t>
      </w:r>
      <w:proofErr w:type="spellStart"/>
      <w:r w:rsidRPr="00A77711">
        <w:rPr>
          <w:lang w:val="en-GB"/>
        </w:rPr>
        <w:t>Warunki</w:t>
      </w:r>
      <w:proofErr w:type="spellEnd"/>
      <w:r w:rsidRPr="00A77711">
        <w:rPr>
          <w:lang w:val="en-GB"/>
        </w:rPr>
        <w:t xml:space="preserve"> </w:t>
      </w:r>
      <w:proofErr w:type="spellStart"/>
      <w:r w:rsidRPr="00A77711">
        <w:rPr>
          <w:lang w:val="en-GB"/>
        </w:rPr>
        <w:t>otwarcia</w:t>
      </w:r>
      <w:proofErr w:type="spellEnd"/>
      <w:r w:rsidRPr="00A77711">
        <w:rPr>
          <w:lang w:val="en-GB"/>
        </w:rPr>
        <w:t>:</w:t>
      </w:r>
    </w:p>
    <w:p w:rsidR="00A77711" w:rsidRPr="00A77711" w:rsidRDefault="00A77711" w:rsidP="00A77711">
      <w:pPr>
        <w:rPr>
          <w:lang w:val="en-GB"/>
        </w:rPr>
      </w:pPr>
      <w:r w:rsidRPr="00A77711">
        <w:rPr>
          <w:lang w:val="en-GB"/>
        </w:rPr>
        <w:t>If</w:t>
      </w:r>
      <w:r w:rsidRPr="00A77711">
        <w:rPr>
          <w:lang w:val="en-GB"/>
        </w:rPr>
        <w:tab/>
      </w:r>
      <w:r>
        <w:rPr>
          <w:lang w:val="en-GB"/>
        </w:rPr>
        <w:t>price&lt;S2</w:t>
      </w:r>
      <w:r w:rsidRPr="00A77711">
        <w:rPr>
          <w:lang w:val="en-GB"/>
        </w:rPr>
        <w:t xml:space="preserve"> and </w:t>
      </w:r>
    </w:p>
    <w:p w:rsidR="00A77711" w:rsidRDefault="00A77711" w:rsidP="00A7771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A77711" w:rsidRDefault="00A77711" w:rsidP="00A7771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A77711" w:rsidRPr="00981E95" w:rsidRDefault="00A77711" w:rsidP="00A77711">
      <w:pPr>
        <w:rPr>
          <w:lang w:val="en-GB"/>
        </w:rPr>
      </w:pPr>
      <w:r>
        <w:rPr>
          <w:lang w:val="en-GB"/>
        </w:rPr>
        <w:t xml:space="preserve">Then </w:t>
      </w:r>
      <w:r>
        <w:rPr>
          <w:lang w:val="en-GB"/>
        </w:rPr>
        <w:tab/>
        <w:t>Open Short</w:t>
      </w:r>
    </w:p>
    <w:p w:rsidR="00A77711" w:rsidRDefault="00604523" w:rsidP="00A77711">
      <w:pPr>
        <w:rPr>
          <w:lang w:val="en-GB"/>
        </w:rPr>
      </w:pPr>
      <w:r>
        <w:rPr>
          <w:lang w:val="en-GB"/>
        </w:rPr>
        <w:t xml:space="preserve">D: </w:t>
      </w:r>
      <w:proofErr w:type="spellStart"/>
      <w:r>
        <w:rPr>
          <w:lang w:val="en-GB"/>
        </w:rPr>
        <w:t>Warunki</w:t>
      </w:r>
      <w:proofErr w:type="spellEnd"/>
      <w:r>
        <w:rPr>
          <w:lang w:val="en-GB"/>
        </w:rPr>
        <w:t xml:space="preserve"> </w:t>
      </w:r>
      <w:proofErr w:type="spellStart"/>
      <w:r>
        <w:rPr>
          <w:lang w:val="en-GB"/>
        </w:rPr>
        <w:t>zamknię</w:t>
      </w:r>
      <w:r w:rsidR="00A77711">
        <w:rPr>
          <w:lang w:val="en-GB"/>
        </w:rPr>
        <w:t>cia</w:t>
      </w:r>
      <w:proofErr w:type="spellEnd"/>
      <w:r w:rsidR="00A77711">
        <w:rPr>
          <w:lang w:val="en-GB"/>
        </w:rPr>
        <w:t>:</w:t>
      </w:r>
    </w:p>
    <w:p w:rsidR="00A77711" w:rsidRPr="00A77711" w:rsidRDefault="00A77711" w:rsidP="00A77711">
      <w:pPr>
        <w:rPr>
          <w:lang w:val="en-GB"/>
        </w:rPr>
      </w:pPr>
      <w:r w:rsidRPr="00A77711">
        <w:rPr>
          <w:lang w:val="en-GB"/>
        </w:rPr>
        <w:t>If</w:t>
      </w:r>
      <w:r w:rsidRPr="00A77711">
        <w:rPr>
          <w:lang w:val="en-GB"/>
        </w:rPr>
        <w:tab/>
      </w:r>
      <w:proofErr w:type="spellStart"/>
      <w:r w:rsidRPr="00A77711">
        <w:rPr>
          <w:lang w:val="en-GB"/>
        </w:rPr>
        <w:t>CandleCounter</w:t>
      </w:r>
      <w:proofErr w:type="spellEnd"/>
      <w:r w:rsidRPr="00A77711">
        <w:rPr>
          <w:lang w:val="en-GB"/>
        </w:rPr>
        <w:t>&gt;p1</w:t>
      </w:r>
    </w:p>
    <w:p w:rsidR="000D173D" w:rsidRDefault="00A77711" w:rsidP="00C435EF">
      <w:pPr>
        <w:rPr>
          <w:lang w:val="pl-PL"/>
        </w:rPr>
      </w:pPr>
      <w:proofErr w:type="spellStart"/>
      <w:r w:rsidRPr="002B7269">
        <w:rPr>
          <w:lang w:val="pl-PL"/>
        </w:rPr>
        <w:t>Then</w:t>
      </w:r>
      <w:proofErr w:type="spellEnd"/>
      <w:r w:rsidRPr="002B7269">
        <w:rPr>
          <w:lang w:val="pl-PL"/>
        </w:rPr>
        <w:tab/>
      </w:r>
      <w:proofErr w:type="spellStart"/>
      <w:r w:rsidRPr="002B7269">
        <w:rPr>
          <w:lang w:val="pl-PL"/>
        </w:rPr>
        <w:t>Close</w:t>
      </w:r>
      <w:proofErr w:type="spellEnd"/>
      <w:r w:rsidRPr="002B7269">
        <w:rPr>
          <w:lang w:val="pl-PL"/>
        </w:rPr>
        <w:t xml:space="preserve"> </w:t>
      </w:r>
      <w:proofErr w:type="spellStart"/>
      <w:r w:rsidRPr="002B7269">
        <w:rPr>
          <w:lang w:val="pl-PL"/>
        </w:rPr>
        <w:t>Short</w:t>
      </w:r>
      <w:proofErr w:type="spellEnd"/>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0D173D" w:rsidRDefault="000D173D" w:rsidP="00C435EF">
      <w:pPr>
        <w:rPr>
          <w:lang w:val="pl-PL"/>
        </w:rPr>
      </w:pPr>
    </w:p>
    <w:p w:rsidR="00860157" w:rsidRDefault="00113DC8" w:rsidP="00C435EF">
      <w:pPr>
        <w:rPr>
          <w:lang w:val="pl-PL"/>
        </w:rPr>
      </w:pPr>
      <w:r>
        <w:rPr>
          <w:lang w:val="pl-PL"/>
        </w:rPr>
        <w:lastRenderedPageBreak/>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D5043B" w:rsidRDefault="00D5043B" w:rsidP="00D5043B">
      <w:pPr>
        <w:rPr>
          <w:lang w:val="pl-PL"/>
        </w:rPr>
      </w:pPr>
      <w:r>
        <w:rPr>
          <w:lang w:val="pl-PL"/>
        </w:rPr>
        <w:t>Dla tak zdefiniowanych klas zdarzeń tworzących macierz pomyłek w wyniku symulacji uzyskano macierz dla  strategii B:</w:t>
      </w:r>
    </w:p>
    <w:tbl>
      <w:tblPr>
        <w:tblStyle w:val="Tabela-Siatka"/>
        <w:tblW w:w="0" w:type="auto"/>
        <w:jc w:val="center"/>
        <w:tblLook w:val="04A0"/>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lastRenderedPageBreak/>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C.</w:t>
      </w:r>
    </w:p>
    <w:p w:rsidR="00CA302F" w:rsidRDefault="00CA302F" w:rsidP="00CA302F">
      <w:pPr>
        <w:rPr>
          <w:lang w:val="pl-PL"/>
        </w:rPr>
      </w:pPr>
      <w:bookmarkStart w:id="0" w:name="_GoBack"/>
      <w:bookmarkEnd w:id="0"/>
      <w:r>
        <w:rPr>
          <w:lang w:val="pl-PL"/>
        </w:rPr>
        <w:t>Dla tak zdefiniowanych klas zdarzeń tworzących macierz pomyłek w wyniku symulacji uzyskano macierz dla  strategii C:</w:t>
      </w:r>
    </w:p>
    <w:tbl>
      <w:tblPr>
        <w:tblStyle w:val="Tabela-Siatka"/>
        <w:tblW w:w="0" w:type="auto"/>
        <w:jc w:val="center"/>
        <w:tblLook w:val="04A0"/>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216064">
            <w:pPr>
              <w:rPr>
                <w:lang w:val="pl-PL"/>
              </w:rPr>
            </w:pPr>
            <w:r>
              <w:rPr>
                <w:lang w:val="pl-PL"/>
              </w:rPr>
              <w:t>102</w:t>
            </w:r>
          </w:p>
        </w:tc>
        <w:tc>
          <w:tcPr>
            <w:tcW w:w="1439" w:type="dxa"/>
          </w:tcPr>
          <w:p w:rsidR="00CA302F" w:rsidRDefault="00CA302F" w:rsidP="00216064">
            <w:pPr>
              <w:rPr>
                <w:lang w:val="pl-PL"/>
              </w:rPr>
            </w:pPr>
            <w:r>
              <w:rPr>
                <w:lang w:val="pl-PL"/>
              </w:rPr>
              <w:t>35</w:t>
            </w:r>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D.</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054A49" w:rsidRDefault="00054A49" w:rsidP="000F5095">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216064" w:rsidRPr="00216064" w:rsidRDefault="00216064" w:rsidP="000F5095">
      <w:pPr>
        <w:rPr>
          <w:rFonts w:eastAsiaTheme="minorEastAsia"/>
          <w:lang w:val="pl-PL"/>
        </w:rPr>
      </w:pPr>
      <m:oMathPara>
        <m:oMath>
          <m:r>
            <w:rPr>
              <w:rFonts w:ascii="Cambria Math" w:hAnsi="Cambria Math"/>
              <w:lang w:val="pl-PL"/>
            </w:rPr>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proofErr w:type="spellStart"/>
            <w:r>
              <w:rPr>
                <w:lang w:val="pl-PL"/>
              </w:rPr>
              <w:t>Final</w:t>
            </w:r>
            <w:proofErr w:type="spellEnd"/>
            <w:r>
              <w:rPr>
                <w:lang w:val="pl-PL"/>
              </w:rPr>
              <w:t xml:space="preserve"> profit</w:t>
            </w:r>
          </w:p>
        </w:tc>
        <w:tc>
          <w:tcPr>
            <w:tcW w:w="1591" w:type="dxa"/>
            <w:vAlign w:val="center"/>
          </w:tcPr>
          <w:p w:rsidR="000F5095" w:rsidRDefault="000F5095" w:rsidP="000F5095">
            <w:pPr>
              <w:jc w:val="center"/>
              <w:rPr>
                <w:lang w:val="pl-PL"/>
              </w:rPr>
            </w:pPr>
            <w:proofErr w:type="spellStart"/>
            <w:r>
              <w:rPr>
                <w:lang w:val="pl-PL"/>
              </w:rPr>
              <w:t>Calmar</w:t>
            </w:r>
            <w:proofErr w:type="spellEnd"/>
          </w:p>
        </w:tc>
        <w:tc>
          <w:tcPr>
            <w:tcW w:w="1591" w:type="dxa"/>
            <w:vAlign w:val="center"/>
          </w:tcPr>
          <w:p w:rsidR="000F5095" w:rsidRDefault="000F5095" w:rsidP="000F5095">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1.617</w:t>
            </w:r>
          </w:p>
        </w:tc>
        <w:tc>
          <w:tcPr>
            <w:tcW w:w="1591" w:type="dxa"/>
          </w:tcPr>
          <w:p w:rsidR="000F5095" w:rsidRDefault="00221172">
            <w:pPr>
              <w:rPr>
                <w:lang w:val="pl-PL"/>
              </w:rPr>
            </w:pPr>
            <w:r>
              <w:rPr>
                <w:lang w:val="pl-PL"/>
              </w:rPr>
              <w:t>161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5.303</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0.35</w:t>
            </w:r>
          </w:p>
        </w:tc>
        <w:tc>
          <w:tcPr>
            <w:tcW w:w="1591" w:type="dxa"/>
          </w:tcPr>
          <w:p w:rsidR="000F5095" w:rsidRDefault="00D4006A">
            <w:pPr>
              <w:rPr>
                <w:lang w:val="pl-PL"/>
              </w:rPr>
            </w:pPr>
            <w:r>
              <w:rPr>
                <w:lang w:val="pl-PL"/>
              </w:rPr>
              <w:t>3.128</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bl>
    <w:p w:rsidR="00F02714" w:rsidRDefault="00F02714">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E76F1" w:rsidRDefault="00EE76F1">
      <w:pPr>
        <w:rPr>
          <w:lang w:val="pl-PL"/>
        </w:rPr>
      </w:pPr>
    </w:p>
    <w:p w:rsidR="00D835C7" w:rsidRDefault="00D835C7" w:rsidP="00D835C7">
      <w:proofErr w:type="spellStart"/>
      <w:r>
        <w:lastRenderedPageBreak/>
        <w:t>Bibliografia</w:t>
      </w:r>
      <w:proofErr w:type="spellEnd"/>
    </w:p>
    <w:p w:rsidR="00D835C7" w:rsidRPr="00D43933" w:rsidRDefault="00D835C7" w:rsidP="00D835C7">
      <w:pPr>
        <w:pStyle w:val="Reference"/>
        <w:numPr>
          <w:ilvl w:val="0"/>
          <w:numId w:val="4"/>
        </w:numPr>
        <w:spacing w:line="240" w:lineRule="auto"/>
        <w:ind w:left="426" w:hanging="284"/>
        <w:rPr>
          <w:rFonts w:ascii="Calibri" w:hAnsi="Calibri"/>
          <w:sz w:val="22"/>
          <w:szCs w:val="22"/>
          <w:lang w:val="en-US"/>
        </w:rPr>
      </w:pPr>
      <w:r>
        <w:rPr>
          <w:rFonts w:ascii="Calibri" w:hAnsi="Calibri"/>
          <w:sz w:val="22"/>
          <w:szCs w:val="22"/>
          <w:lang w:val="en-US"/>
        </w:rPr>
        <w:t xml:space="preserve">Murphy K.P. </w:t>
      </w:r>
      <w:r w:rsidRPr="00C5730F">
        <w:rPr>
          <w:rFonts w:ascii="Calibri" w:hAnsi="Calibri"/>
          <w:i/>
          <w:sz w:val="22"/>
          <w:szCs w:val="22"/>
          <w:lang w:val="en-US"/>
        </w:rPr>
        <w:t xml:space="preserve">Machine Learning: A </w:t>
      </w:r>
      <w:proofErr w:type="spellStart"/>
      <w:r w:rsidRPr="00C5730F">
        <w:rPr>
          <w:rFonts w:ascii="Calibri" w:hAnsi="Calibri"/>
          <w:i/>
          <w:sz w:val="22"/>
          <w:szCs w:val="22"/>
          <w:lang w:val="en-US"/>
        </w:rPr>
        <w:t>Probalistic</w:t>
      </w:r>
      <w:proofErr w:type="spellEnd"/>
      <w:r w:rsidRPr="00C5730F">
        <w:rPr>
          <w:rFonts w:ascii="Calibri" w:hAnsi="Calibri"/>
          <w:i/>
          <w:sz w:val="22"/>
          <w:szCs w:val="22"/>
          <w:lang w:val="en-US"/>
        </w:rPr>
        <w:t xml:space="preserve"> Perspective</w:t>
      </w:r>
      <w:r>
        <w:rPr>
          <w:rFonts w:ascii="Calibri" w:hAnsi="Calibri"/>
          <w:sz w:val="22"/>
          <w:szCs w:val="22"/>
          <w:lang w:val="en-US"/>
        </w:rPr>
        <w:t>. The MIT Press, 2012</w:t>
      </w:r>
    </w:p>
    <w:p w:rsidR="00D835C7" w:rsidRPr="00614D3B" w:rsidRDefault="00D835C7" w:rsidP="00D835C7">
      <w:pPr>
        <w:pStyle w:val="Akapitzlist"/>
        <w:numPr>
          <w:ilvl w:val="0"/>
          <w:numId w:val="4"/>
        </w:numPr>
        <w:spacing w:after="200"/>
        <w:ind w:left="426" w:hanging="284"/>
        <w:jc w:val="left"/>
        <w:rPr>
          <w:color w:val="000000"/>
          <w:spacing w:val="-1"/>
          <w:lang w:val="en-US"/>
        </w:rPr>
      </w:pPr>
      <w:proofErr w:type="spellStart"/>
      <w:r w:rsidRPr="00614D3B">
        <w:rPr>
          <w:lang w:val="en-US"/>
        </w:rPr>
        <w:t>Satchwell</w:t>
      </w:r>
      <w:proofErr w:type="spellEnd"/>
      <w:r w:rsidRPr="00614D3B">
        <w:rPr>
          <w:lang w:val="en-US"/>
        </w:rPr>
        <w:t xml:space="preserve"> Ch. </w:t>
      </w:r>
      <w:r w:rsidRPr="00614D3B">
        <w:rPr>
          <w:i/>
          <w:lang w:val="en-US"/>
        </w:rPr>
        <w:t>Pattern Recognition and Trading Decisions</w:t>
      </w:r>
      <w:r w:rsidRPr="00614D3B">
        <w:rPr>
          <w:lang w:val="en-US"/>
        </w:rPr>
        <w:t>. McGraw Hill, New York 2005.</w:t>
      </w:r>
    </w:p>
    <w:p w:rsidR="00D835C7" w:rsidRPr="00E059B9" w:rsidRDefault="00D835C7" w:rsidP="00D835C7">
      <w:pPr>
        <w:pStyle w:val="Akapitzlist"/>
        <w:numPr>
          <w:ilvl w:val="0"/>
          <w:numId w:val="4"/>
        </w:numPr>
        <w:spacing w:after="200"/>
        <w:ind w:left="426" w:hanging="284"/>
        <w:jc w:val="left"/>
        <w:rPr>
          <w:color w:val="000000"/>
          <w:spacing w:val="-1"/>
          <w:lang w:val="en-US"/>
        </w:rPr>
      </w:pPr>
      <w:proofErr w:type="spellStart"/>
      <w:r w:rsidRPr="00614D3B">
        <w:rPr>
          <w:rFonts w:asciiTheme="minorHAnsi" w:eastAsia="Times New Roman" w:hAnsiTheme="minorHAnsi" w:cs="Lucida Sans Unicode"/>
          <w:color w:val="222222"/>
          <w:bdr w:val="none" w:sz="0" w:space="0" w:color="auto" w:frame="1"/>
          <w:lang w:val="en-US" w:eastAsia="pl-PL"/>
        </w:rPr>
        <w:t>Donoho</w:t>
      </w:r>
      <w:proofErr w:type="spellEnd"/>
      <w:r w:rsidRPr="00614D3B">
        <w:rPr>
          <w:rFonts w:asciiTheme="minorHAnsi" w:eastAsia="Times New Roman" w:hAnsiTheme="minorHAnsi" w:cs="Lucida Sans Unicode"/>
          <w:color w:val="222222"/>
          <w:bdr w:val="none" w:sz="0" w:space="0" w:color="auto" w:frame="1"/>
          <w:lang w:val="en-US" w:eastAsia="pl-PL"/>
        </w:rPr>
        <w:t> D</w:t>
      </w:r>
      <w:r w:rsidRPr="00614D3B">
        <w:rPr>
          <w:rFonts w:eastAsia="Times New Roman" w:cs="Lucida Sans Unicode"/>
          <w:color w:val="222222"/>
          <w:bdr w:val="none" w:sz="0" w:space="0" w:color="auto" w:frame="1"/>
          <w:lang w:val="en-US" w:eastAsia="pl-PL"/>
        </w:rPr>
        <w:t>L.</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Maleki</w:t>
      </w:r>
      <w:proofErr w:type="spellEnd"/>
      <w:r w:rsidRPr="00614D3B">
        <w:rPr>
          <w:rFonts w:asciiTheme="minorHAnsi" w:eastAsia="Times New Roman" w:hAnsiTheme="minorHAnsi" w:cs="Lucida Sans Unicode"/>
          <w:color w:val="222222"/>
          <w:bdr w:val="none" w:sz="0" w:space="0" w:color="auto" w:frame="1"/>
          <w:lang w:val="en-US" w:eastAsia="pl-PL"/>
        </w:rPr>
        <w:t> A</w:t>
      </w:r>
      <w:r w:rsidRPr="00614D3B">
        <w:rPr>
          <w:rFonts w:asciiTheme="minorHAnsi" w:eastAsia="Times New Roman" w:hAnsiTheme="minorHAnsi" w:cs="Lucida Sans Unicode"/>
          <w:color w:val="222222"/>
          <w:lang w:val="en-US" w:eastAsia="pl-PL"/>
        </w:rPr>
        <w:t>, </w:t>
      </w:r>
      <w:r w:rsidRPr="00614D3B">
        <w:rPr>
          <w:rFonts w:asciiTheme="minorHAnsi" w:eastAsia="Times New Roman" w:hAnsiTheme="minorHAnsi" w:cs="Lucida Sans Unicode"/>
          <w:color w:val="222222"/>
          <w:bdr w:val="none" w:sz="0" w:space="0" w:color="auto" w:frame="1"/>
          <w:lang w:val="en-US" w:eastAsia="pl-PL"/>
        </w:rPr>
        <w:t>Ur-</w:t>
      </w:r>
      <w:proofErr w:type="spellStart"/>
      <w:r w:rsidRPr="00614D3B">
        <w:rPr>
          <w:rFonts w:asciiTheme="minorHAnsi" w:eastAsia="Times New Roman" w:hAnsiTheme="minorHAnsi" w:cs="Lucida Sans Unicode"/>
          <w:color w:val="222222"/>
          <w:bdr w:val="none" w:sz="0" w:space="0" w:color="auto" w:frame="1"/>
          <w:lang w:val="en-US" w:eastAsia="pl-PL"/>
        </w:rPr>
        <w:t>Rahman</w:t>
      </w:r>
      <w:proofErr w:type="spellEnd"/>
      <w:r w:rsidRPr="00614D3B">
        <w:rPr>
          <w:rFonts w:asciiTheme="minorHAnsi" w:eastAsia="Times New Roman" w:hAnsiTheme="minorHAnsi" w:cs="Lucida Sans Unicode"/>
          <w:color w:val="222222"/>
          <w:bdr w:val="none" w:sz="0" w:space="0" w:color="auto" w:frame="1"/>
          <w:lang w:val="en-US" w:eastAsia="pl-PL"/>
        </w:rPr>
        <w:t> I</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Shahram</w:t>
      </w:r>
      <w:proofErr w:type="spellEnd"/>
      <w:r w:rsidRPr="00614D3B">
        <w:rPr>
          <w:rFonts w:asciiTheme="minorHAnsi" w:eastAsia="Times New Roman" w:hAnsiTheme="minorHAnsi" w:cs="Lucida Sans Unicode"/>
          <w:color w:val="222222"/>
          <w:bdr w:val="none" w:sz="0" w:space="0" w:color="auto" w:frame="1"/>
          <w:lang w:val="en-US" w:eastAsia="pl-PL"/>
        </w:rPr>
        <w:t> M</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Stodden</w:t>
      </w:r>
      <w:proofErr w:type="spellEnd"/>
      <w:r w:rsidRPr="00614D3B">
        <w:rPr>
          <w:rFonts w:asciiTheme="minorHAnsi" w:eastAsia="Times New Roman" w:hAnsiTheme="minorHAnsi" w:cs="Lucida Sans Unicode"/>
          <w:color w:val="222222"/>
          <w:bdr w:val="none" w:sz="0" w:space="0" w:color="auto" w:frame="1"/>
          <w:lang w:val="en-US" w:eastAsia="pl-PL"/>
        </w:rPr>
        <w:t> V</w:t>
      </w:r>
      <w:r w:rsidRPr="00614D3B">
        <w:rPr>
          <w:rFonts w:asciiTheme="minorHAnsi" w:eastAsia="Times New Roman" w:hAnsiTheme="minorHAnsi" w:cs="Lucida Sans Unicode"/>
          <w:color w:val="222222"/>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 </w:t>
      </w:r>
      <w:r w:rsidRPr="00614D3B">
        <w:rPr>
          <w:rFonts w:asciiTheme="minorHAnsi" w:eastAsia="Times New Roman" w:hAnsiTheme="minorHAnsi" w:cs="Lucida Sans Unicode"/>
          <w:i/>
          <w:color w:val="000000"/>
          <w:bdr w:val="none" w:sz="0" w:space="0" w:color="auto" w:frame="1"/>
          <w:shd w:val="clear" w:color="auto" w:fill="FFFFFF"/>
          <w:lang w:val="en-US" w:eastAsia="pl-PL"/>
        </w:rPr>
        <w:t>Reproducible research in computational harmonic analysis.</w:t>
      </w:r>
      <w:r w:rsidRPr="00614D3B">
        <w:rPr>
          <w:rFonts w:asciiTheme="minorHAnsi" w:eastAsia="Times New Roman" w:hAnsiTheme="minorHAnsi" w:cs="Lucida Sans Unicode"/>
          <w:color w:val="000000"/>
          <w:bdr w:val="none" w:sz="0" w:space="0" w:color="auto" w:frame="1"/>
          <w:shd w:val="clear" w:color="auto" w:fill="FFFFFF"/>
          <w:lang w:val="en-US" w:eastAsia="pl-PL"/>
        </w:rPr>
        <w:t> Computing in Science and Engineering 2009;</w:t>
      </w:r>
      <w:r>
        <w:rPr>
          <w:rFonts w:asciiTheme="minorHAnsi" w:eastAsia="Times New Roman" w:hAnsiTheme="minorHAnsi" w:cs="Lucida Sans Unicode"/>
          <w:color w:val="000000"/>
          <w:bdr w:val="none" w:sz="0" w:space="0" w:color="auto" w:frame="1"/>
          <w:shd w:val="clear" w:color="auto" w:fill="FFFFFF"/>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11:8.</w:t>
      </w:r>
    </w:p>
    <w:p w:rsidR="00D835C7" w:rsidRPr="00501DE3" w:rsidRDefault="00F61758" w:rsidP="00D835C7">
      <w:pPr>
        <w:pStyle w:val="Akapitzlist"/>
        <w:numPr>
          <w:ilvl w:val="0"/>
          <w:numId w:val="4"/>
        </w:numPr>
        <w:spacing w:after="200"/>
        <w:ind w:left="426" w:hanging="284"/>
        <w:jc w:val="left"/>
        <w:rPr>
          <w:rStyle w:val="citation"/>
          <w:color w:val="000000"/>
          <w:spacing w:val="-1"/>
          <w:lang w:val="en-US"/>
        </w:rPr>
      </w:pPr>
      <w:hyperlink r:id="rId15" w:tooltip="George Pólya" w:history="1">
        <w:proofErr w:type="spellStart"/>
        <w:r w:rsidR="00D835C7" w:rsidRPr="00E059B9">
          <w:rPr>
            <w:rStyle w:val="Hipercze"/>
            <w:rFonts w:ascii="Arial" w:hAnsi="Arial" w:cs="Arial"/>
            <w:sz w:val="20"/>
            <w:szCs w:val="20"/>
            <w:lang w:val="en-US"/>
          </w:rPr>
          <w:t>P</w:t>
        </w:r>
        <w:r w:rsidR="00D835C7">
          <w:rPr>
            <w:rStyle w:val="Hipercze"/>
            <w:rFonts w:ascii="Arial" w:hAnsi="Arial" w:cs="Arial"/>
            <w:sz w:val="20"/>
            <w:szCs w:val="20"/>
            <w:lang w:val="en-US"/>
          </w:rPr>
          <w:t>o</w:t>
        </w:r>
        <w:r w:rsidR="00D835C7" w:rsidRPr="00E059B9">
          <w:rPr>
            <w:rStyle w:val="Hipercze"/>
            <w:rFonts w:ascii="Arial" w:hAnsi="Arial" w:cs="Arial"/>
            <w:sz w:val="20"/>
            <w:szCs w:val="20"/>
            <w:lang w:val="en-US"/>
          </w:rPr>
          <w:t>lya</w:t>
        </w:r>
        <w:proofErr w:type="spellEnd"/>
        <w:r w:rsidR="00D835C7" w:rsidRPr="00E059B9">
          <w:rPr>
            <w:rStyle w:val="Hipercze"/>
            <w:rFonts w:ascii="Arial" w:hAnsi="Arial" w:cs="Arial"/>
            <w:sz w:val="20"/>
            <w:szCs w:val="20"/>
            <w:lang w:val="en-US"/>
          </w:rPr>
          <w:t xml:space="preserve"> G</w:t>
        </w:r>
      </w:hyperlink>
      <w:r w:rsidR="00D835C7" w:rsidRPr="00E059B9">
        <w:rPr>
          <w:rStyle w:val="citation"/>
          <w:rFonts w:ascii="Arial" w:hAnsi="Arial" w:cs="Arial"/>
          <w:color w:val="000000"/>
          <w:sz w:val="20"/>
          <w:szCs w:val="20"/>
          <w:lang w:val="en-US"/>
        </w:rPr>
        <w:t>.</w:t>
      </w:r>
      <w:r w:rsidR="00D835C7" w:rsidRPr="00E059B9">
        <w:rPr>
          <w:rStyle w:val="apple-converted-space"/>
          <w:rFonts w:ascii="Arial" w:hAnsi="Arial" w:cs="Arial"/>
          <w:color w:val="000000"/>
          <w:sz w:val="20"/>
          <w:szCs w:val="20"/>
          <w:lang w:val="en-US"/>
        </w:rPr>
        <w:t> </w:t>
      </w:r>
      <w:r w:rsidR="00D835C7" w:rsidRPr="00E059B9">
        <w:rPr>
          <w:rStyle w:val="citation"/>
          <w:rFonts w:ascii="Arial" w:hAnsi="Arial" w:cs="Arial"/>
          <w:i/>
          <w:iCs/>
          <w:color w:val="000000"/>
          <w:sz w:val="20"/>
          <w:szCs w:val="20"/>
          <w:lang w:val="en-US"/>
        </w:rPr>
        <w:t>How to Solve It</w:t>
      </w:r>
      <w:r w:rsidR="00D835C7" w:rsidRPr="00E059B9">
        <w:rPr>
          <w:rStyle w:val="citation"/>
          <w:rFonts w:ascii="Arial" w:hAnsi="Arial" w:cs="Arial"/>
          <w:color w:val="000000"/>
          <w:sz w:val="20"/>
          <w:szCs w:val="20"/>
          <w:lang w:val="en-US"/>
        </w:rPr>
        <w:t>. Garden City, NY: Doubleday 1957 p. 253</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501DE3">
        <w:rPr>
          <w:lang w:val="en-US" w:bidi="en-US"/>
        </w:rPr>
        <w:t xml:space="preserve">Ball P. </w:t>
      </w:r>
      <w:r w:rsidRPr="00501DE3">
        <w:rPr>
          <w:i/>
          <w:lang w:val="en-US" w:bidi="en-US"/>
        </w:rPr>
        <w:t xml:space="preserve">Critical Mass. How one thing Leads to Another. </w:t>
      </w:r>
      <w:r w:rsidRPr="00501DE3">
        <w:rPr>
          <w:lang w:val="en-US" w:bidi="en-US"/>
        </w:rPr>
        <w:t>Arrows Books. London 2004, p. 653</w:t>
      </w:r>
    </w:p>
    <w:p w:rsidR="00D835C7" w:rsidRPr="00DE4C07" w:rsidRDefault="00D835C7" w:rsidP="00D835C7">
      <w:pPr>
        <w:pStyle w:val="Akapitzlist"/>
        <w:numPr>
          <w:ilvl w:val="0"/>
          <w:numId w:val="4"/>
        </w:numPr>
        <w:spacing w:after="200"/>
        <w:ind w:left="426" w:hanging="284"/>
        <w:jc w:val="left"/>
        <w:rPr>
          <w:color w:val="000000"/>
          <w:spacing w:val="-1"/>
          <w:lang w:val="en-US"/>
        </w:rPr>
      </w:pPr>
      <w:proofErr w:type="spellStart"/>
      <w:r w:rsidRPr="00DE4C07">
        <w:rPr>
          <w:lang w:val="en-US"/>
        </w:rPr>
        <w:t>Pedrycz</w:t>
      </w:r>
      <w:proofErr w:type="spellEnd"/>
      <w:r w:rsidRPr="00DE4C07">
        <w:rPr>
          <w:lang w:val="en-US"/>
        </w:rPr>
        <w:t xml:space="preserve"> W. Computational Intelligence: An Introduction. CRC Press 1997.</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DE4C07">
        <w:rPr>
          <w:color w:val="000000"/>
          <w:spacing w:val="-1"/>
          <w:lang w:val="en-US"/>
        </w:rPr>
        <w:t xml:space="preserve">Brock W., </w:t>
      </w:r>
      <w:proofErr w:type="spellStart"/>
      <w:r w:rsidRPr="00DE4C07">
        <w:rPr>
          <w:color w:val="000000"/>
          <w:spacing w:val="-1"/>
          <w:lang w:val="en-US"/>
        </w:rPr>
        <w:t>Lakonishok</w:t>
      </w:r>
      <w:proofErr w:type="spellEnd"/>
      <w:r w:rsidRPr="00DE4C07">
        <w:rPr>
          <w:color w:val="000000"/>
          <w:spacing w:val="-1"/>
          <w:lang w:val="en-US"/>
        </w:rPr>
        <w:t xml:space="preserve"> j.,  </w:t>
      </w:r>
      <w:proofErr w:type="spellStart"/>
      <w:r w:rsidRPr="00DE4C07">
        <w:rPr>
          <w:color w:val="000000"/>
          <w:spacing w:val="-1"/>
          <w:lang w:val="en-US"/>
        </w:rPr>
        <w:t>LeBaron</w:t>
      </w:r>
      <w:proofErr w:type="spellEnd"/>
      <w:r w:rsidRPr="00DE4C07">
        <w:rPr>
          <w:color w:val="000000"/>
          <w:spacing w:val="-1"/>
          <w:lang w:val="en-US"/>
        </w:rPr>
        <w:t xml:space="preserve"> B. Simple technical trading rules and stochastic properties of stock returns. Journal of Finance 47(1992), 1731-1764.</w:t>
      </w:r>
    </w:p>
    <w:p w:rsidR="00D835C7" w:rsidRPr="00C647A6" w:rsidRDefault="00D835C7" w:rsidP="00D835C7">
      <w:pPr>
        <w:pStyle w:val="Akapitzlist"/>
        <w:numPr>
          <w:ilvl w:val="0"/>
          <w:numId w:val="4"/>
        </w:numPr>
        <w:spacing w:after="200"/>
        <w:ind w:left="426" w:hanging="284"/>
        <w:jc w:val="left"/>
        <w:rPr>
          <w:color w:val="000000"/>
          <w:spacing w:val="-1"/>
          <w:lang w:val="en-US"/>
        </w:rPr>
      </w:pPr>
      <w:proofErr w:type="spellStart"/>
      <w:r w:rsidRPr="00C56A7D">
        <w:rPr>
          <w:spacing w:val="-1"/>
          <w:lang w:val="en-US"/>
        </w:rPr>
        <w:t>Cai</w:t>
      </w:r>
      <w:proofErr w:type="spellEnd"/>
      <w:r w:rsidRPr="00C56A7D">
        <w:rPr>
          <w:spacing w:val="-1"/>
          <w:lang w:val="en-US"/>
        </w:rPr>
        <w:t xml:space="preserve"> B.M., </w:t>
      </w:r>
      <w:proofErr w:type="spellStart"/>
      <w:r w:rsidRPr="00C56A7D">
        <w:rPr>
          <w:spacing w:val="-1"/>
          <w:lang w:val="en-US"/>
        </w:rPr>
        <w:t>Cai</w:t>
      </w:r>
      <w:proofErr w:type="spellEnd"/>
      <w:r w:rsidRPr="00C56A7D">
        <w:rPr>
          <w:spacing w:val="-1"/>
          <w:lang w:val="en-US"/>
        </w:rPr>
        <w:t xml:space="preserve"> C.X., </w:t>
      </w:r>
      <w:proofErr w:type="spellStart"/>
      <w:r w:rsidRPr="00C56A7D">
        <w:rPr>
          <w:spacing w:val="-1"/>
          <w:lang w:val="en-US"/>
        </w:rPr>
        <w:t>Keasey</w:t>
      </w:r>
      <w:proofErr w:type="spellEnd"/>
      <w:r w:rsidRPr="00C56A7D">
        <w:rPr>
          <w:spacing w:val="-1"/>
          <w:lang w:val="en-US"/>
        </w:rPr>
        <w:t xml:space="preserve"> K. Market Efficiency and Returns to Simple Technical Trading Rules: Further Evidence form US, UK, Asian and Chinese Stock Markets. Asia-Pacific Financial Markets, Springer 2005, 45-60.</w:t>
      </w:r>
    </w:p>
    <w:p w:rsidR="00D835C7" w:rsidRDefault="00D835C7" w:rsidP="00D835C7">
      <w:pPr>
        <w:pStyle w:val="Akapitzlist"/>
        <w:numPr>
          <w:ilvl w:val="0"/>
          <w:numId w:val="4"/>
        </w:numPr>
        <w:spacing w:after="200"/>
        <w:ind w:left="426" w:hanging="284"/>
        <w:jc w:val="left"/>
        <w:rPr>
          <w:color w:val="000000"/>
          <w:spacing w:val="-1"/>
          <w:lang w:val="en-US"/>
        </w:rPr>
      </w:pPr>
      <w:proofErr w:type="spellStart"/>
      <w:r w:rsidRPr="00C647A6">
        <w:rPr>
          <w:color w:val="000000"/>
          <w:spacing w:val="-1"/>
          <w:lang w:val="en-US"/>
        </w:rPr>
        <w:t>Gencay</w:t>
      </w:r>
      <w:proofErr w:type="spellEnd"/>
      <w:r w:rsidRPr="00C647A6">
        <w:rPr>
          <w:color w:val="000000"/>
          <w:spacing w:val="-1"/>
          <w:lang w:val="en-US"/>
        </w:rPr>
        <w:t xml:space="preserve"> R. </w:t>
      </w:r>
      <w:r w:rsidRPr="00C647A6">
        <w:rPr>
          <w:i/>
          <w:color w:val="000000"/>
          <w:spacing w:val="-1"/>
          <w:lang w:val="en-US"/>
        </w:rPr>
        <w:t>Linear, non-linear and essential foreign exchange rate prediction with simple technical trading rules</w:t>
      </w:r>
      <w:r w:rsidRPr="00C647A6">
        <w:rPr>
          <w:color w:val="000000"/>
          <w:spacing w:val="-1"/>
          <w:lang w:val="en-US"/>
        </w:rPr>
        <w:t>. Journal of International Economics 47(1999) 91-107.</w:t>
      </w:r>
    </w:p>
    <w:p w:rsidR="00D835C7" w:rsidRPr="009D1220"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proofErr w:type="spellStart"/>
      <w:r w:rsidRPr="00C647A6">
        <w:rPr>
          <w:lang w:val="en-US"/>
        </w:rPr>
        <w:t>LeBaron</w:t>
      </w:r>
      <w:proofErr w:type="spellEnd"/>
      <w:r w:rsidRPr="00C647A6">
        <w:rPr>
          <w:lang w:val="en-US"/>
        </w:rPr>
        <w:t xml:space="preserve"> B. </w:t>
      </w:r>
      <w:r w:rsidRPr="00C647A6">
        <w:rPr>
          <w:i/>
          <w:lang w:val="en-US"/>
        </w:rPr>
        <w:t>Technical trading rules and regime shifts in foreign exchange intervention</w:t>
      </w:r>
      <w:r w:rsidRPr="00C647A6">
        <w:rPr>
          <w:lang w:val="en-US"/>
        </w:rPr>
        <w:t>. Journal of International Economics 49(1999), 125-143.</w:t>
      </w:r>
    </w:p>
    <w:p w:rsidR="00D835C7" w:rsidRPr="00166842" w:rsidRDefault="00D835C7" w:rsidP="00D835C7">
      <w:pPr>
        <w:pStyle w:val="Akapitzlist"/>
        <w:numPr>
          <w:ilvl w:val="0"/>
          <w:numId w:val="4"/>
        </w:numPr>
        <w:spacing w:after="200"/>
        <w:ind w:left="426" w:hanging="284"/>
        <w:jc w:val="left"/>
        <w:rPr>
          <w:color w:val="000000"/>
          <w:spacing w:val="-1"/>
          <w:lang w:val="en-US"/>
        </w:rPr>
      </w:pPr>
      <w:r w:rsidRPr="009D1220">
        <w:rPr>
          <w:color w:val="000000"/>
          <w:spacing w:val="-1"/>
          <w:lang w:val="en-US"/>
        </w:rPr>
        <w:t xml:space="preserve"> </w:t>
      </w:r>
      <w:proofErr w:type="spellStart"/>
      <w:r w:rsidRPr="009D1220">
        <w:rPr>
          <w:lang w:val="en-US"/>
        </w:rPr>
        <w:t>Tian</w:t>
      </w:r>
      <w:proofErr w:type="spellEnd"/>
      <w:r w:rsidRPr="009D1220">
        <w:rPr>
          <w:lang w:val="en-US"/>
        </w:rPr>
        <w:t xml:space="preserve"> G.G., Wan G.H., </w:t>
      </w:r>
      <w:proofErr w:type="spellStart"/>
      <w:r w:rsidRPr="009D1220">
        <w:rPr>
          <w:lang w:val="en-US"/>
        </w:rPr>
        <w:t>Guo</w:t>
      </w:r>
      <w:proofErr w:type="spellEnd"/>
      <w:r w:rsidRPr="009D1220">
        <w:rPr>
          <w:lang w:val="en-US"/>
        </w:rPr>
        <w:t xml:space="preserve"> M. </w:t>
      </w:r>
      <w:r w:rsidRPr="009D1220">
        <w:rPr>
          <w:i/>
          <w:lang w:val="en-US"/>
        </w:rPr>
        <w:t xml:space="preserve">Market efficiency and the returns to simple technical trading rules : New evidence from U.S. equity </w:t>
      </w:r>
      <w:proofErr w:type="spellStart"/>
      <w:r w:rsidRPr="009D1220">
        <w:rPr>
          <w:i/>
          <w:lang w:val="en-US"/>
        </w:rPr>
        <w:t>makets</w:t>
      </w:r>
      <w:proofErr w:type="spellEnd"/>
      <w:r w:rsidRPr="009D1220">
        <w:rPr>
          <w:i/>
          <w:lang w:val="en-US"/>
        </w:rPr>
        <w:t xml:space="preserve"> and Chinese equity markets.</w:t>
      </w:r>
      <w:r w:rsidRPr="009D1220">
        <w:rPr>
          <w:lang w:val="en-US"/>
        </w:rPr>
        <w:t xml:space="preserve"> Asia-Pacific Financial Markets. 9(2002), 241-288.  </w:t>
      </w:r>
    </w:p>
    <w:p w:rsidR="00D835C7" w:rsidRPr="00166842"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r w:rsidRPr="00166842">
        <w:rPr>
          <w:lang w:val="en-US"/>
        </w:rPr>
        <w:t xml:space="preserve">Muriel A., </w:t>
      </w:r>
      <w:r w:rsidRPr="00166842">
        <w:rPr>
          <w:i/>
          <w:lang w:val="en-US"/>
        </w:rPr>
        <w:t xml:space="preserve">Short-term predictions in </w:t>
      </w:r>
      <w:proofErr w:type="spellStart"/>
      <w:r w:rsidRPr="00166842">
        <w:rPr>
          <w:i/>
          <w:lang w:val="en-US"/>
        </w:rPr>
        <w:t>forex</w:t>
      </w:r>
      <w:proofErr w:type="spellEnd"/>
      <w:r w:rsidRPr="00166842">
        <w:rPr>
          <w:i/>
          <w:lang w:val="en-US"/>
        </w:rPr>
        <w:t xml:space="preserve"> trading</w:t>
      </w:r>
      <w:r w:rsidRPr="00166842">
        <w:rPr>
          <w:lang w:val="en-US"/>
        </w:rPr>
        <w:t xml:space="preserve">, </w:t>
      </w:r>
      <w:proofErr w:type="spellStart"/>
      <w:r w:rsidRPr="00166842">
        <w:rPr>
          <w:lang w:val="en-US"/>
        </w:rPr>
        <w:t>Physica</w:t>
      </w:r>
      <w:proofErr w:type="spellEnd"/>
      <w:r w:rsidRPr="00166842">
        <w:rPr>
          <w:lang w:val="en-US"/>
        </w:rPr>
        <w:t xml:space="preserve"> A 344 (2004) 190–193</w:t>
      </w:r>
    </w:p>
    <w:p w:rsidR="00D835C7" w:rsidRPr="00865F8F" w:rsidRDefault="00D835C7" w:rsidP="00D835C7">
      <w:pPr>
        <w:pStyle w:val="Akapitzlist"/>
        <w:numPr>
          <w:ilvl w:val="0"/>
          <w:numId w:val="4"/>
        </w:numPr>
        <w:spacing w:after="200"/>
        <w:ind w:left="426" w:hanging="284"/>
        <w:jc w:val="left"/>
        <w:rPr>
          <w:color w:val="000000"/>
          <w:spacing w:val="-1"/>
          <w:lang w:val="en-US"/>
        </w:rPr>
      </w:pPr>
      <w:r>
        <w:rPr>
          <w:rFonts w:ascii="Arial" w:hAnsi="Arial" w:cs="Arial"/>
          <w:sz w:val="20"/>
          <w:szCs w:val="20"/>
          <w:lang w:val="en-US"/>
        </w:rPr>
        <w:t xml:space="preserve"> </w:t>
      </w:r>
      <w:proofErr w:type="spellStart"/>
      <w:r w:rsidRPr="00166842">
        <w:rPr>
          <w:rFonts w:ascii="Arial" w:hAnsi="Arial" w:cs="Arial"/>
          <w:sz w:val="20"/>
          <w:szCs w:val="20"/>
          <w:lang w:val="en-US"/>
        </w:rPr>
        <w:t>Wiliński</w:t>
      </w:r>
      <w:proofErr w:type="spellEnd"/>
      <w:r w:rsidRPr="00166842">
        <w:rPr>
          <w:rFonts w:ascii="Arial" w:hAnsi="Arial" w:cs="Arial"/>
          <w:sz w:val="20"/>
          <w:szCs w:val="20"/>
          <w:lang w:val="en-US"/>
        </w:rPr>
        <w:t xml:space="preserve"> A.</w:t>
      </w:r>
      <w:r w:rsidRPr="00166842">
        <w:rPr>
          <w:rFonts w:ascii="Arial" w:hAnsi="Arial" w:cs="Arial"/>
          <w:b/>
          <w:sz w:val="20"/>
          <w:szCs w:val="20"/>
          <w:lang w:val="en-US"/>
        </w:rPr>
        <w:t xml:space="preserve">  </w:t>
      </w:r>
      <w:r w:rsidRPr="00166842">
        <w:rPr>
          <w:rFonts w:ascii="Arial" w:hAnsi="Arial" w:cs="Arial"/>
          <w:sz w:val="20"/>
          <w:szCs w:val="20"/>
          <w:lang w:val="en-US"/>
        </w:rPr>
        <w:t xml:space="preserve">Predictions Models of Financial Markets Based on </w:t>
      </w:r>
      <w:proofErr w:type="spellStart"/>
      <w:r w:rsidRPr="00166842">
        <w:rPr>
          <w:rFonts w:ascii="Arial" w:hAnsi="Arial" w:cs="Arial"/>
          <w:sz w:val="20"/>
          <w:szCs w:val="20"/>
          <w:lang w:val="en-US"/>
        </w:rPr>
        <w:t>Multiregression</w:t>
      </w:r>
      <w:proofErr w:type="spellEnd"/>
      <w:r w:rsidRPr="00166842">
        <w:rPr>
          <w:rFonts w:ascii="Arial" w:hAnsi="Arial" w:cs="Arial"/>
          <w:sz w:val="20"/>
          <w:szCs w:val="20"/>
          <w:lang w:val="en-US"/>
        </w:rPr>
        <w:t xml:space="preserve"> Algorithms. Proceedings of the International Workshop on Intelligent Information Systems, Institute of Mathematics and Computer Science, Chisinau 2011</w:t>
      </w:r>
    </w:p>
    <w:p w:rsidR="00D835C7" w:rsidRPr="00865F8F"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865F8F">
        <w:rPr>
          <w:color w:val="000000"/>
          <w:spacing w:val="-1"/>
          <w:lang w:val="en-US"/>
        </w:rPr>
        <w:t xml:space="preserve"> </w:t>
      </w:r>
      <w:r w:rsidRPr="00865F8F">
        <w:rPr>
          <w:lang w:val="en-US"/>
        </w:rPr>
        <w:t xml:space="preserve">Fujimoto K., Nakabayashi S. </w:t>
      </w:r>
      <w:r w:rsidRPr="00865F8F">
        <w:rPr>
          <w:i/>
          <w:lang w:val="en-US"/>
        </w:rPr>
        <w:t>Applying GMDH Algorithm to Extract Rules from Examples</w:t>
      </w:r>
      <w:r w:rsidRPr="00865F8F">
        <w:rPr>
          <w:lang w:val="en-US"/>
        </w:rPr>
        <w:t xml:space="preserve">. </w:t>
      </w:r>
      <w:hyperlink r:id="rId16" w:history="1">
        <w:r w:rsidRPr="00865F8F">
          <w:rPr>
            <w:rStyle w:val="Hipercze"/>
            <w:color w:val="000000"/>
            <w:lang w:val="en-US"/>
          </w:rPr>
          <w:t xml:space="preserve">Systems Analysis </w:t>
        </w:r>
        <w:proofErr w:type="spellStart"/>
        <w:r w:rsidRPr="00865F8F">
          <w:rPr>
            <w:rStyle w:val="Hipercze"/>
            <w:color w:val="000000"/>
            <w:lang w:val="en-US"/>
          </w:rPr>
          <w:t>Modelling</w:t>
        </w:r>
        <w:proofErr w:type="spellEnd"/>
        <w:r w:rsidRPr="00865F8F">
          <w:rPr>
            <w:rStyle w:val="Hipercze"/>
            <w:color w:val="000000"/>
            <w:lang w:val="en-US"/>
          </w:rPr>
          <w:t xml:space="preserve"> Simulation</w:t>
        </w:r>
      </w:hyperlink>
      <w:r w:rsidRPr="00865F8F">
        <w:rPr>
          <w:color w:val="000000"/>
          <w:lang w:val="en-US"/>
        </w:rPr>
        <w:t xml:space="preserve">, </w:t>
      </w:r>
      <w:r w:rsidRPr="00865F8F">
        <w:rPr>
          <w:lang w:val="en-US"/>
        </w:rPr>
        <w:t>Volume 43, Number 10, 2003/10 pp. 1311-1319.</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1D7CB6">
        <w:rPr>
          <w:color w:val="000000"/>
          <w:spacing w:val="-1"/>
          <w:lang w:val="en-US"/>
        </w:rPr>
        <w:t>Friesen G.C.F, Weller P, Dunham L.M. Price trends and patterns in technical analysis: A theoretical and empirical examination. Journal of Banking &amp; Finance 33(2009) 1089-1100.</w:t>
      </w:r>
    </w:p>
    <w:p w:rsidR="00D835C7" w:rsidRPr="00951BD8" w:rsidRDefault="00D835C7" w:rsidP="00D835C7">
      <w:pPr>
        <w:pStyle w:val="Akapitzlist"/>
        <w:numPr>
          <w:ilvl w:val="0"/>
          <w:numId w:val="4"/>
        </w:numPr>
        <w:spacing w:after="200"/>
        <w:ind w:left="426" w:hanging="284"/>
        <w:jc w:val="left"/>
        <w:rPr>
          <w:color w:val="000000"/>
          <w:spacing w:val="-1"/>
          <w:lang w:val="en-US"/>
        </w:rPr>
      </w:pPr>
      <w:bookmarkStart w:id="1" w:name="bib3"/>
      <w:bookmarkEnd w:id="1"/>
      <w:r>
        <w:rPr>
          <w:lang w:val="en-US"/>
        </w:rPr>
        <w:t xml:space="preserve"> </w:t>
      </w:r>
      <w:proofErr w:type="spellStart"/>
      <w:r w:rsidRPr="001D7CB6">
        <w:rPr>
          <w:lang w:val="en-US"/>
        </w:rPr>
        <w:t>Raghuraj</w:t>
      </w:r>
      <w:proofErr w:type="spellEnd"/>
      <w:r w:rsidRPr="001D7CB6">
        <w:rPr>
          <w:lang w:val="en-US"/>
        </w:rPr>
        <w:t xml:space="preserve"> R.K., </w:t>
      </w:r>
      <w:proofErr w:type="spellStart"/>
      <w:r w:rsidRPr="001D7CB6">
        <w:rPr>
          <w:lang w:val="en-US"/>
        </w:rPr>
        <w:t>Lakshminarayanan</w:t>
      </w:r>
      <w:proofErr w:type="spellEnd"/>
      <w:r w:rsidRPr="001D7CB6">
        <w:rPr>
          <w:lang w:val="en-US"/>
        </w:rPr>
        <w:t xml:space="preserve"> S. </w:t>
      </w:r>
      <w:r w:rsidRPr="001D7CB6">
        <w:rPr>
          <w:i/>
          <w:lang w:val="en-US"/>
        </w:rPr>
        <w:t xml:space="preserve">Variable Predictive Models – A new multivariate classification approach for pattern recognition application. </w:t>
      </w:r>
      <w:r w:rsidRPr="001D7CB6">
        <w:rPr>
          <w:lang w:val="en-US"/>
        </w:rPr>
        <w:t xml:space="preserve">Elsevier, Pattern Recognition vol. 42/1, 2009 p.7-17 </w:t>
      </w:r>
      <w:bookmarkStart w:id="2" w:name="bib4"/>
      <w:bookmarkEnd w:id="2"/>
    </w:p>
    <w:p w:rsidR="00D835C7" w:rsidRPr="00951BD8" w:rsidRDefault="00D835C7" w:rsidP="00D835C7">
      <w:pPr>
        <w:pStyle w:val="Akapitzlist"/>
        <w:numPr>
          <w:ilvl w:val="0"/>
          <w:numId w:val="4"/>
        </w:numPr>
        <w:spacing w:after="200"/>
        <w:ind w:left="426" w:hanging="284"/>
        <w:jc w:val="left"/>
        <w:rPr>
          <w:color w:val="000000"/>
          <w:spacing w:val="-1"/>
          <w:lang w:val="en-US"/>
        </w:rPr>
      </w:pPr>
      <w:proofErr w:type="spellStart"/>
      <w:r w:rsidRPr="00951BD8">
        <w:rPr>
          <w:rFonts w:ascii="Arial" w:hAnsi="Arial" w:cs="Arial"/>
          <w:sz w:val="20"/>
          <w:szCs w:val="20"/>
          <w:lang w:val="en-US"/>
        </w:rPr>
        <w:t>Klesk</w:t>
      </w:r>
      <w:proofErr w:type="spellEnd"/>
      <w:r w:rsidRPr="00951BD8">
        <w:rPr>
          <w:rFonts w:ascii="Arial" w:hAnsi="Arial" w:cs="Arial"/>
          <w:sz w:val="20"/>
          <w:szCs w:val="20"/>
          <w:lang w:val="en-US"/>
        </w:rPr>
        <w:t xml:space="preserve"> P., </w:t>
      </w:r>
      <w:proofErr w:type="spellStart"/>
      <w:r w:rsidRPr="00951BD8">
        <w:rPr>
          <w:rFonts w:ascii="Arial" w:hAnsi="Arial" w:cs="Arial"/>
          <w:sz w:val="20"/>
          <w:szCs w:val="20"/>
          <w:lang w:val="en-US"/>
        </w:rPr>
        <w:t>Wiliński</w:t>
      </w:r>
      <w:proofErr w:type="spellEnd"/>
      <w:r w:rsidRPr="00951BD8">
        <w:rPr>
          <w:rFonts w:ascii="Arial" w:hAnsi="Arial" w:cs="Arial"/>
          <w:sz w:val="20"/>
          <w:szCs w:val="20"/>
          <w:lang w:val="en-US"/>
        </w:rPr>
        <w:t xml:space="preserve"> A. Market Trajectory Recognition and Trajectory Prediction Using Markov Models. Artificial Intelligence and Soft Computing, LNAI 6113, s. 405-413, Springer 2010. </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proofErr w:type="spellStart"/>
      <w:r>
        <w:rPr>
          <w:color w:val="000000"/>
          <w:spacing w:val="-1"/>
          <w:lang w:val="en-US"/>
        </w:rPr>
        <w:t>Krutsinger</w:t>
      </w:r>
      <w:proofErr w:type="spellEnd"/>
      <w:r>
        <w:rPr>
          <w:color w:val="000000"/>
          <w:spacing w:val="-1"/>
          <w:lang w:val="en-US"/>
        </w:rPr>
        <w:t xml:space="preserve"> J</w:t>
      </w:r>
      <w:r w:rsidRPr="00951BD8">
        <w:rPr>
          <w:i/>
          <w:color w:val="000000"/>
          <w:spacing w:val="-1"/>
          <w:lang w:val="en-US"/>
        </w:rPr>
        <w:t>. Secrets of Masters</w:t>
      </w:r>
      <w:r>
        <w:rPr>
          <w:color w:val="000000"/>
          <w:spacing w:val="-1"/>
          <w:lang w:val="en-US"/>
        </w:rPr>
        <w:t xml:space="preserve">. Mc </w:t>
      </w:r>
      <w:proofErr w:type="spellStart"/>
      <w:r>
        <w:rPr>
          <w:color w:val="000000"/>
          <w:spacing w:val="-1"/>
          <w:lang w:val="en-US"/>
        </w:rPr>
        <w:t>Graw</w:t>
      </w:r>
      <w:proofErr w:type="spellEnd"/>
      <w:r>
        <w:rPr>
          <w:color w:val="000000"/>
          <w:spacing w:val="-1"/>
          <w:lang w:val="en-US"/>
        </w:rPr>
        <w:t>-Hill, 1997, p. 246.</w:t>
      </w:r>
    </w:p>
    <w:p w:rsidR="00D835C7" w:rsidRPr="005F2368" w:rsidRDefault="00D835C7" w:rsidP="00D835C7">
      <w:pPr>
        <w:pStyle w:val="Akapitzlist"/>
        <w:numPr>
          <w:ilvl w:val="0"/>
          <w:numId w:val="4"/>
        </w:numPr>
        <w:spacing w:after="200"/>
        <w:ind w:left="426" w:hanging="284"/>
        <w:jc w:val="left"/>
        <w:rPr>
          <w:color w:val="000000"/>
          <w:spacing w:val="-1"/>
          <w:lang w:val="en-US"/>
        </w:rPr>
      </w:pPr>
      <w:r>
        <w:rPr>
          <w:szCs w:val="24"/>
          <w:lang w:val="en-US"/>
        </w:rPr>
        <w:t xml:space="preserve"> </w:t>
      </w:r>
      <w:proofErr w:type="spellStart"/>
      <w:r w:rsidRPr="00744AEC">
        <w:rPr>
          <w:szCs w:val="24"/>
          <w:lang w:val="en-US"/>
        </w:rPr>
        <w:t>Ivakhnenko</w:t>
      </w:r>
      <w:proofErr w:type="spellEnd"/>
      <w:r w:rsidRPr="00744AEC">
        <w:rPr>
          <w:szCs w:val="24"/>
          <w:lang w:val="en-US"/>
        </w:rPr>
        <w:t xml:space="preserve"> A.G.,  </w:t>
      </w:r>
      <w:r w:rsidRPr="00744AEC">
        <w:rPr>
          <w:i/>
          <w:szCs w:val="24"/>
          <w:lang w:val="en-US"/>
        </w:rPr>
        <w:t xml:space="preserve">An Inductive Sorting Method for the Forecasting of Multidimensional Random Processes and Events with the Help of Analogs Forecast </w:t>
      </w:r>
      <w:proofErr w:type="spellStart"/>
      <w:r w:rsidRPr="00744AEC">
        <w:rPr>
          <w:i/>
          <w:szCs w:val="24"/>
          <w:lang w:val="en-US"/>
        </w:rPr>
        <w:t>Complexing</w:t>
      </w:r>
      <w:proofErr w:type="spellEnd"/>
      <w:r w:rsidRPr="00744AEC">
        <w:rPr>
          <w:i/>
          <w:szCs w:val="24"/>
          <w:lang w:val="en-US"/>
        </w:rPr>
        <w:t>,</w:t>
      </w:r>
      <w:r w:rsidRPr="00744AEC">
        <w:rPr>
          <w:szCs w:val="24"/>
          <w:lang w:val="en-US"/>
        </w:rPr>
        <w:t xml:space="preserve"> Pattern Recognition and Image Analysis, 1991, vol. 1, no.1, pp.99-108.</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Pr>
          <w:rFonts w:ascii="Arial" w:eastAsia="Times New Roman" w:hAnsi="Arial" w:cs="Arial"/>
          <w:color w:val="000000"/>
          <w:sz w:val="20"/>
          <w:szCs w:val="20"/>
          <w:lang w:val="en-US" w:eastAsia="pl-PL"/>
        </w:rPr>
        <w:t xml:space="preserve"> </w:t>
      </w:r>
      <w:proofErr w:type="spellStart"/>
      <w:r w:rsidRPr="00BE1B89">
        <w:rPr>
          <w:rFonts w:asciiTheme="minorHAnsi" w:eastAsia="Times New Roman" w:hAnsiTheme="minorHAnsi" w:cs="Arial"/>
          <w:color w:val="000000"/>
          <w:lang w:val="en-US" w:eastAsia="pl-PL"/>
        </w:rPr>
        <w:t>Kahneman</w:t>
      </w:r>
      <w:proofErr w:type="spellEnd"/>
      <w:r w:rsidRPr="00BE1B89">
        <w:rPr>
          <w:rFonts w:asciiTheme="minorHAnsi" w:eastAsia="Times New Roman" w:hAnsiTheme="minorHAnsi" w:cs="Arial"/>
          <w:color w:val="000000"/>
          <w:lang w:val="en-US" w:eastAsia="pl-PL"/>
        </w:rPr>
        <w:t xml:space="preserve">, D., </w:t>
      </w:r>
      <w:proofErr w:type="spellStart"/>
      <w:r w:rsidRPr="00BE1B89">
        <w:rPr>
          <w:rFonts w:asciiTheme="minorHAnsi" w:eastAsia="Times New Roman" w:hAnsiTheme="minorHAnsi" w:cs="Arial"/>
          <w:color w:val="000000"/>
          <w:lang w:val="en-US" w:eastAsia="pl-PL"/>
        </w:rPr>
        <w:t>Slovic</w:t>
      </w:r>
      <w:proofErr w:type="spellEnd"/>
      <w:r w:rsidRPr="00BE1B89">
        <w:rPr>
          <w:rFonts w:asciiTheme="minorHAnsi" w:eastAsia="Times New Roman" w:hAnsiTheme="minorHAnsi" w:cs="Arial"/>
          <w:color w:val="000000"/>
          <w:lang w:val="en-US" w:eastAsia="pl-PL"/>
        </w:rPr>
        <w:t xml:space="preserve">, P., </w:t>
      </w:r>
      <w:proofErr w:type="spellStart"/>
      <w:r w:rsidRPr="00BE1B89">
        <w:rPr>
          <w:rFonts w:asciiTheme="minorHAnsi" w:eastAsia="Times New Roman" w:hAnsiTheme="minorHAnsi" w:cs="Arial"/>
          <w:color w:val="000000"/>
          <w:lang w:val="en-US" w:eastAsia="pl-PL"/>
        </w:rPr>
        <w:t>Tversky</w:t>
      </w:r>
      <w:proofErr w:type="spellEnd"/>
      <w:r w:rsidRPr="00BE1B89">
        <w:rPr>
          <w:rFonts w:asciiTheme="minorHAnsi" w:eastAsia="Times New Roman" w:hAnsiTheme="minorHAnsi" w:cs="Arial"/>
          <w:color w:val="000000"/>
          <w:lang w:val="en-US" w:eastAsia="pl-PL"/>
        </w:rPr>
        <w:t>, A.  </w:t>
      </w:r>
      <w:r w:rsidRPr="00BE1B89">
        <w:rPr>
          <w:rFonts w:asciiTheme="minorHAnsi" w:eastAsia="Times New Roman" w:hAnsiTheme="minorHAnsi" w:cs="Arial"/>
          <w:i/>
          <w:iCs/>
          <w:color w:val="000000"/>
          <w:lang w:val="en-US" w:eastAsia="pl-PL"/>
        </w:rPr>
        <w:t>Judgment under uncertainty: Heuristics and biases</w:t>
      </w:r>
      <w:r w:rsidRPr="00BE1B89">
        <w:rPr>
          <w:rFonts w:asciiTheme="minorHAnsi" w:eastAsia="Times New Roman" w:hAnsiTheme="minorHAnsi" w:cs="Arial"/>
          <w:color w:val="000000"/>
          <w:lang w:val="en-US" w:eastAsia="pl-PL"/>
        </w:rPr>
        <w:t>. New York: Cambridge University Press 1982.</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sidRPr="00BE1B89">
        <w:rPr>
          <w:rFonts w:asciiTheme="minorHAnsi" w:eastAsia="Times New Roman" w:hAnsiTheme="minorHAnsi" w:cs="Arial"/>
          <w:color w:val="000000"/>
          <w:lang w:val="en-US" w:eastAsia="pl-PL"/>
        </w:rPr>
        <w:t xml:space="preserve"> </w:t>
      </w:r>
      <w:r w:rsidRPr="00BE1B89">
        <w:rPr>
          <w:rFonts w:asciiTheme="minorHAnsi" w:hAnsiTheme="minorHAnsi"/>
          <w:color w:val="000000"/>
          <w:lang w:val="en-US"/>
        </w:rPr>
        <w:t xml:space="preserve">Kennedy, J.; </w:t>
      </w:r>
      <w:proofErr w:type="spellStart"/>
      <w:r w:rsidRPr="00BE1B89">
        <w:rPr>
          <w:rFonts w:asciiTheme="minorHAnsi" w:hAnsiTheme="minorHAnsi"/>
          <w:color w:val="000000"/>
          <w:lang w:val="en-US"/>
        </w:rPr>
        <w:t>Eberhart</w:t>
      </w:r>
      <w:proofErr w:type="spellEnd"/>
      <w:r w:rsidRPr="00BE1B89">
        <w:rPr>
          <w:rFonts w:asciiTheme="minorHAnsi" w:hAnsiTheme="minorHAnsi"/>
          <w:color w:val="000000"/>
          <w:lang w:val="en-US"/>
        </w:rPr>
        <w:t xml:space="preserve">, R. - Particle swarm optimization. </w:t>
      </w:r>
      <w:r w:rsidRPr="00BE1B89">
        <w:rPr>
          <w:rFonts w:asciiTheme="minorHAnsi" w:hAnsiTheme="minorHAnsi"/>
          <w:i/>
          <w:iCs/>
          <w:color w:val="000000"/>
          <w:lang w:val="en-US"/>
        </w:rPr>
        <w:t xml:space="preserve">Neural Networks, 1995. </w:t>
      </w:r>
      <w:r w:rsidRPr="00BE1B89">
        <w:rPr>
          <w:rFonts w:asciiTheme="minorHAnsi" w:hAnsiTheme="minorHAnsi"/>
          <w:iCs/>
          <w:color w:val="000000"/>
          <w:lang w:val="en-US"/>
        </w:rPr>
        <w:t>Proceedings., IEEE International Conference on</w:t>
      </w:r>
      <w:r w:rsidRPr="00BE1B89">
        <w:rPr>
          <w:rStyle w:val="apple-converted-space"/>
          <w:rFonts w:asciiTheme="minorHAnsi" w:hAnsiTheme="minorHAnsi"/>
          <w:color w:val="000000"/>
          <w:lang w:val="en-US"/>
        </w:rPr>
        <w:t> </w:t>
      </w:r>
      <w:r w:rsidRPr="00BE1B89">
        <w:rPr>
          <w:rFonts w:asciiTheme="minorHAnsi" w:hAnsiTheme="minorHAnsi"/>
          <w:color w:val="000000"/>
          <w:lang w:val="en-US"/>
        </w:rPr>
        <w:t>, vol.4, no., pp.1942,1948 vol.4, Nov/Dec 1995</w:t>
      </w:r>
    </w:p>
    <w:p w:rsidR="00D835C7" w:rsidRPr="00294044" w:rsidRDefault="00D835C7" w:rsidP="00D835C7">
      <w:pPr>
        <w:autoSpaceDE w:val="0"/>
        <w:autoSpaceDN w:val="0"/>
        <w:adjustRightInd w:val="0"/>
        <w:spacing w:after="0" w:line="240" w:lineRule="auto"/>
        <w:rPr>
          <w:rFonts w:cs="Courier New"/>
          <w:b/>
        </w:rPr>
      </w:pPr>
    </w:p>
    <w:p w:rsidR="00D835C7" w:rsidRPr="00294044" w:rsidRDefault="00D835C7" w:rsidP="00D835C7">
      <w:pPr>
        <w:autoSpaceDE w:val="0"/>
        <w:autoSpaceDN w:val="0"/>
        <w:adjustRightInd w:val="0"/>
        <w:spacing w:after="0" w:line="240" w:lineRule="auto"/>
        <w:rPr>
          <w:rFonts w:ascii="Courier New" w:hAnsi="Courier New" w:cs="Courier New"/>
          <w:b/>
          <w:sz w:val="28"/>
          <w:szCs w:val="28"/>
        </w:rPr>
      </w:pPr>
    </w:p>
    <w:p w:rsidR="00D835C7" w:rsidRPr="00294044" w:rsidRDefault="00D835C7" w:rsidP="00D835C7"/>
    <w:p w:rsidR="00D835C7" w:rsidRPr="00294044" w:rsidRDefault="00D835C7" w:rsidP="00D835C7"/>
    <w:p w:rsidR="00EE76F1" w:rsidRPr="00D835C7" w:rsidRDefault="00EE76F1"/>
    <w:sectPr w:rsidR="00EE76F1" w:rsidRPr="00D835C7" w:rsidSect="00ED7AF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265D"/>
    <w:multiLevelType w:val="hybridMultilevel"/>
    <w:tmpl w:val="2FFC26EE"/>
    <w:lvl w:ilvl="0" w:tplc="5F8879BA">
      <w:start w:val="1"/>
      <w:numFmt w:val="decimal"/>
      <w:lvlText w:val="%1."/>
      <w:lvlJc w:val="left"/>
      <w:pPr>
        <w:ind w:left="644" w:hanging="360"/>
      </w:pPr>
      <w:rPr>
        <w:rFonts w:ascii="Calibri" w:hAnsi="Calibri" w:hint="default"/>
        <w:color w:val="auto"/>
        <w:sz w:val="22"/>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EE76F1"/>
    <w:rsid w:val="00054A49"/>
    <w:rsid w:val="00060773"/>
    <w:rsid w:val="000955D6"/>
    <w:rsid w:val="00096808"/>
    <w:rsid w:val="000D173D"/>
    <w:rsid w:val="000F5095"/>
    <w:rsid w:val="000F7AA3"/>
    <w:rsid w:val="00113DC8"/>
    <w:rsid w:val="001215F6"/>
    <w:rsid w:val="0012411A"/>
    <w:rsid w:val="00154226"/>
    <w:rsid w:val="001610B3"/>
    <w:rsid w:val="00187AF4"/>
    <w:rsid w:val="001D607A"/>
    <w:rsid w:val="001E0A1D"/>
    <w:rsid w:val="001F3E83"/>
    <w:rsid w:val="0021484E"/>
    <w:rsid w:val="00216064"/>
    <w:rsid w:val="00221172"/>
    <w:rsid w:val="00226EB4"/>
    <w:rsid w:val="00242B66"/>
    <w:rsid w:val="0027015F"/>
    <w:rsid w:val="00296B95"/>
    <w:rsid w:val="002B7269"/>
    <w:rsid w:val="002C7D30"/>
    <w:rsid w:val="002D4621"/>
    <w:rsid w:val="00347797"/>
    <w:rsid w:val="003E18BE"/>
    <w:rsid w:val="00412AAA"/>
    <w:rsid w:val="00413ED1"/>
    <w:rsid w:val="00496875"/>
    <w:rsid w:val="004A3ACF"/>
    <w:rsid w:val="004F3109"/>
    <w:rsid w:val="00505959"/>
    <w:rsid w:val="00557F64"/>
    <w:rsid w:val="005B55D8"/>
    <w:rsid w:val="005C1757"/>
    <w:rsid w:val="005E07F7"/>
    <w:rsid w:val="005E1E1F"/>
    <w:rsid w:val="00604523"/>
    <w:rsid w:val="00653AEA"/>
    <w:rsid w:val="006B4A12"/>
    <w:rsid w:val="00711B7E"/>
    <w:rsid w:val="00730966"/>
    <w:rsid w:val="007320C3"/>
    <w:rsid w:val="007571B8"/>
    <w:rsid w:val="007A48F5"/>
    <w:rsid w:val="0082177B"/>
    <w:rsid w:val="00860157"/>
    <w:rsid w:val="00874CD9"/>
    <w:rsid w:val="00883DEA"/>
    <w:rsid w:val="008A2E23"/>
    <w:rsid w:val="008C0026"/>
    <w:rsid w:val="0094372B"/>
    <w:rsid w:val="00981E95"/>
    <w:rsid w:val="009B11C7"/>
    <w:rsid w:val="009B7997"/>
    <w:rsid w:val="00A03C0C"/>
    <w:rsid w:val="00A13EAA"/>
    <w:rsid w:val="00A15187"/>
    <w:rsid w:val="00A21978"/>
    <w:rsid w:val="00A24420"/>
    <w:rsid w:val="00A41122"/>
    <w:rsid w:val="00A50C9E"/>
    <w:rsid w:val="00A77542"/>
    <w:rsid w:val="00A77711"/>
    <w:rsid w:val="00AA4EB8"/>
    <w:rsid w:val="00AB5E88"/>
    <w:rsid w:val="00AE4EC3"/>
    <w:rsid w:val="00AE6744"/>
    <w:rsid w:val="00AF1E79"/>
    <w:rsid w:val="00B10C48"/>
    <w:rsid w:val="00B1347E"/>
    <w:rsid w:val="00B31416"/>
    <w:rsid w:val="00B5146E"/>
    <w:rsid w:val="00B82F72"/>
    <w:rsid w:val="00BF0234"/>
    <w:rsid w:val="00C435EF"/>
    <w:rsid w:val="00C650EB"/>
    <w:rsid w:val="00C93ED5"/>
    <w:rsid w:val="00C9518B"/>
    <w:rsid w:val="00CA302F"/>
    <w:rsid w:val="00CC0814"/>
    <w:rsid w:val="00CC5341"/>
    <w:rsid w:val="00D13700"/>
    <w:rsid w:val="00D4006A"/>
    <w:rsid w:val="00D5043B"/>
    <w:rsid w:val="00D835C7"/>
    <w:rsid w:val="00D91FF9"/>
    <w:rsid w:val="00E0067A"/>
    <w:rsid w:val="00E163E4"/>
    <w:rsid w:val="00E27C30"/>
    <w:rsid w:val="00EC586F"/>
    <w:rsid w:val="00EC7760"/>
    <w:rsid w:val="00ED5692"/>
    <w:rsid w:val="00ED7AF6"/>
    <w:rsid w:val="00EE69BB"/>
    <w:rsid w:val="00EE76F1"/>
    <w:rsid w:val="00F02714"/>
    <w:rsid w:val="00F21460"/>
    <w:rsid w:val="00F3076C"/>
    <w:rsid w:val="00F615EE"/>
    <w:rsid w:val="00F61758"/>
    <w:rsid w:val="00F87ADA"/>
    <w:rsid w:val="00FC054B"/>
    <w:rsid w:val="00FC4794"/>
    <w:rsid w:val="00FC54C6"/>
    <w:rsid w:val="00FE5B40"/>
    <w:rsid w:val="00FF4E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7A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content\tandf\gsam;jsessionid=td7wji8jia8t.henriet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George_P%C3%B3lya" TargetMode="External"/><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9AF7-A19D-4E90-9389-7A9FF30C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1916</Words>
  <Characters>11501</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Tomasz Nyczaj</cp:lastModifiedBy>
  <cp:revision>29</cp:revision>
  <dcterms:created xsi:type="dcterms:W3CDTF">2013-10-30T21:14:00Z</dcterms:created>
  <dcterms:modified xsi:type="dcterms:W3CDTF">2013-11-03T23:20:00Z</dcterms:modified>
</cp:coreProperties>
</file>