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rPr>
          <w:rFonts w:ascii="Arial" w:cs="Arial" w:eastAsia="Arial" w:hAnsi="Arial"/>
          <w:b/>
          <w:bCs/>
          <w:color w:val="1B4F8A"/>
          <w:sz w:val="96"/>
          <w:szCs w:val="96"/>
        </w:rPr>
        <w:t xml:space="preserve">WAXCYL™</w:t>
      </w:r>
    </w:p>
    <w:p>
      <w:pPr>
        <w:spacing w:after="60"/>
      </w:pPr>
    </w:p>
    <w:p>
      <w:pPr>
        <w:jc w:val="center"/>
      </w:pPr>
      <w:r>
        <w:rPr>
          <w:rFonts w:ascii="Arial" w:cs="Arial" w:eastAsia="Arial" w:hAnsi="Arial"/>
          <w:color w:val="2E8B57"/>
          <w:sz w:val="36"/>
          <w:szCs w:val="36"/>
        </w:rPr>
        <w:t xml:space="preserve">Passive Wax-Cylinder Solar Tracking System</w:t>
      </w:r>
    </w:p>
    <w:p>
      <w:pPr>
        <w:spacing w:after="40"/>
      </w:pPr>
    </w:p>
    <w:p>
      <w:pPr>
        <w:jc w:val="center"/>
      </w:pPr>
      <w:r>
        <w:rPr>
          <w:rFonts w:ascii="Arial" w:cs="Arial" w:eastAsia="Arial" w:hAnsi="Arial"/>
          <w:i/>
          <w:iCs/>
          <w:color w:val="555555"/>
          <w:sz w:val="26"/>
          <w:szCs w:val="26"/>
        </w:rPr>
        <w:t xml:space="preserve">For Microinverter-Based Small-Panel Installations</w:t>
      </w:r>
    </w:p>
    <w:p>
      <w:pPr>
        <w:spacing w:after="120"/>
      </w:pPr>
    </w:p>
    <w:p>
      <w:pPr>
        <w:pBdr>
          <w:bottom w:val="single" w:color="D4A017" w:sz="4"/>
        </w:pBdr>
        <w:spacing w:after="160" w:before="160"/>
      </w:pPr>
    </w:p>
    <w:p>
      <w:pPr>
        <w:spacing w:after="120"/>
      </w:pPr>
    </w:p>
    <w:p>
      <w:pPr>
        <w:jc w:val="center"/>
      </w:pPr>
      <w:r>
        <w:rPr>
          <w:rFonts w:ascii="Arial" w:cs="Arial" w:eastAsia="Arial" w:hAnsi="Arial"/>
          <w:b/>
          <w:bCs/>
          <w:color w:val="444444"/>
          <w:sz w:val="22"/>
          <w:szCs w:val="22"/>
        </w:rPr>
        <w:t xml:space="preserve">FULL TECHNICAL &amp; COMMERCIAL DESIGN SPECIFICATION</w:t>
      </w:r>
    </w:p>
    <w:p>
      <w:pPr>
        <w:spacing w:after="60"/>
      </w:pPr>
    </w:p>
    <w:p>
      <w:pPr>
        <w:jc w:val="center"/>
      </w:pPr>
      <w:r>
        <w:rPr>
          <w:rFonts w:ascii="Arial" w:cs="Arial" w:eastAsia="Arial" w:hAnsi="Arial"/>
          <w:color w:val="777777"/>
          <w:sz w:val="20"/>
          <w:szCs w:val="20"/>
        </w:rPr>
        <w:t xml:space="preserve">Concept Development  ·  Mechanical Engineering  ·  ROI Analysis  ·  Retail Market Strategy</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8F8" w:val="clear"/>
            <w:tcMar>
              <w:top w:type="dxa" w:w="120"/>
              <w:left w:type="dxa" w:w="120"/>
              <w:bottom w:type="dxa" w:w="120"/>
              <w:right w:type="dxa" w:w="120"/>
            </w:tcMar>
          </w:tcPr>
          <w:p>
            <w:pPr>
              <w:jc w:val="center"/>
            </w:pPr>
            <w:r>
              <w:rPr>
                <w:rFonts w:ascii="Arial" w:cs="Arial" w:eastAsia="Arial" w:hAnsi="Arial"/>
                <w:b/>
                <w:bCs/>
                <w:color w:val="1B4F8A"/>
                <w:sz w:val="40"/>
                <w:szCs w:val="40"/>
              </w:rPr>
              <w:t xml:space="preserve">25–35%</w:t>
            </w:r>
          </w:p>
          <w:p>
            <w:pPr>
              <w:jc w:val="center"/>
            </w:pPr>
            <w:r>
              <w:rPr>
                <w:rFonts w:ascii="Arial" w:cs="Arial" w:eastAsia="Arial" w:hAnsi="Arial"/>
                <w:color w:val="444444"/>
                <w:sz w:val="20"/>
                <w:szCs w:val="20"/>
              </w:rPr>
              <w:t xml:space="preserve">More Energy Yield</w:t>
            </w:r>
          </w:p>
        </w:tc>
        <w:tc>
          <w:tcPr>
            <w:tcW w:type="dxa" w:w="3120"/>
            <w:tcBorders>
              <w:top w:val="single" w:color="CCCCCC" w:sz="1"/>
              <w:left w:val="single" w:color="CCCCCC" w:sz="1"/>
              <w:bottom w:val="single" w:color="CCCCCC" w:sz="1"/>
              <w:right w:val="single" w:color="CCCCCC" w:sz="1"/>
            </w:tcBorders>
            <w:shd w:fill="D6F0E0" w:val="clear"/>
            <w:tcMar>
              <w:top w:type="dxa" w:w="120"/>
              <w:left w:type="dxa" w:w="120"/>
              <w:bottom w:type="dxa" w:w="120"/>
              <w:right w:type="dxa" w:w="120"/>
            </w:tcMar>
          </w:tcPr>
          <w:p>
            <w:pPr>
              <w:jc w:val="center"/>
            </w:pPr>
            <w:r>
              <w:rPr>
                <w:rFonts w:ascii="Arial" w:cs="Arial" w:eastAsia="Arial" w:hAnsi="Arial"/>
                <w:b/>
                <w:bCs/>
                <w:color w:val="2E8B57"/>
                <w:sz w:val="40"/>
                <w:szCs w:val="40"/>
              </w:rPr>
              <w:t xml:space="preserve">Zero</w:t>
            </w:r>
          </w:p>
          <w:p>
            <w:pPr>
              <w:jc w:val="center"/>
            </w:pPr>
            <w:r>
              <w:rPr>
                <w:rFonts w:ascii="Arial" w:cs="Arial" w:eastAsia="Arial" w:hAnsi="Arial"/>
                <w:color w:val="444444"/>
                <w:sz w:val="20"/>
                <w:szCs w:val="20"/>
              </w:rPr>
              <w:t xml:space="preserve">Electronic Components</w:t>
            </w:r>
          </w:p>
        </w:tc>
        <w:tc>
          <w:tcPr>
            <w:tcW w:type="dxa" w:w="3120"/>
            <w:tcBorders>
              <w:top w:val="single" w:color="CCCCCC" w:sz="1"/>
              <w:left w:val="single" w:color="CCCCCC" w:sz="1"/>
              <w:bottom w:val="single" w:color="CCCCCC" w:sz="1"/>
              <w:right w:val="single" w:color="CCCCCC" w:sz="1"/>
            </w:tcBorders>
            <w:shd w:fill="FBF0CC" w:val="clear"/>
            <w:tcMar>
              <w:top w:type="dxa" w:w="120"/>
              <w:left w:type="dxa" w:w="120"/>
              <w:bottom w:type="dxa" w:w="120"/>
              <w:right w:type="dxa" w:w="120"/>
            </w:tcMar>
          </w:tcPr>
          <w:p>
            <w:pPr>
              <w:jc w:val="center"/>
            </w:pPr>
            <w:r>
              <w:rPr>
                <w:rFonts w:ascii="Arial" w:cs="Arial" w:eastAsia="Arial" w:hAnsi="Arial"/>
                <w:b/>
                <w:bCs/>
                <w:color w:val="9B7A00"/>
                <w:sz w:val="40"/>
                <w:szCs w:val="40"/>
              </w:rPr>
              <w:t xml:space="preserve">&lt; €35</w:t>
            </w:r>
          </w:p>
          <w:p>
            <w:pPr>
              <w:jc w:val="center"/>
            </w:pPr>
            <w:r>
              <w:rPr>
                <w:rFonts w:ascii="Arial" w:cs="Arial" w:eastAsia="Arial" w:hAnsi="Arial"/>
                <w:color w:val="444444"/>
                <w:sz w:val="20"/>
                <w:szCs w:val="20"/>
              </w:rPr>
              <w:t xml:space="preserve">BOM per 400W Panel</w:t>
            </w:r>
          </w:p>
        </w:tc>
      </w:tr>
    </w:tbl>
    <w:p>
      <w:pPr>
        <w:spacing w:after="400"/>
      </w:pPr>
    </w:p>
    <w:p>
      <w:r>
        <w:br w:type="page"/>
      </w:r>
    </w:p>
    <w:p>
      <w:pPr>
        <w:pStyle w:val="Heading1"/>
      </w:pPr>
      <w:r>
        <w:rPr>
          <w:rFonts w:ascii="Arial" w:cs="Arial" w:eastAsia="Arial" w:hAnsi="Arial"/>
          <w:b/>
          <w:bCs/>
          <w:color w:val="1B4F8A"/>
        </w:rPr>
        <w:t xml:space="preserve">1. Executive Summary</w:t>
      </w:r>
    </w:p>
    <w:p>
      <w:pPr>
        <w:pBdr>
          <w:bottom w:val="single" w:color="1B4F8A" w:sz="4"/>
        </w:pBdr>
        <w:spacing w:after="160" w:before="160"/>
      </w:pPr>
    </w:p>
    <w:p>
      <w:pPr>
        <w:spacing w:after="140" w:before="0"/>
        <w:jc w:val="left"/>
      </w:pPr>
      <w:r>
        <w:rPr>
          <w:rFonts w:ascii="Arial" w:cs="Arial" w:eastAsia="Arial" w:hAnsi="Arial"/>
          <w:b w:val="false"/>
          <w:bCs w:val="false"/>
          <w:i w:val="false"/>
          <w:iCs w:val="false"/>
          <w:color w:val="333333"/>
          <w:sz w:val="22"/>
          <w:szCs w:val="22"/>
        </w:rPr>
        <w:t xml:space="preserve">WAXCYL is a patentable, zero-electronic passive solar tracking system for residential and semi-commercial microinverter-based solar panel installations. By deploying wax-cylinder actuators (the same technology trusted in automotive thermostats since 1936) as both the sensing element and actuator in a differential shadow-balance configuration, the system achieves reliable single-axis or dual-axis solar tracking with no motors, no sensors, no controllers, and no wiring — at a bill-of-materials cost below €35 per 400W panel.</w:t>
      </w:r>
    </w:p>
    <w:p>
      <w:pPr>
        <w:spacing w:after="80"/>
      </w:pPr>
    </w:p>
    <w:p>
      <w:pPr>
        <w:spacing w:after="140" w:before="0"/>
        <w:jc w:val="left"/>
      </w:pPr>
      <w:r>
        <w:rPr>
          <w:rFonts w:ascii="Arial" w:cs="Arial" w:eastAsia="Arial" w:hAnsi="Arial"/>
          <w:b w:val="false"/>
          <w:bCs w:val="false"/>
          <w:i w:val="false"/>
          <w:iCs w:val="false"/>
          <w:color w:val="333333"/>
          <w:sz w:val="22"/>
          <w:szCs w:val="22"/>
        </w:rPr>
        <w:t xml:space="preserve">The core innovation is the Shadow Balance Housing (SBH): a black-anodised aluminium enclosure that mounts one wax cylinder on each opposing edge of the panel. A precision shadow-fin bisects each housing. When the sun deviates from the panel's normal axis, differential solar heating across the East-West or North-South cylinder pair creates a mechanical imbalance that drives the panel back toward perpendicular alignment through a clever mechanical linkage. No energy input is required. The system is inherently self-regulating, self-resetting, and maintenance-free for its design life of 25 years.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4"/>
              <w:left w:val="single" w:color="1B4F8A" w:sz="4"/>
              <w:bottom w:val="single" w:color="1B4F8A" w:sz="4"/>
              <w:right w:val="single" w:color="1B4F8A" w:sz="4"/>
            </w:tcBorders>
            <w:shd w:fill="D6E8F8" w:val="clear"/>
            <w:tcMar>
              <w:top w:type="dxa" w:w="120"/>
              <w:left w:type="dxa" w:w="180"/>
              <w:bottom w:type="dxa" w:w="120"/>
              <w:right w:type="dxa" w:w="180"/>
            </w:tcMar>
          </w:tcPr>
          <w:p>
            <w:r>
              <w:rPr>
                <w:rFonts w:ascii="Arial" w:cs="Arial" w:eastAsia="Arial" w:hAnsi="Arial"/>
                <w:b/>
                <w:bCs/>
                <w:color w:val="222222"/>
                <w:sz w:val="22"/>
                <w:szCs w:val="22"/>
              </w:rPr>
              <w:t xml:space="preserve">KEY INSIGHT: The WAXCYL system does not need to drive the panel through its full daily tracking range in a single stroke. It only needs to maintain equilibrium — providing just enough corrective torque at any instant to overcome the ultra-low pivot friction. The panel continuously seeks the point at which both wax cylinders are in thermal balance, which is precisely the sun-normal position.</w:t>
            </w:r>
          </w:p>
        </w:tc>
      </w:tr>
    </w:tbl>
    <w:p>
      <w:pPr>
        <w:spacing w:after="120"/>
      </w:pPr>
    </w:p>
    <w:p>
      <w:pPr>
        <w:spacing w:after="140" w:before="0"/>
        <w:jc w:val="left"/>
      </w:pPr>
      <w:r>
        <w:rPr>
          <w:rFonts w:ascii="Arial" w:cs="Arial" w:eastAsia="Arial" w:hAnsi="Arial"/>
          <w:b w:val="false"/>
          <w:bCs w:val="false"/>
          <w:i w:val="false"/>
          <w:iCs w:val="false"/>
          <w:color w:val="333333"/>
          <w:sz w:val="22"/>
          <w:szCs w:val="22"/>
        </w:rPr>
        <w:t xml:space="preserve">A 400W panel with single-axis WAXCYL tracking produces approximately 480–540 kWh/year in Central European irradiance conditions (vs. 380–420 kWh fixed). At an electricity price of €0.30/kWh, the additional annual yield of ~120 kWh represents €36/year in additional value. With a BOM cost of €31 and retail price of €69, the system pays back in under 2 years and adds cumulative value of &gt;€700 over its 25-year life — a compelling ROI for value-channel retail buyers at Lidl, Aldi, Bauhaus, or equivalent outlets.</w:t>
      </w:r>
    </w:p>
    <w:p>
      <w:pPr>
        <w:spacing w:after="200"/>
      </w:pPr>
    </w:p>
    <w:p>
      <w:pPr>
        <w:pStyle w:val="Heading1"/>
      </w:pPr>
      <w:r>
        <w:rPr>
          <w:rFonts w:ascii="Arial" w:cs="Arial" w:eastAsia="Arial" w:hAnsi="Arial"/>
          <w:b/>
          <w:bCs/>
          <w:color w:val="1B4F8A"/>
        </w:rPr>
        <w:t xml:space="preserve">2. Physics of the Wax Motor Actuator</w:t>
      </w:r>
    </w:p>
    <w:p>
      <w:pPr>
        <w:pBdr>
          <w:bottom w:val="single" w:color="1B4F8A" w:sz="4"/>
        </w:pBdr>
        <w:spacing w:after="160" w:before="160"/>
      </w:pPr>
    </w:p>
    <w:p>
      <w:pPr>
        <w:pStyle w:val="Heading2"/>
      </w:pPr>
      <w:r>
        <w:rPr>
          <w:rFonts w:ascii="Arial" w:cs="Arial" w:eastAsia="Arial" w:hAnsi="Arial"/>
          <w:b/>
          <w:bCs/>
          <w:color w:val="2E8B57"/>
        </w:rPr>
        <w:t xml:space="preserve">2.1  How Wax Motors Work</w:t>
      </w:r>
    </w:p>
    <w:p>
      <w:pPr>
        <w:spacing w:after="140" w:before="0"/>
        <w:jc w:val="left"/>
      </w:pPr>
      <w:r>
        <w:rPr>
          <w:rFonts w:ascii="Arial" w:cs="Arial" w:eastAsia="Arial" w:hAnsi="Arial"/>
          <w:b w:val="false"/>
          <w:bCs w:val="false"/>
          <w:i w:val="false"/>
          <w:iCs w:val="false"/>
          <w:color w:val="333333"/>
          <w:sz w:val="22"/>
          <w:szCs w:val="22"/>
        </w:rPr>
        <w:t xml:space="preserve">The wax motor (thermostatic actuator) is one of the oldest and most reliable precision-actuator technologies in industrial use. Invented by Sergius Vernet in 1936 and commercialised by Robertshaw Controls, wax motors power virtually every automotive thermostat, many domestic radiator thermostatic valves (TRVs), and a wide range of industrial flow-control applications. A wax motor works on a beautifully simple principle:</w:t>
      </w:r>
    </w:p>
    <w:p>
      <w:pPr>
        <w:spacing w:after="60"/>
      </w:pPr>
    </w:p>
    <w:p>
      <w:pPr>
        <w:pStyle w:val="ListParagraph"/>
        <w:numPr>
          <w:ilvl w:val="0"/>
          <w:numId w:val="2"/>
        </w:numPr>
        <w:spacing w:after="80"/>
      </w:pPr>
      <w:r>
        <w:rPr>
          <w:rFonts w:ascii="Arial" w:cs="Arial" w:eastAsia="Arial" w:hAnsi="Arial"/>
          <w:color w:val="333333"/>
          <w:sz w:val="22"/>
          <w:szCs w:val="22"/>
        </w:rPr>
        <w:t xml:space="preserve">Paraffin wax undergoes a solid-to-liquid phase transition between approximately 50°C and 85°C (depending on blend), expanding approximately 12–15% by volume</w:t>
      </w:r>
    </w:p>
    <w:p>
      <w:pPr>
        <w:pStyle w:val="ListParagraph"/>
        <w:numPr>
          <w:ilvl w:val="0"/>
          <w:numId w:val="2"/>
        </w:numPr>
        <w:spacing w:after="80"/>
      </w:pPr>
      <w:r>
        <w:rPr>
          <w:rFonts w:ascii="Arial" w:cs="Arial" w:eastAsia="Arial" w:hAnsi="Arial"/>
          <w:color w:val="333333"/>
          <w:sz w:val="22"/>
          <w:szCs w:val="22"/>
        </w:rPr>
        <w:t xml:space="preserve">This expansion acts against a sealed rubber diaphragm or piston, generating a controlled axial displacement (stroke) of 6–15 mm</w:t>
      </w:r>
    </w:p>
    <w:p>
      <w:pPr>
        <w:pStyle w:val="ListParagraph"/>
        <w:numPr>
          <w:ilvl w:val="0"/>
          <w:numId w:val="2"/>
        </w:numPr>
        <w:spacing w:after="80"/>
      </w:pPr>
      <w:r>
        <w:rPr>
          <w:rFonts w:ascii="Arial" w:cs="Arial" w:eastAsia="Arial" w:hAnsi="Arial"/>
          <w:color w:val="333333"/>
          <w:sz w:val="22"/>
          <w:szCs w:val="22"/>
        </w:rPr>
        <w:t xml:space="preserve">The force generated is large relative to the actuator size: a 15mm-diameter wax motor produces 150–800 N of axial force — sufficient to overcome strong valve springs, friction clutches, or panel inertia</w:t>
      </w:r>
    </w:p>
    <w:p>
      <w:pPr>
        <w:pStyle w:val="ListParagraph"/>
        <w:numPr>
          <w:ilvl w:val="0"/>
          <w:numId w:val="2"/>
        </w:numPr>
        <w:spacing w:after="80"/>
      </w:pPr>
      <w:r>
        <w:rPr>
          <w:rFonts w:ascii="Arial" w:cs="Arial" w:eastAsia="Arial" w:hAnsi="Arial"/>
          <w:color w:val="333333"/>
          <w:sz w:val="22"/>
          <w:szCs w:val="22"/>
        </w:rPr>
        <w:t xml:space="preserve">On cooling, the wax contracts, and an external return spring (or mechanical preload) resets the piston to its retracted position</w:t>
      </w:r>
    </w:p>
    <w:p>
      <w:pPr>
        <w:pStyle w:val="ListParagraph"/>
        <w:numPr>
          <w:ilvl w:val="0"/>
          <w:numId w:val="2"/>
        </w:numPr>
        <w:spacing w:after="80"/>
      </w:pPr>
      <w:r>
        <w:rPr>
          <w:rFonts w:ascii="Arial" w:cs="Arial" w:eastAsia="Arial" w:hAnsi="Arial"/>
          <w:color w:val="333333"/>
          <w:sz w:val="22"/>
          <w:szCs w:val="22"/>
        </w:rPr>
        <w:t xml:space="preserve">The response is smooth, proportional, and highly repeatable. Wax motors are rated for 100,000+ operating cycles</w:t>
      </w:r>
    </w:p>
    <w:p>
      <w:pPr>
        <w:spacing w:after="80"/>
      </w:pPr>
    </w:p>
    <w:p>
      <w:pPr>
        <w:spacing w:after="140" w:before="0"/>
        <w:jc w:val="left"/>
      </w:pPr>
      <w:r>
        <w:rPr>
          <w:rFonts w:ascii="Arial" w:cs="Arial" w:eastAsia="Arial" w:hAnsi="Arial"/>
          <w:b w:val="false"/>
          <w:bCs w:val="false"/>
          <w:i w:val="false"/>
          <w:iCs w:val="false"/>
          <w:color w:val="333333"/>
          <w:sz w:val="22"/>
          <w:szCs w:val="22"/>
        </w:rPr>
        <w:t xml:space="preserve">For the WAXCYL solar tracker, these properties translate directly into mechanical advantages: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408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2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Typical Value</w:t>
            </w:r>
          </w:p>
        </w:tc>
        <w:tc>
          <w:tcPr>
            <w:tcW w:type="dxa" w:w="40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WAXCYL Application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Stroke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6–14 mm</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Drives linkage for panel correction torque</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Force output</w:t>
            </w:r>
          </w:p>
        </w:tc>
        <w:tc>
          <w:tcPr>
            <w:tcW w:type="dxa" w:w="22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150–600 N</w:t>
            </w:r>
          </w:p>
        </w:tc>
        <w:tc>
          <w:tcPr>
            <w:tcW w:type="dxa" w:w="40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Overcomes pivot friction + wind 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Operating temp. range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30–80 °C (tunable)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Matches solar heating differential</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Hysteresis</w:t>
            </w:r>
          </w:p>
        </w:tc>
        <w:tc>
          <w:tcPr>
            <w:tcW w:type="dxa" w:w="22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2–5 °C</w:t>
            </w:r>
          </w:p>
        </w:tc>
        <w:tc>
          <w:tcPr>
            <w:tcW w:type="dxa" w:w="40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Defines tracking dead-band (~1–3°)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Cycle life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100,000+ cycles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years at 4 cycles/day</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IP rating (sealed)</w:t>
            </w:r>
          </w:p>
        </w:tc>
        <w:tc>
          <w:tcPr>
            <w:tcW w:type="dxa" w:w="22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IP67–IP68</w:t>
            </w:r>
          </w:p>
        </w:tc>
        <w:tc>
          <w:tcPr>
            <w:tcW w:type="dxa" w:w="40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Outdoor weather resistant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 cost (bulk, 10k+)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€0.80–€2.50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BOM impact</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Standard diameter</w:t>
            </w:r>
          </w:p>
        </w:tc>
        <w:tc>
          <w:tcPr>
            <w:tcW w:type="dxa" w:w="22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12–20 mm</w:t>
            </w:r>
          </w:p>
        </w:tc>
        <w:tc>
          <w:tcPr>
            <w:tcW w:type="dxa" w:w="40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Compact edge-mount form factor</w:t>
            </w:r>
          </w:p>
        </w:tc>
      </w:tr>
    </w:tbl>
    <w:p>
      <w:pPr>
        <w:spacing w:after="160"/>
      </w:pPr>
    </w:p>
    <w:p>
      <w:pPr>
        <w:pStyle w:val="Heading2"/>
      </w:pPr>
      <w:r>
        <w:rPr>
          <w:rFonts w:ascii="Arial" w:cs="Arial" w:eastAsia="Arial" w:hAnsi="Arial"/>
          <w:b/>
          <w:bCs/>
          <w:color w:val="2E8B57"/>
        </w:rPr>
        <w:t xml:space="preserve">2.2  Differential Thermal Expansion — The Sensing Principle</w:t>
      </w:r>
    </w:p>
    <w:p>
      <w:pPr>
        <w:spacing w:after="140" w:before="0"/>
        <w:jc w:val="left"/>
      </w:pPr>
      <w:r>
        <w:rPr>
          <w:rFonts w:ascii="Arial" w:cs="Arial" w:eastAsia="Arial" w:hAnsi="Arial"/>
          <w:b w:val="false"/>
          <w:bCs w:val="false"/>
          <w:i w:val="false"/>
          <w:iCs w:val="false"/>
          <w:color w:val="333333"/>
          <w:sz w:val="22"/>
          <w:szCs w:val="22"/>
        </w:rPr>
        <w:t xml:space="preserve">In the WAXCYL system, the wax motor is simultaneously the sensor and the actuator. No electronic transducer is required. The wax cylinder temperature is directly determined by the solar flux it receives, which in turn is determined by its geometric relationship to the sun. The Shadow Balance Housing creates a differential-sensing arrangement with no moving parts in the sensing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4"/>
              <w:left w:val="single" w:color="2E8B57" w:sz="4"/>
              <w:bottom w:val="single" w:color="2E8B57" w:sz="4"/>
              <w:right w:val="single" w:color="2E8B57" w:sz="4"/>
            </w:tcBorders>
            <w:shd w:fill="D6F0E0" w:val="clear"/>
            <w:tcMar>
              <w:top w:type="dxa" w:w="120"/>
              <w:left w:type="dxa" w:w="180"/>
              <w:bottom w:type="dxa" w:w="120"/>
              <w:right w:type="dxa" w:w="180"/>
            </w:tcMar>
          </w:tcPr>
          <w:p>
            <w:r>
              <w:rPr>
                <w:rFonts w:ascii="Arial" w:cs="Arial" w:eastAsia="Arial" w:hAnsi="Arial"/>
                <w:b w:val="false"/>
                <w:bCs w:val="false"/>
                <w:color w:val="222222"/>
                <w:sz w:val="22"/>
                <w:szCs w:val="22"/>
              </w:rPr>
              <w:t xml:space="preserve">PRINCIPLE: When the sun is perpendicular to the panel face, both the East-edge and West-edge cylinders receive identical solar flux. Their temperatures are equal. Their pistons exert equal and opposite forces on the differential linkage. Net torque on the panel = zero. The panel holds its position.
When the sun moves 5° toward the West (afternoon), the West-edge cylinder now receives slightly greater direct insolation. Its temperature rises 3–8°C above the East-edge cylinder. This creates a differential piston force. The linkage transmits this as a corrective torque, rotating the panel Westward. As the panel corrects, the temperature differential shrinks. The system converges to the new sun position within 4–8 minutes.</w:t>
            </w:r>
          </w:p>
        </w:tc>
      </w:tr>
    </w:tbl>
    <w:p>
      <w:pPr>
        <w:spacing w:after="200"/>
      </w:pPr>
    </w:p>
    <w:p>
      <w:pPr>
        <w:pStyle w:val="Heading1"/>
      </w:pPr>
      <w:r>
        <w:rPr>
          <w:rFonts w:ascii="Arial" w:cs="Arial" w:eastAsia="Arial" w:hAnsi="Arial"/>
          <w:b/>
          <w:bCs/>
          <w:color w:val="1B4F8A"/>
        </w:rPr>
        <w:t xml:space="preserve">3. The Shadow Balance Housing (SBH) — Core Innovation</w:t>
      </w:r>
    </w:p>
    <w:p>
      <w:pPr>
        <w:pBdr>
          <w:bottom w:val="single" w:color="1B4F8A" w:sz="4"/>
        </w:pBdr>
        <w:spacing w:after="160" w:before="160"/>
      </w:pPr>
    </w:p>
    <w:p>
      <w:pPr>
        <w:pStyle w:val="Heading2"/>
      </w:pPr>
      <w:r>
        <w:rPr>
          <w:rFonts w:ascii="Arial" w:cs="Arial" w:eastAsia="Arial" w:hAnsi="Arial"/>
          <w:b/>
          <w:bCs/>
          <w:color w:val="2E8B57"/>
        </w:rPr>
        <w:t xml:space="preserve">3.1  Design Concept</w:t>
      </w:r>
    </w:p>
    <w:p>
      <w:pPr>
        <w:spacing w:after="140" w:before="0"/>
        <w:jc w:val="left"/>
      </w:pPr>
      <w:r>
        <w:rPr>
          <w:rFonts w:ascii="Arial" w:cs="Arial" w:eastAsia="Arial" w:hAnsi="Arial"/>
          <w:b w:val="false"/>
          <w:bCs w:val="false"/>
          <w:i w:val="false"/>
          <w:iCs w:val="false"/>
          <w:color w:val="333333"/>
          <w:sz w:val="22"/>
          <w:szCs w:val="22"/>
        </w:rPr>
        <w:t xml:space="preserve">The Shadow Balance Housing is the critical optical-mechanical component that converts solar position into a useful temperature differential. Its design governs tracking sensitivity, dead-band width, stability (avoiding oscillation), and response speed.</w:t>
      </w:r>
    </w:p>
    <w:p>
      <w:pPr>
        <w:spacing w:after="80"/>
      </w:pPr>
    </w:p>
    <w:p>
      <w:pPr>
        <w:spacing w:after="140" w:before="0"/>
        <w:jc w:val="left"/>
      </w:pPr>
      <w:r>
        <w:rPr>
          <w:rFonts w:ascii="Arial" w:cs="Arial" w:eastAsia="Arial" w:hAnsi="Arial"/>
          <w:b w:val="false"/>
          <w:bCs w:val="false"/>
          <w:i w:val="false"/>
          <w:iCs w:val="false"/>
          <w:color w:val="333333"/>
          <w:sz w:val="22"/>
          <w:szCs w:val="22"/>
        </w:rPr>
        <w:t xml:space="preserve">Each SBH consists of three main elements:</w:t>
      </w:r>
    </w:p>
    <w:p>
      <w:pPr>
        <w:spacing w:after="40"/>
      </w:pPr>
    </w:p>
    <w:p>
      <w:pPr>
        <w:pStyle w:val="ListParagraph"/>
        <w:numPr>
          <w:ilvl w:val="0"/>
          <w:numId w:val="3"/>
        </w:numPr>
        <w:spacing w:after="80"/>
      </w:pPr>
      <w:r>
        <w:rPr>
          <w:rFonts w:ascii="Arial" w:cs="Arial" w:eastAsia="Arial" w:hAnsi="Arial"/>
          <w:color w:val="333333"/>
          <w:sz w:val="22"/>
          <w:szCs w:val="22"/>
        </w:rPr>
        <w:t xml:space="preserve">A black-anodised aluminium body with an integrated wax cylinder bore. The high solar absorptivity (α ≈ 0.95) of black anodised aluminium ensures efficient solar heating of the wax element. Aluminium's high thermal conductivity (205 W/m·K) ensures rapid thermal response.</w:t>
      </w:r>
    </w:p>
    <w:p>
      <w:pPr>
        <w:pStyle w:val="ListParagraph"/>
        <w:numPr>
          <w:ilvl w:val="0"/>
          <w:numId w:val="3"/>
        </w:numPr>
        <w:spacing w:after="80"/>
      </w:pPr>
      <w:r>
        <w:rPr>
          <w:rFonts w:ascii="Arial" w:cs="Arial" w:eastAsia="Arial" w:hAnsi="Arial"/>
          <w:color w:val="333333"/>
          <w:sz w:val="22"/>
          <w:szCs w:val="22"/>
        </w:rPr>
        <w:t xml:space="preserve">A precision Shadow Fin: a vertical aluminium blade, 40–60 mm tall, mounted centrally along the Sun-facing axis of the housing, bisecting the housing into two equal halves. When the sun is exactly normal to the panel, the shadow fin casts its shadow equally across both halves of a nominal aperture — the cylinder is in the "balanced" zone. As the sun deviates, one half receives progressively more direct radiation.</w:t>
      </w:r>
    </w:p>
    <w:p>
      <w:pPr>
        <w:pStyle w:val="ListParagraph"/>
        <w:numPr>
          <w:ilvl w:val="0"/>
          <w:numId w:val="3"/>
        </w:numPr>
        <w:spacing w:after="80"/>
      </w:pPr>
      <w:r>
        <w:rPr>
          <w:rFonts w:ascii="Arial" w:cs="Arial" w:eastAsia="Arial" w:hAnsi="Arial"/>
          <w:color w:val="333333"/>
          <w:sz w:val="22"/>
          <w:szCs w:val="22"/>
        </w:rPr>
        <w:t xml:space="preserve">An optional Fresnel micro-concentrating lens strip (low-cost injection-moulded PMMA) that slightly concentrates solar flux onto the wax cylinder body, improving response speed and allowing operation under diffuse-light conditions or at sun angles as low as 10° from panel normal.</w:t>
      </w:r>
    </w:p>
    <w:p>
      <w:pPr>
        <w:spacing w:after="120"/>
      </w:pPr>
    </w:p>
    <w:p>
      <w:pPr>
        <w:pStyle w:val="Heading2"/>
      </w:pPr>
      <w:r>
        <w:rPr>
          <w:rFonts w:ascii="Arial" w:cs="Arial" w:eastAsia="Arial" w:hAnsi="Arial"/>
          <w:b/>
          <w:bCs/>
          <w:color w:val="2E8B57"/>
        </w:rPr>
        <w:t xml:space="preserve">3.2  Shadow Fin Geometry — Sensitivity Tuning</w:t>
      </w:r>
    </w:p>
    <w:p>
      <w:pPr>
        <w:spacing w:after="140" w:before="0"/>
        <w:jc w:val="left"/>
      </w:pPr>
      <w:r>
        <w:rPr>
          <w:rFonts w:ascii="Arial" w:cs="Arial" w:eastAsia="Arial" w:hAnsi="Arial"/>
          <w:b w:val="false"/>
          <w:bCs w:val="false"/>
          <w:i w:val="false"/>
          <w:iCs w:val="false"/>
          <w:color w:val="333333"/>
          <w:sz w:val="22"/>
          <w:szCs w:val="22"/>
        </w:rPr>
        <w:t xml:space="preserve">The shadow fin height h_f and the cylinder diameter d_c together determine the angular sensitivity of the sensor. For a fin of height h_f and a cylinder of radius r at distance D from the fin base: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4"/>
              <w:left w:val="single" w:color="D4A017" w:sz="4"/>
              <w:bottom w:val="single" w:color="D4A017" w:sz="4"/>
              <w:right w:val="single" w:color="D4A017" w:sz="4"/>
            </w:tcBorders>
            <w:shd w:fill="FBF0CC" w:val="clear"/>
            <w:tcMar>
              <w:top w:type="dxa" w:w="120"/>
              <w:left w:type="dxa" w:w="180"/>
              <w:bottom w:type="dxa" w:w="120"/>
              <w:right w:type="dxa" w:w="180"/>
            </w:tcMar>
          </w:tcPr>
          <w:p>
            <w:r>
              <w:rPr>
                <w:rFonts w:ascii="Arial" w:cs="Arial" w:eastAsia="Arial" w:hAnsi="Arial"/>
                <w:b w:val="false"/>
                <w:bCs w:val="false"/>
                <w:color w:val="222222"/>
                <w:sz w:val="22"/>
                <w:szCs w:val="22"/>
              </w:rPr>
              <w:t xml:space="preserve">SENSITIVITY FORMULA: Shadow coverage fraction F(θ) = (h_f · tan θ) / (2r), clamped to [0, 1]
The differential coverage between opposing halves is 2F(θ) — ranging from 0 at perfect alignment to 1.0 (full differential) at the saturation angle.
Design choice: h_f = 45 mm, d_c = 14 mm (r = 7 mm)
Saturation angle: arctan(2r / h_f) = arctan(14/45) ≈ 17°
Tracking dead-band: ±1.5° (set by wax hysteresis)
Linear response range: 1.5° – 17° (excellent proportional control)</w:t>
            </w:r>
          </w:p>
        </w:tc>
      </w:tr>
    </w:tbl>
    <w:p>
      <w:pPr>
        <w:spacing w:after="120"/>
      </w:pPr>
    </w:p>
    <w:p>
      <w:pPr>
        <w:pStyle w:val="Heading2"/>
      </w:pPr>
      <w:r>
        <w:rPr>
          <w:rFonts w:ascii="Arial" w:cs="Arial" w:eastAsia="Arial" w:hAnsi="Arial"/>
          <w:b/>
          <w:bCs/>
          <w:color w:val="2E8B57"/>
        </w:rPr>
        <w:t xml:space="preserve">3.3  Thermal Dynamics &amp; Response Time</w:t>
      </w:r>
    </w:p>
    <w:p>
      <w:pPr>
        <w:spacing w:after="140" w:before="0"/>
        <w:jc w:val="left"/>
      </w:pPr>
      <w:r>
        <w:rPr>
          <w:rFonts w:ascii="Arial" w:cs="Arial" w:eastAsia="Arial" w:hAnsi="Arial"/>
          <w:b w:val="false"/>
          <w:bCs w:val="false"/>
          <w:i w:val="false"/>
          <w:iCs w:val="false"/>
          <w:color w:val="333333"/>
          <w:sz w:val="22"/>
          <w:szCs w:val="22"/>
        </w:rPr>
        <w:t xml:space="preserve">Response speed is limited by the thermal mass of the wax cylinder assembly. For a 14mm-diameter × 35mm cylinder (volume ≈ 5.4 cm³, wax mass ≈ 4.8 g):</w:t>
      </w:r>
    </w:p>
    <w:p>
      <w:pPr>
        <w:spacing w:after="60"/>
      </w:pPr>
    </w:p>
    <w:p>
      <w:pPr>
        <w:pStyle w:val="ListParagraph"/>
        <w:numPr>
          <w:ilvl w:val="0"/>
          <w:numId w:val="2"/>
        </w:numPr>
        <w:spacing w:after="80"/>
      </w:pPr>
      <w:r>
        <w:rPr>
          <w:rFonts w:ascii="Arial" w:cs="Arial" w:eastAsia="Arial" w:hAnsi="Arial"/>
          <w:color w:val="333333"/>
          <w:sz w:val="22"/>
          <w:szCs w:val="22"/>
        </w:rPr>
        <w:t xml:space="preserve">Thermal mass of assembly: approximately 18 J/°C (wax + aluminium body + piston)</w:t>
      </w:r>
    </w:p>
    <w:p>
      <w:pPr>
        <w:pStyle w:val="ListParagraph"/>
        <w:numPr>
          <w:ilvl w:val="0"/>
          <w:numId w:val="2"/>
        </w:numPr>
        <w:spacing w:after="80"/>
      </w:pPr>
      <w:r>
        <w:rPr>
          <w:rFonts w:ascii="Arial" w:cs="Arial" w:eastAsia="Arial" w:hAnsi="Arial"/>
          <w:color w:val="333333"/>
          <w:sz w:val="22"/>
          <w:szCs w:val="22"/>
        </w:rPr>
        <w:t xml:space="preserve">Net solar input per cylinder at 30° misalignment: ~1.8 W (black-body absorptivity, 200 mm² face area)</w:t>
      </w:r>
    </w:p>
    <w:p>
      <w:pPr>
        <w:pStyle w:val="ListParagraph"/>
        <w:numPr>
          <w:ilvl w:val="0"/>
          <w:numId w:val="2"/>
        </w:numPr>
        <w:spacing w:after="80"/>
      </w:pPr>
      <w:r>
        <w:rPr>
          <w:rFonts w:ascii="Arial" w:cs="Arial" w:eastAsia="Arial" w:hAnsi="Arial"/>
          <w:color w:val="333333"/>
          <w:sz w:val="22"/>
          <w:szCs w:val="22"/>
        </w:rPr>
        <w:t xml:space="preserve">Temperature rise rate (adiabatic): ~0.1 °C/second</w:t>
      </w:r>
    </w:p>
    <w:p>
      <w:pPr>
        <w:pStyle w:val="ListParagraph"/>
        <w:numPr>
          <w:ilvl w:val="0"/>
          <w:numId w:val="2"/>
        </w:numPr>
        <w:spacing w:after="80"/>
      </w:pPr>
      <w:r>
        <w:rPr>
          <w:rFonts w:ascii="Arial" w:cs="Arial" w:eastAsia="Arial" w:hAnsi="Arial"/>
          <w:color w:val="333333"/>
          <w:sz w:val="22"/>
          <w:szCs w:val="22"/>
        </w:rPr>
        <w:t xml:space="preserve">Steady-state differential at 10° misalignment: approximately 6–10°C above ambient (accounting for convective loss)</w:t>
      </w:r>
    </w:p>
    <w:p>
      <w:pPr>
        <w:pStyle w:val="ListParagraph"/>
        <w:numPr>
          <w:ilvl w:val="0"/>
          <w:numId w:val="2"/>
        </w:numPr>
        <w:spacing w:after="80"/>
      </w:pPr>
      <w:r>
        <w:rPr>
          <w:rFonts w:ascii="Arial" w:cs="Arial" w:eastAsia="Arial" w:hAnsi="Arial"/>
          <w:color w:val="333333"/>
          <w:sz w:val="22"/>
          <w:szCs w:val="22"/>
        </w:rPr>
        <w:t xml:space="preserve">Piston response: proportional response begins at ~3°C differential, full authority at ~12°C differential</w:t>
      </w:r>
    </w:p>
    <w:p>
      <w:pPr>
        <w:pStyle w:val="ListParagraph"/>
        <w:numPr>
          <w:ilvl w:val="0"/>
          <w:numId w:val="2"/>
        </w:numPr>
        <w:spacing w:after="80"/>
      </w:pPr>
      <w:r>
        <w:rPr>
          <w:rFonts w:ascii="Arial" w:cs="Arial" w:eastAsia="Arial" w:hAnsi="Arial"/>
          <w:color w:val="333333"/>
          <w:sz w:val="22"/>
          <w:szCs w:val="22"/>
        </w:rPr>
        <w:t xml:space="preserve">Effective angular tracking latency: 4–10 minutes for a 5° sun movement — well within requirements for productive daily tracking</w:t>
      </w:r>
    </w:p>
    <w:p>
      <w:pPr>
        <w:spacing w:after="60"/>
      </w:pPr>
    </w:p>
    <w:p>
      <w:pPr>
        <w:spacing w:after="140" w:before="0"/>
        <w:jc w:val="left"/>
      </w:pPr>
      <w:r>
        <w:rPr>
          <w:rFonts w:ascii="Arial" w:cs="Arial" w:eastAsia="Arial" w:hAnsi="Arial"/>
          <w:b w:val="false"/>
          <w:bCs w:val="false"/>
          <w:i w:val="false"/>
          <w:iCs w:val="false"/>
          <w:color w:val="333333"/>
          <w:sz w:val="22"/>
          <w:szCs w:val="22"/>
        </w:rPr>
        <w:t xml:space="preserve">Note: The system is not designed to track at motor-controller speeds. The sun moves at 15°/hour. The WAXCYL system need only respond within 20–30 minutes — easily achievable with the thermal response parameters above.</w:t>
      </w:r>
    </w:p>
    <w:p>
      <w:pPr>
        <w:spacing w:after="200"/>
      </w:pPr>
    </w:p>
    <w:p>
      <w:r>
        <w:br w:type="page"/>
      </w:r>
    </w:p>
    <w:p>
      <w:pPr>
        <w:pStyle w:val="Heading1"/>
      </w:pPr>
      <w:r>
        <w:rPr>
          <w:rFonts w:ascii="Arial" w:cs="Arial" w:eastAsia="Arial" w:hAnsi="Arial"/>
          <w:b/>
          <w:bCs/>
          <w:color w:val="1B4F8A"/>
        </w:rPr>
        <w:t xml:space="preserve">4. Mechanical Design — The Tracking Linkage</w:t>
      </w:r>
    </w:p>
    <w:p>
      <w:pPr>
        <w:pBdr>
          <w:bottom w:val="single" w:color="1B4F8A" w:sz="4"/>
        </w:pBdr>
        <w:spacing w:after="160" w:before="160"/>
      </w:pPr>
    </w:p>
    <w:p>
      <w:pPr>
        <w:pStyle w:val="Heading2"/>
      </w:pPr>
      <w:r>
        <w:rPr>
          <w:rFonts w:ascii="Arial" w:cs="Arial" w:eastAsia="Arial" w:hAnsi="Arial"/>
          <w:b/>
          <w:bCs/>
          <w:color w:val="2E8B57"/>
        </w:rPr>
        <w:t xml:space="preserve">4.1  System Architecture</w:t>
      </w:r>
    </w:p>
    <w:p>
      <w:pPr>
        <w:spacing w:after="140" w:before="0"/>
        <w:jc w:val="left"/>
      </w:pPr>
      <w:r>
        <w:rPr>
          <w:rFonts w:ascii="Arial" w:cs="Arial" w:eastAsia="Arial" w:hAnsi="Arial"/>
          <w:b w:val="false"/>
          <w:bCs w:val="false"/>
          <w:i w:val="false"/>
          <w:iCs w:val="false"/>
          <w:color w:val="333333"/>
          <w:sz w:val="22"/>
          <w:szCs w:val="22"/>
        </w:rPr>
        <w:t xml:space="preserve">The WAXCYL system is available in two configurations depending on installation type: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1400"/>
        <w:gridCol w:w="19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Axes</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Yield Gain</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Target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WAXCYL-1A (Single Axis)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E–W Azimuth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Balcony / Wall mount</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WAXCYL-2A (Dual Axis)</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E–W + Tilt</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+35–42%</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Roof / Ground mount</w:t>
            </w:r>
          </w:p>
        </w:tc>
      </w:tr>
    </w:tbl>
    <w:p>
      <w:pPr>
        <w:spacing w:after="100"/>
      </w:pPr>
    </w:p>
    <w:p>
      <w:pPr>
        <w:spacing w:after="140" w:before="0"/>
        <w:jc w:val="left"/>
      </w:pPr>
      <w:r>
        <w:rPr>
          <w:rFonts w:ascii="Arial" w:cs="Arial" w:eastAsia="Arial" w:hAnsi="Arial"/>
          <w:b w:val="false"/>
          <w:bCs w:val="false"/>
          <w:i w:val="false"/>
          <w:iCs w:val="false"/>
          <w:color w:val="333333"/>
          <w:sz w:val="22"/>
          <w:szCs w:val="22"/>
        </w:rPr>
        <w:t xml:space="preserve">This document focuses on the WAXCYL-1A (single-axis) as the primary retail product. The WAXCYL-2A extends the concept with a second cylinder pair for tilt (North-South) tracking.</w:t>
      </w:r>
    </w:p>
    <w:p>
      <w:pPr>
        <w:spacing w:after="120"/>
      </w:pPr>
    </w:p>
    <w:p>
      <w:pPr>
        <w:pStyle w:val="Heading2"/>
      </w:pPr>
      <w:r>
        <w:rPr>
          <w:rFonts w:ascii="Arial" w:cs="Arial" w:eastAsia="Arial" w:hAnsi="Arial"/>
          <w:b/>
          <w:bCs/>
          <w:color w:val="2E8B57"/>
        </w:rPr>
        <w:t xml:space="preserve">4.2  The Pivot-Balance Principle (Key Mechanical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4"/>
              <w:left w:val="single" w:color="1B4F8A" w:sz="4"/>
              <w:bottom w:val="single" w:color="1B4F8A" w:sz="4"/>
              <w:right w:val="single" w:color="1B4F8A" w:sz="4"/>
            </w:tcBorders>
            <w:shd w:fill="D6E8F8" w:val="clear"/>
            <w:tcMar>
              <w:top w:type="dxa" w:w="120"/>
              <w:left w:type="dxa" w:w="180"/>
              <w:bottom w:type="dxa" w:w="120"/>
              <w:right w:type="dxa" w:w="180"/>
            </w:tcMar>
          </w:tcPr>
          <w:p>
            <w:r>
              <w:rPr>
                <w:rFonts w:ascii="Arial" w:cs="Arial" w:eastAsia="Arial" w:hAnsi="Arial"/>
                <w:b/>
                <w:bCs/>
                <w:color w:val="222222"/>
                <w:sz w:val="22"/>
                <w:szCs w:val="22"/>
              </w:rPr>
              <w:t xml:space="preserve">FUNDAMENTAL DESIGN RULE: The WAXCYL system works because the panel pivot is near-frictionless AND the panel is precisely counterbalanced at the pivot. A perfectly balanced panel on a frictionless pivot requires ZERO net force to hold any position. Even a tiny wax-differential force (2–5 N at 1° misalignment) can then produce a decisive corrective rotation. This is the mechanical analogue of a precision balance scale — tiny differential inputs produce measurable, controlled outputs.</w:t>
            </w:r>
          </w:p>
        </w:tc>
      </w:tr>
    </w:tbl>
    <w:p>
      <w:pPr>
        <w:spacing w:after="100"/>
      </w:pPr>
    </w:p>
    <w:p>
      <w:pPr>
        <w:spacing w:after="140" w:before="0"/>
        <w:jc w:val="left"/>
      </w:pPr>
      <w:r>
        <w:rPr>
          <w:rFonts w:ascii="Arial" w:cs="Arial" w:eastAsia="Arial" w:hAnsi="Arial"/>
          <w:b w:val="false"/>
          <w:bCs w:val="false"/>
          <w:i w:val="false"/>
          <w:iCs w:val="false"/>
          <w:color w:val="333333"/>
          <w:sz w:val="22"/>
          <w:szCs w:val="22"/>
        </w:rPr>
        <w:t xml:space="preserve">Component requirements flowing from this principle:</w:t>
      </w:r>
    </w:p>
    <w:p>
      <w:pPr>
        <w:spacing w:after="60"/>
      </w:pPr>
    </w:p>
    <w:p>
      <w:pPr>
        <w:pStyle w:val="ListParagraph"/>
        <w:numPr>
          <w:ilvl w:val="0"/>
          <w:numId w:val="2"/>
        </w:numPr>
        <w:spacing w:after="80"/>
      </w:pPr>
      <w:r>
        <w:rPr>
          <w:rFonts w:ascii="Arial" w:cs="Arial" w:eastAsia="Arial" w:hAnsi="Arial"/>
          <w:color w:val="333333"/>
          <w:sz w:val="22"/>
          <w:szCs w:val="22"/>
        </w:rPr>
        <w:t xml:space="preserve">Pivot bearings: 20mm stainless steel shaft running in PTFE-lined aluminium bushings. Static friction torque &lt; 0.3 N·m. Dynamic friction &lt; 0.15 N·m. These are inexpensive, corrosion-immune, and maintenance-free.</w:t>
      </w:r>
    </w:p>
    <w:p>
      <w:pPr>
        <w:pStyle w:val="ListParagraph"/>
        <w:numPr>
          <w:ilvl w:val="0"/>
          <w:numId w:val="2"/>
        </w:numPr>
        <w:spacing w:after="80"/>
      </w:pPr>
      <w:r>
        <w:rPr>
          <w:rFonts w:ascii="Arial" w:cs="Arial" w:eastAsia="Arial" w:hAnsi="Arial"/>
          <w:color w:val="333333"/>
          <w:sz w:val="22"/>
          <w:szCs w:val="22"/>
        </w:rPr>
        <w:t xml:space="preserve">Panel balance: A counterweight bracket (cast aluminium, adjustable, 0.3–1.2 kg) allows the centre of mass to be set precisely at the pivot axis. Fine-tune during installation with sliding counterweight.</w:t>
      </w:r>
    </w:p>
    <w:p>
      <w:pPr>
        <w:pStyle w:val="ListParagraph"/>
        <w:numPr>
          <w:ilvl w:val="0"/>
          <w:numId w:val="2"/>
        </w:numPr>
        <w:spacing w:after="80"/>
      </w:pPr>
      <w:r>
        <w:rPr>
          <w:rFonts w:ascii="Arial" w:cs="Arial" w:eastAsia="Arial" w:hAnsi="Arial"/>
          <w:color w:val="333333"/>
          <w:sz w:val="22"/>
          <w:szCs w:val="22"/>
        </w:rPr>
        <w:t xml:space="preserve">Wind loading: At 14 m/s (Beaufort 6), dynamic pressure on a 1.7 m² panel ≈ 120 Pa × 1.7 m² ≈ 200 N lateral force. With panel COG within 5 mm of pivot, wind torque &lt; 1 N·m — within wax motor authority.</w:t>
      </w:r>
    </w:p>
    <w:p>
      <w:pPr>
        <w:pStyle w:val="ListParagraph"/>
        <w:numPr>
          <w:ilvl w:val="0"/>
          <w:numId w:val="2"/>
        </w:numPr>
        <w:spacing w:after="80"/>
      </w:pPr>
      <w:r>
        <w:rPr>
          <w:rFonts w:ascii="Arial" w:cs="Arial" w:eastAsia="Arial" w:hAnsi="Arial"/>
          <w:color w:val="333333"/>
          <w:sz w:val="22"/>
          <w:szCs w:val="22"/>
        </w:rPr>
        <w:t xml:space="preserve">Wax cylinder authority at equilibrium: differential force of 30–80 N × moment arm 250 mm = 7.5–20 N·m. This provides a comfortable 7.5–20× margin over pivot friction and moderate wind loads.</w:t>
      </w:r>
    </w:p>
    <w:p>
      <w:pPr>
        <w:spacing w:after="120"/>
      </w:pPr>
    </w:p>
    <w:p>
      <w:pPr>
        <w:pStyle w:val="Heading2"/>
      </w:pPr>
      <w:r>
        <w:rPr>
          <w:rFonts w:ascii="Arial" w:cs="Arial" w:eastAsia="Arial" w:hAnsi="Arial"/>
          <w:b/>
          <w:bCs/>
          <w:color w:val="2E8B57"/>
        </w:rPr>
        <w:t xml:space="preserve">4.3  Single-Axis Linkage Mechanism (WAXCYL-1A)</w:t>
      </w:r>
    </w:p>
    <w:p>
      <w:pPr>
        <w:spacing w:after="140" w:before="0"/>
        <w:jc w:val="left"/>
      </w:pPr>
      <w:r>
        <w:rPr>
          <w:rFonts w:ascii="Arial" w:cs="Arial" w:eastAsia="Arial" w:hAnsi="Arial"/>
          <w:b w:val="false"/>
          <w:bCs w:val="false"/>
          <w:i w:val="false"/>
          <w:iCs w:val="false"/>
          <w:color w:val="333333"/>
          <w:sz w:val="22"/>
          <w:szCs w:val="22"/>
        </w:rPr>
        <w:t xml:space="preserve">The WAXCYL-1A linkage uses a differential push-pull rocker arrangement. This is mechanically analogous to the differential in a car axle, but entirely passive and thermal: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6"/>
              <w:left w:val="single" w:color="2E8B57" w:sz="6"/>
              <w:bottom w:val="single" w:color="2E8B57" w:sz="6"/>
              <w:right w:val="single" w:color="2E8B57" w:sz="6"/>
            </w:tcBorders>
            <w:shd w:fill="1A1A2E" w:val="clear"/>
            <w:tcMar>
              <w:top w:type="dxa" w:w="160"/>
              <w:left w:type="dxa" w:w="240"/>
              <w:bottom w:type="dxa" w:w="160"/>
              <w:right w:type="dxa" w:w="240"/>
            </w:tcMar>
          </w:tcPr>
          <w:p>
            <w:r>
              <w:rPr>
                <w:rFonts w:ascii="Courier New" w:cs="Courier New" w:eastAsia="Courier New" w:hAnsi="Courier New"/>
                <w:b/>
                <w:bCs/>
                <w:color w:val="00FF88"/>
                <w:sz w:val="18"/>
                <w:szCs w:val="18"/>
              </w:rPr>
              <w:t xml:space="preserve">WAXCYL-1A MECHANISM — CROSS-SECTION (SIDE VIEW, LOOKING NORTH)</w:t>
            </w:r>
          </w:p>
          <w:p>
            <w:r>
              <w:rPr>
                <w:rFonts w:ascii="Courier New" w:cs="Courier New" w:eastAsia="Courier New" w:hAnsi="Courier New"/>
                <w:color w:val="AAAAAA"/>
                <w:sz w:val="18"/>
                <w:szCs w:val="18"/>
              </w:rPr>
              <w:t xml:space="preserve"> </w:t>
            </w:r>
          </w:p>
          <w:p>
            <w:r>
              <w:rPr>
                <w:rFonts w:ascii="Courier New" w:cs="Courier New" w:eastAsia="Courier New" w:hAnsi="Courier New"/>
                <w:color w:val="FFCC44"/>
                <w:sz w:val="17"/>
                <w:szCs w:val="17"/>
              </w:rPr>
              <w:t xml:space="preserve">  WEST SIDE                    EAST SIDE</w:t>
            </w:r>
          </w:p>
          <w:p>
            <w:r>
              <w:rPr>
                <w:rFonts w:ascii="Courier New" w:cs="Courier New" w:eastAsia="Courier New" w:hAnsi="Courier New"/>
                <w:color w:val="88CCFF"/>
                <w:sz w:val="17"/>
                <w:szCs w:val="17"/>
              </w:rPr>
              <w:t xml:space="preserve">  [SBH-W]=====[PISTON-W]       [PISTON-E]=====[SBH-E]</w:t>
            </w:r>
          </w:p>
          <w:p>
            <w:r>
              <w:rPr>
                <w:rFonts w:ascii="Courier New" w:cs="Courier New" w:eastAsia="Courier New" w:hAnsi="Courier New"/>
                <w:color w:val="CCCCCC"/>
                <w:sz w:val="17"/>
                <w:szCs w:val="17"/>
              </w:rPr>
              <w:t xml:space="preserve">           |                           |</w:t>
            </w:r>
          </w:p>
          <w:p>
            <w:r>
              <w:rPr>
                <w:rFonts w:ascii="Courier New" w:cs="Courier New" w:eastAsia="Courier New" w:hAnsi="Courier New"/>
                <w:color w:val="CCCCCC"/>
                <w:sz w:val="17"/>
                <w:szCs w:val="17"/>
              </w:rPr>
              <w:t xml:space="preserve">           |       ROCKER ARM         |</w:t>
            </w:r>
          </w:p>
          <w:p>
            <w:r>
              <w:rPr>
                <w:rFonts w:ascii="Courier New" w:cs="Courier New" w:eastAsia="Courier New" w:hAnsi="Courier New"/>
                <w:color w:val="AAFFAA"/>
                <w:sz w:val="17"/>
                <w:szCs w:val="17"/>
              </w:rPr>
              <w:t xml:space="preserve">           +--WEST----|----EAST--+</w:t>
            </w:r>
          </w:p>
          <w:p>
            <w:r>
              <w:rPr>
                <w:rFonts w:ascii="Courier New" w:cs="Courier New" w:eastAsia="Courier New" w:hAnsi="Courier New"/>
                <w:color w:val="AAFFAA"/>
                <w:sz w:val="17"/>
                <w:szCs w:val="17"/>
              </w:rPr>
              <w:t xml:space="preserve">                      |</w:t>
            </w:r>
          </w:p>
          <w:p>
            <w:r>
              <w:rPr>
                <w:rFonts w:ascii="Courier New" w:cs="Courier New" w:eastAsia="Courier New" w:hAnsi="Courier New"/>
                <w:color w:val="FFAA44"/>
                <w:sz w:val="17"/>
                <w:szCs w:val="17"/>
              </w:rPr>
              <w:t xml:space="preserve">                  PUSH ROD</w:t>
            </w:r>
          </w:p>
          <w:p>
            <w:r>
              <w:rPr>
                <w:rFonts w:ascii="Courier New" w:cs="Courier New" w:eastAsia="Courier New" w:hAnsi="Courier New"/>
                <w:color w:val="FFAA44"/>
                <w:sz w:val="17"/>
                <w:szCs w:val="17"/>
              </w:rPr>
              <w:t xml:space="preserve">                      |</w:t>
            </w:r>
          </w:p>
          <w:p>
            <w:r>
              <w:rPr>
                <w:rFonts w:ascii="Courier New" w:cs="Courier New" w:eastAsia="Courier New" w:hAnsi="Courier New"/>
                <w:color w:val="FFAA44"/>
                <w:sz w:val="17"/>
                <w:szCs w:val="17"/>
              </w:rPr>
              <w:t xml:space="preserve">              [CRANK ARM 250mm]</w:t>
            </w:r>
          </w:p>
          <w:p>
            <w:r>
              <w:rPr>
                <w:rFonts w:ascii="Courier New" w:cs="Courier New" w:eastAsia="Courier New" w:hAnsi="Courier New"/>
                <w:color w:val="FFAA44"/>
                <w:sz w:val="17"/>
                <w:szCs w:val="17"/>
              </w:rPr>
              <w:t xml:space="preserve">                      |</w:t>
            </w:r>
          </w:p>
          <w:p>
            <w:r>
              <w:rPr>
                <w:rFonts w:ascii="Courier New" w:cs="Courier New" w:eastAsia="Courier New" w:hAnsi="Courier New"/>
                <w:color w:val="FF7777"/>
                <w:sz w:val="17"/>
                <w:szCs w:val="17"/>
              </w:rPr>
              <w:t xml:space="preserve">              ====[PIVOT SHAFT]====  &lt;-- Low-friction PTFE bushing</w:t>
            </w:r>
          </w:p>
          <w:p>
            <w:r>
              <w:rPr>
                <w:rFonts w:ascii="Courier New" w:cs="Courier New" w:eastAsia="Courier New" w:hAnsi="Courier New"/>
                <w:color w:val="DDDDDD"/>
                <w:sz w:val="17"/>
                <w:szCs w:val="17"/>
              </w:rPr>
              <w:t xml:space="preserve">              |                  |</w:t>
            </w:r>
          </w:p>
          <w:p>
            <w:r>
              <w:rPr>
                <w:rFonts w:ascii="Courier New" w:cs="Courier New" w:eastAsia="Courier New" w:hAnsi="Courier New"/>
                <w:color w:val="DDDDDD"/>
                <w:sz w:val="17"/>
                <w:szCs w:val="17"/>
              </w:rPr>
              <w:t xml:space="preserve">       [PANEL FRAME West]    [PANEL FRAME East]</w:t>
            </w:r>
          </w:p>
          <w:p>
            <w:r>
              <w:rPr>
                <w:rFonts w:ascii="Courier New" w:cs="Courier New" w:eastAsia="Courier New" w:hAnsi="Courier New"/>
                <w:color w:val="AAAAAA"/>
                <w:sz w:val="17"/>
                <w:szCs w:val="17"/>
              </w:rPr>
              <w:t xml:space="preserve"> </w:t>
            </w:r>
          </w:p>
          <w:p>
            <w:r>
              <w:rPr>
                <w:rFonts w:ascii="Courier New" w:cs="Courier New" w:eastAsia="Courier New" w:hAnsi="Courier New"/>
                <w:color w:val="CCCCCC"/>
                <w:sz w:val="16"/>
                <w:szCs w:val="16"/>
              </w:rPr>
              <w:t xml:space="preserve">  When West cylinder heats: PISTON-W extends LEFT, rocker tilts,</w:t>
            </w:r>
          </w:p>
          <w:p>
            <w:r>
              <w:rPr>
                <w:rFonts w:ascii="Courier New" w:cs="Courier New" w:eastAsia="Courier New" w:hAnsi="Courier New"/>
                <w:color w:val="CCCCCC"/>
                <w:sz w:val="16"/>
                <w:szCs w:val="16"/>
              </w:rPr>
              <w:t xml:space="preserve">  pushrod moves UP, crank rotates panel WEST =&gt; tracks sun. [Self-correcting]</w:t>
            </w:r>
          </w:p>
        </w:tc>
      </w:tr>
    </w:tbl>
    <w:p>
      <w:pPr>
        <w:spacing w:after="120"/>
      </w:pPr>
    </w:p>
    <w:p>
      <w:pPr>
        <w:spacing w:after="140" w:before="0"/>
        <w:jc w:val="left"/>
      </w:pPr>
      <w:r>
        <w:rPr>
          <w:rFonts w:ascii="Arial" w:cs="Arial" w:eastAsia="Arial" w:hAnsi="Arial"/>
          <w:b w:val="false"/>
          <w:bCs w:val="false"/>
          <w:i w:val="false"/>
          <w:iCs w:val="false"/>
          <w:color w:val="333333"/>
          <w:sz w:val="22"/>
          <w:szCs w:val="22"/>
        </w:rPr>
        <w:t xml:space="preserve">Component breakdown of the WAXCYL-1A linkage:</w:t>
      </w:r>
    </w:p>
    <w:p>
      <w:pPr>
        <w:spacing w:after="60"/>
      </w:pPr>
    </w:p>
    <w:p>
      <w:pPr>
        <w:pStyle w:val="ListParagraph"/>
        <w:numPr>
          <w:ilvl w:val="0"/>
          <w:numId w:val="3"/>
        </w:numPr>
        <w:spacing w:after="80"/>
      </w:pPr>
      <w:r>
        <w:rPr>
          <w:rFonts w:ascii="Arial" w:cs="Arial" w:eastAsia="Arial" w:hAnsi="Arial"/>
          <w:color w:val="333333"/>
          <w:sz w:val="22"/>
          <w:szCs w:val="22"/>
        </w:rPr>
        <w:t xml:space="preserve">Shadow Balance Housings (×2, East &amp; West): Black-anodised 6061-T6 aluminium bodies, 80mm × 40mm × 40mm, housing a 14mm × 35mm wax cartridge. Precision shadow fin (0.8mm aluminium sheet, 45mm height) bisects the housing along the sun-axis. EPDM foam weatherseal around all apertures. Twist-lock cartridge replacement.</w:t>
      </w:r>
    </w:p>
    <w:p>
      <w:pPr>
        <w:pStyle w:val="ListParagraph"/>
        <w:numPr>
          <w:ilvl w:val="0"/>
          <w:numId w:val="3"/>
        </w:numPr>
        <w:spacing w:after="80"/>
      </w:pPr>
      <w:r>
        <w:rPr>
          <w:rFonts w:ascii="Arial" w:cs="Arial" w:eastAsia="Arial" w:hAnsi="Arial"/>
          <w:color w:val="333333"/>
          <w:sz w:val="22"/>
          <w:szCs w:val="22"/>
        </w:rPr>
        <w:t xml:space="preserve">Differential Rocker Arm: 200mm long, 3mm stainless steel rod, pivoting on a central low-friction pin. The East piston end and West piston end connect via 1.5mm stainless-steel push-pull cables in PTFE-lined conduit (identical to bicycle brake cable — commodity item). Cable tension pre-set by adjuster barrel during installation.</w:t>
      </w:r>
    </w:p>
    <w:p>
      <w:pPr>
        <w:pStyle w:val="ListParagraph"/>
        <w:numPr>
          <w:ilvl w:val="0"/>
          <w:numId w:val="3"/>
        </w:numPr>
        <w:spacing w:after="80"/>
      </w:pPr>
      <w:r>
        <w:rPr>
          <w:rFonts w:ascii="Arial" w:cs="Arial" w:eastAsia="Arial" w:hAnsi="Arial"/>
          <w:color w:val="333333"/>
          <w:sz w:val="22"/>
          <w:szCs w:val="22"/>
        </w:rPr>
        <w:t xml:space="preserve">Pushrod: 6mm aluminium rod, 300mm long, connecting rocker arm centre to crank arm. Captured ball-joint at both ends (M6 rod ends, standard commodity).</w:t>
      </w:r>
    </w:p>
    <w:p>
      <w:pPr>
        <w:pStyle w:val="ListParagraph"/>
        <w:numPr>
          <w:ilvl w:val="0"/>
          <w:numId w:val="3"/>
        </w:numPr>
        <w:spacing w:after="80"/>
      </w:pPr>
      <w:r>
        <w:rPr>
          <w:rFonts w:ascii="Arial" w:cs="Arial" w:eastAsia="Arial" w:hAnsi="Arial"/>
          <w:color w:val="333333"/>
          <w:sz w:val="22"/>
          <w:szCs w:val="22"/>
        </w:rPr>
        <w:t xml:space="preserve">Crank Arm: 250mm arm, 3mm stainless steel, fixed to the panel pivot shaft. Converts linear pushrod motion to rotational panel movement. Crank offset determines tracking authority and speed of response.</w:t>
      </w:r>
    </w:p>
    <w:p>
      <w:pPr>
        <w:pStyle w:val="ListParagraph"/>
        <w:numPr>
          <w:ilvl w:val="0"/>
          <w:numId w:val="3"/>
        </w:numPr>
        <w:spacing w:after="80"/>
      </w:pPr>
      <w:r>
        <w:rPr>
          <w:rFonts w:ascii="Arial" w:cs="Arial" w:eastAsia="Arial" w:hAnsi="Arial"/>
          <w:color w:val="333333"/>
          <w:sz w:val="22"/>
          <w:szCs w:val="22"/>
        </w:rPr>
        <w:t xml:space="preserve">Pivot Assembly: 20mm stainless steel shaft, 150mm between bearing faces. Two PTFE-lined 20mm aluminium pillow blocks. Shaft to panel frame via stainless steel U-clamp adapters (adjustable for multiple frame profiles: 30×30, 40×40, 35×35 mm square tube common in European panel frames).</w:t>
      </w:r>
    </w:p>
    <w:p>
      <w:pPr>
        <w:pStyle w:val="ListParagraph"/>
        <w:numPr>
          <w:ilvl w:val="0"/>
          <w:numId w:val="3"/>
        </w:numPr>
        <w:spacing w:after="80"/>
      </w:pPr>
      <w:r>
        <w:rPr>
          <w:rFonts w:ascii="Arial" w:cs="Arial" w:eastAsia="Arial" w:hAnsi="Arial"/>
          <w:color w:val="333333"/>
          <w:sz w:val="22"/>
          <w:szCs w:val="22"/>
        </w:rPr>
        <w:t xml:space="preserve">Counterweight Bracket: Injection-moulded glass-fibre reinforced nylon bracket with sliding stainless-steel counterweight rod (0.5 kg steel slug, ±120mm adjustment). Balances panel at pivot to within 5 mm of COG offset. Mounted on panel rear frame.</w:t>
      </w:r>
    </w:p>
    <w:p>
      <w:pPr>
        <w:pStyle w:val="ListParagraph"/>
        <w:numPr>
          <w:ilvl w:val="0"/>
          <w:numId w:val="3"/>
        </w:numPr>
        <w:spacing w:after="80"/>
      </w:pPr>
      <w:r>
        <w:rPr>
          <w:rFonts w:ascii="Arial" w:cs="Arial" w:eastAsia="Arial" w:hAnsi="Arial"/>
          <w:color w:val="333333"/>
          <w:sz w:val="22"/>
          <w:szCs w:val="22"/>
        </w:rPr>
        <w:t xml:space="preserve">Cable Adjuster: Stainless steel inline tensioner (identical to derailleur cable adjuster on bicycles) allows field calibration of differential balance point to within 0.5° of solar noon alignment.</w:t>
      </w:r>
    </w:p>
    <w:p>
      <w:pPr>
        <w:spacing w:after="160"/>
      </w:pPr>
    </w:p>
    <w:p>
      <w:pPr>
        <w:pStyle w:val="Heading2"/>
      </w:pPr>
      <w:r>
        <w:rPr>
          <w:rFonts w:ascii="Arial" w:cs="Arial" w:eastAsia="Arial" w:hAnsi="Arial"/>
          <w:b/>
          <w:bCs/>
          <w:color w:val="2E8B57"/>
        </w:rPr>
        <w:t xml:space="preserve">4.4  Daily Reset and Overnight Behaviour</w:t>
      </w:r>
    </w:p>
    <w:p>
      <w:pPr>
        <w:spacing w:after="140" w:before="0"/>
        <w:jc w:val="left"/>
      </w:pPr>
      <w:r>
        <w:rPr>
          <w:rFonts w:ascii="Arial" w:cs="Arial" w:eastAsia="Arial" w:hAnsi="Arial"/>
          <w:b w:val="false"/>
          <w:bCs w:val="false"/>
          <w:i w:val="false"/>
          <w:iCs w:val="false"/>
          <w:color w:val="333333"/>
          <w:sz w:val="22"/>
          <w:szCs w:val="22"/>
        </w:rPr>
        <w:t xml:space="preserve">A frequently-asked question about passive wax trackers: what happens at sunset and overnight, and how does the system reset for the next morning?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4"/>
              <w:left w:val="single" w:color="2E8B57" w:sz="4"/>
              <w:bottom w:val="single" w:color="2E8B57" w:sz="4"/>
              <w:right w:val="single" w:color="2E8B57" w:sz="4"/>
            </w:tcBorders>
            <w:shd w:fill="D6F0E0" w:val="clear"/>
            <w:tcMar>
              <w:top w:type="dxa" w:w="120"/>
              <w:left w:type="dxa" w:w="180"/>
              <w:bottom w:type="dxa" w:w="120"/>
              <w:right w:type="dxa" w:w="180"/>
            </w:tcMar>
          </w:tcPr>
          <w:p>
            <w:r>
              <w:rPr>
                <w:rFonts w:ascii="Arial" w:cs="Arial" w:eastAsia="Arial" w:hAnsi="Arial"/>
                <w:b w:val="false"/>
                <w:bCs w:val="false"/>
                <w:color w:val="222222"/>
                <w:sz w:val="22"/>
                <w:szCs w:val="22"/>
              </w:rPr>
              <w:t xml:space="preserve">OVERNIGHT RESET MECHANISM: As the sun sets, the West cylinder remains warm longer (receives last sunlight), driving the panel to maximum West tilt. After sunset, both cylinders cool to ambient temperature. The wax solidifies and pistons retract equally. The panel returns to a neutral (South-facing, equatorial-tilt) position — set by the counterweight equilibrium point. By calibrating the counterweight to provide a slight East-biased tilt at piston neutral position, the panel wakes each morning already facing East, ready to capture first-light energy without any energy input.</w:t>
            </w:r>
          </w:p>
        </w:tc>
      </w:tr>
    </w:tbl>
    <w:p>
      <w:pPr>
        <w:spacing w:after="80"/>
      </w:pPr>
    </w:p>
    <w:p>
      <w:pPr>
        <w:spacing w:after="140" w:before="0"/>
        <w:jc w:val="left"/>
      </w:pPr>
      <w:r>
        <w:rPr>
          <w:rFonts w:ascii="Arial" w:cs="Arial" w:eastAsia="Arial" w:hAnsi="Arial"/>
          <w:b w:val="false"/>
          <w:bCs w:val="false"/>
          <w:i w:val="false"/>
          <w:iCs w:val="false"/>
          <w:color w:val="333333"/>
          <w:sz w:val="22"/>
          <w:szCs w:val="22"/>
        </w:rPr>
        <w:t xml:space="preserve">This self-resetting behaviour is a key commercial advantage over motor-driven trackers, which require either end-of-day return-home routines, persistent power, or daily battery energy to reset. The WAXCYL system resets thermally for free.</w:t>
      </w:r>
    </w:p>
    <w:p>
      <w:pPr>
        <w:spacing w:after="200"/>
      </w:pPr>
    </w:p>
    <w:p>
      <w:pPr>
        <w:pStyle w:val="Heading2"/>
      </w:pPr>
      <w:r>
        <w:rPr>
          <w:rFonts w:ascii="Arial" w:cs="Arial" w:eastAsia="Arial" w:hAnsi="Arial"/>
          <w:b/>
          <w:bCs/>
          <w:color w:val="2E8B57"/>
        </w:rPr>
        <w:t xml:space="preserve">4.5  Dual-Axis Extension (WAXCYL-2A)</w:t>
      </w:r>
    </w:p>
    <w:p>
      <w:pPr>
        <w:spacing w:after="140" w:before="0"/>
        <w:jc w:val="left"/>
      </w:pPr>
      <w:r>
        <w:rPr>
          <w:rFonts w:ascii="Arial" w:cs="Arial" w:eastAsia="Arial" w:hAnsi="Arial"/>
          <w:b w:val="false"/>
          <w:bCs w:val="false"/>
          <w:i w:val="false"/>
          <w:iCs w:val="false"/>
          <w:color w:val="333333"/>
          <w:sz w:val="22"/>
          <w:szCs w:val="22"/>
        </w:rPr>
        <w:t xml:space="preserve">The WAXCYL-2A adds a second cylinder pair on the North and South edges of the panel for seasonal tilt adjustment. Because the sun's elevation changes slowly (approximately 47° total swing over the year at 52°N), the North-South cylinder pair controls a lower-friction tilt axis that adjusts the panel's elevation angle to track the sun's altitude through the seasons.</w:t>
      </w:r>
    </w:p>
    <w:p>
      <w:pPr>
        <w:spacing w:after="60"/>
      </w:pPr>
    </w:p>
    <w:p>
      <w:pPr>
        <w:pStyle w:val="ListParagraph"/>
        <w:numPr>
          <w:ilvl w:val="0"/>
          <w:numId w:val="2"/>
        </w:numPr>
        <w:spacing w:after="80"/>
      </w:pPr>
      <w:r>
        <w:rPr>
          <w:rFonts w:ascii="Arial" w:cs="Arial" w:eastAsia="Arial" w:hAnsi="Arial"/>
          <w:color w:val="333333"/>
          <w:sz w:val="22"/>
          <w:szCs w:val="22"/>
        </w:rPr>
        <w:t xml:space="preserve">N-S axis stroke requirements: ±23° over 6 months = extremely slow movement. Standard wax motor stroke of 10mm provides ~8° per motor. A 2:1 lever provides the needed range.</w:t>
      </w:r>
    </w:p>
    <w:p>
      <w:pPr>
        <w:pStyle w:val="ListParagraph"/>
        <w:numPr>
          <w:ilvl w:val="0"/>
          <w:numId w:val="2"/>
        </w:numPr>
        <w:spacing w:after="80"/>
      </w:pPr>
      <w:r>
        <w:rPr>
          <w:rFonts w:ascii="Arial" w:cs="Arial" w:eastAsia="Arial" w:hAnsi="Arial"/>
          <w:color w:val="333333"/>
          <w:sz w:val="22"/>
          <w:szCs w:val="22"/>
        </w:rPr>
        <w:t xml:space="preserve">Daily wobble dampening: The N-S cylinders use a higher-viscosity wax blend (slower response) to ignore daily sun-elevation changes and respond only to multi-week seasonal drift.</w:t>
      </w:r>
    </w:p>
    <w:p>
      <w:pPr>
        <w:pStyle w:val="ListParagraph"/>
        <w:numPr>
          <w:ilvl w:val="0"/>
          <w:numId w:val="2"/>
        </w:numPr>
        <w:spacing w:after="80"/>
      </w:pPr>
      <w:r>
        <w:rPr>
          <w:rFonts w:ascii="Arial" w:cs="Arial" w:eastAsia="Arial" w:hAnsi="Arial"/>
          <w:color w:val="333333"/>
          <w:sz w:val="22"/>
          <w:szCs w:val="22"/>
        </w:rPr>
        <w:t xml:space="preserve">Mechanical decoupling: The two axes are mechanically decoupled by a gimbal joint at the panel pivot, allowing independent action of E-W and N-S tracking without cross-coupling.</w:t>
      </w:r>
    </w:p>
    <w:p>
      <w:pPr>
        <w:pStyle w:val="ListParagraph"/>
        <w:numPr>
          <w:ilvl w:val="0"/>
          <w:numId w:val="2"/>
        </w:numPr>
        <w:spacing w:after="80"/>
      </w:pPr>
      <w:r>
        <w:rPr>
          <w:rFonts w:ascii="Arial" w:cs="Arial" w:eastAsia="Arial" w:hAnsi="Arial"/>
          <w:color w:val="333333"/>
          <w:sz w:val="22"/>
          <w:szCs w:val="22"/>
        </w:rPr>
        <w:t xml:space="preserve">Yield improvement over WAXCYL-1A: additional +8–12% in most Northern European locations. Diminishing returns are acknowledged; the 2A is positioned as a premium SKU.</w:t>
      </w:r>
    </w:p>
    <w:p>
      <w:pPr>
        <w:spacing w:after="200"/>
      </w:pPr>
    </w:p>
    <w:p>
      <w:r>
        <w:br w:type="page"/>
      </w:r>
    </w:p>
    <w:p>
      <w:pPr>
        <w:pStyle w:val="Heading1"/>
      </w:pPr>
      <w:r>
        <w:rPr>
          <w:rFonts w:ascii="Arial" w:cs="Arial" w:eastAsia="Arial" w:hAnsi="Arial"/>
          <w:b/>
          <w:bCs/>
          <w:color w:val="1B4F8A"/>
        </w:rPr>
        <w:t xml:space="preserve">5. Bill of Materials &amp; Manufacturing</w:t>
      </w:r>
    </w:p>
    <w:p>
      <w:pPr>
        <w:pBdr>
          <w:bottom w:val="single" w:color="1B4F8A" w:sz="4"/>
        </w:pBdr>
        <w:spacing w:after="160" w:before="160"/>
      </w:pPr>
    </w:p>
    <w:p>
      <w:pPr>
        <w:pStyle w:val="Heading2"/>
      </w:pPr>
      <w:r>
        <w:rPr>
          <w:rFonts w:ascii="Arial" w:cs="Arial" w:eastAsia="Arial" w:hAnsi="Arial"/>
          <w:b/>
          <w:bCs/>
          <w:color w:val="2E8B57"/>
        </w:rPr>
        <w:t xml:space="preserve">5.1  WAXCYL-1A Bill of Materials (per unit, 400W panel)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480"/>
        <w:gridCol w:w="960"/>
        <w:gridCol w:w="152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Supplier Type</w:t>
            </w:r>
          </w:p>
        </w:tc>
        <w:tc>
          <w:tcPr>
            <w:tcW w:type="dxa" w:w="4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Unit Cost €</w:t>
            </w:r>
          </w:p>
        </w:tc>
        <w:tc>
          <w:tcPr>
            <w:tcW w:type="dxa" w:w="15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Ext. Cost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Wax cartridge 14×35mm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Customised blend ~65°C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Chinese OEM (Ningbo)</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2.40</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Aluminium SBH body</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6061-T6 die-cast + anodise</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European die-caster</w:t>
            </w:r>
          </w:p>
        </w:tc>
        <w:tc>
          <w:tcPr>
            <w:tcW w:type="dxa" w:w="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2.80</w:t>
            </w:r>
          </w:p>
        </w:tc>
        <w:tc>
          <w:tcPr>
            <w:tcW w:type="dxa" w:w="1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5.60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Shadow fin, 0.8mm 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Stamped, black anodised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Sheet metal fabricator</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0.40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0.80</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Pivot shaft, 20mm SS304</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Turned, 200mm length</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Fastener/bar supplier</w:t>
            </w:r>
          </w:p>
        </w:tc>
        <w:tc>
          <w:tcPr>
            <w:tcW w:type="dxa" w:w="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1.20</w:t>
            </w:r>
          </w:p>
        </w:tc>
        <w:tc>
          <w:tcPr>
            <w:tcW w:type="dxa" w:w="1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PTFE pillow block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20mm bore, Al housing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Bearing distributor</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3.60</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Counterweight bracket</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GF-nylon moulded</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Injection moulder</w:t>
            </w:r>
          </w:p>
        </w:tc>
        <w:tc>
          <w:tcPr>
            <w:tcW w:type="dxa" w:w="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1.60</w:t>
            </w:r>
          </w:p>
        </w:tc>
        <w:tc>
          <w:tcPr>
            <w:tcW w:type="dxa" w:w="1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Counterweight slug, 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 kg, slotted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Machined SS</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1.40</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Rocker arm + fixings</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3mm SS316 laser cut</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Sheet metal fab</w:t>
            </w:r>
          </w:p>
        </w:tc>
        <w:tc>
          <w:tcPr>
            <w:tcW w:type="dxa" w:w="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0.90</w:t>
            </w:r>
          </w:p>
        </w:tc>
        <w:tc>
          <w:tcPr>
            <w:tcW w:type="dxa" w:w="1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Push-pull cable assy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1.5mm SS, PTFE conduit, 2×600mm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Bicycle cable OEM</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0.80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0.80</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Pushrod 6mm Al</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300mm, M6 ends</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Extrusion cut + turn</w:t>
            </w:r>
          </w:p>
        </w:tc>
        <w:tc>
          <w:tcPr>
            <w:tcW w:type="dxa" w:w="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0.60</w:t>
            </w:r>
          </w:p>
        </w:tc>
        <w:tc>
          <w:tcPr>
            <w:tcW w:type="dxa" w:w="1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Ball joints M6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 self-aligning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Fastener supplier</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0.35</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1.40</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Crank arm, 3mm SS</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250mm laser cut</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Sheet metal fab</w:t>
            </w:r>
          </w:p>
        </w:tc>
        <w:tc>
          <w:tcPr>
            <w:tcW w:type="dxa" w:w="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0.70</w:t>
            </w:r>
          </w:p>
        </w:tc>
        <w:tc>
          <w:tcPr>
            <w:tcW w:type="dxa" w:w="1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U-clamp frame adapters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SS, fits 30-40mm sq tube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Pressed SS</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0.25</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EPDM weatherseals</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Self-adhesive foam strip, 2m</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Sealing supplier</w:t>
            </w:r>
          </w:p>
        </w:tc>
        <w:tc>
          <w:tcPr>
            <w:tcW w:type="dxa" w:w="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0.30</w:t>
            </w:r>
          </w:p>
        </w:tc>
        <w:tc>
          <w:tcPr>
            <w:tcW w:type="dxa" w:w="1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0.30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M5/M6 SS hardware kit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Bolts, nuts, washers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Fastener bag</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0.40</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0.40</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PMMA Fresnel strip</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Optional, 2× 80mm strips</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Lens injection moulder</w:t>
            </w:r>
          </w:p>
        </w:tc>
        <w:tc>
          <w:tcPr>
            <w:tcW w:type="dxa" w:w="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0.60</w:t>
            </w:r>
          </w:p>
        </w:tc>
        <w:tc>
          <w:tcPr>
            <w:tcW w:type="dxa" w:w="1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Instruction leaflet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12pp A5, 6 languages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Print supplier</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0.15</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0.15</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Retail box (100% recycled)</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250×200×80mm, colour print</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Packaging supplier</w:t>
            </w:r>
          </w:p>
        </w:tc>
        <w:tc>
          <w:tcPr>
            <w:tcW w:type="dxa" w:w="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0.95</w:t>
            </w:r>
          </w:p>
        </w:tc>
        <w:tc>
          <w:tcPr>
            <w:tcW w:type="dxa" w:w="1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0.95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BOM (ex-factory)</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€22.40</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Inbound logistics + duty (est. 25%)</w:t>
            </w:r>
          </w:p>
        </w:tc>
        <w:tc>
          <w:tcPr>
            <w:tcW w:type="dxa" w:w="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€5.60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QC + assembly + overhead</w:t>
            </w:r>
          </w:p>
        </w:tc>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w:t>
            </w:r>
          </w:p>
        </w:tc>
      </w:tr>
      <w:tr>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TOTAL LANDED COST</w:t>
            </w:r>
          </w:p>
        </w:tc>
        <w:tc>
          <w:tcPr>
            <w:tcW w:type="dxa" w:w="4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15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€31.00</w:t>
            </w:r>
          </w:p>
        </w:tc>
      </w:tr>
    </w:tbl>
    <w:p>
      <w:pPr>
        <w:spacing w:after="60"/>
      </w:pPr>
    </w:p>
    <w:p>
      <w:pPr>
        <w:spacing w:after="140" w:before="0"/>
        <w:jc w:val="left"/>
      </w:pPr>
      <w:r>
        <w:rPr>
          <w:rFonts w:ascii="Arial" w:cs="Arial" w:eastAsia="Arial" w:hAnsi="Arial"/>
          <w:b w:val="false"/>
          <w:bCs w:val="false"/>
          <w:i/>
          <w:iCs/>
          <w:color w:val="333333"/>
          <w:sz w:val="22"/>
          <w:szCs w:val="22"/>
        </w:rPr>
        <w:t xml:space="preserve">Note: BOM costs above are based on 50,000-unit annual volume pricing. At 200,000+ units (compatible with a European retail chain rollout), BOM reduces to approximately €18–20 landed, improving margins significantly.</w:t>
      </w:r>
    </w:p>
    <w:p>
      <w:pPr>
        <w:spacing w:after="160"/>
      </w:pPr>
    </w:p>
    <w:p>
      <w:pPr>
        <w:pStyle w:val="Heading2"/>
      </w:pPr>
      <w:r>
        <w:rPr>
          <w:rFonts w:ascii="Arial" w:cs="Arial" w:eastAsia="Arial" w:hAnsi="Arial"/>
          <w:b/>
          <w:bCs/>
          <w:color w:val="2E8B57"/>
        </w:rPr>
        <w:t xml:space="preserve">5.2  Manufacturing Approach</w:t>
      </w:r>
    </w:p>
    <w:p>
      <w:pPr>
        <w:spacing w:after="140" w:before="0"/>
        <w:jc w:val="left"/>
      </w:pPr>
      <w:r>
        <w:rPr>
          <w:rFonts w:ascii="Arial" w:cs="Arial" w:eastAsia="Arial" w:hAnsi="Arial"/>
          <w:b w:val="false"/>
          <w:bCs w:val="false"/>
          <w:i w:val="false"/>
          <w:iCs w:val="false"/>
          <w:color w:val="333333"/>
          <w:sz w:val="22"/>
          <w:szCs w:val="22"/>
        </w:rPr>
        <w:t xml:space="preserve">The WAXCYL system is designed from inception for low-cost, distributed manufacturing using commodity supply chains:</w:t>
      </w:r>
    </w:p>
    <w:p>
      <w:pPr>
        <w:spacing w:after="60"/>
      </w:pPr>
    </w:p>
    <w:p>
      <w:pPr>
        <w:pStyle w:val="ListParagraph"/>
        <w:numPr>
          <w:ilvl w:val="0"/>
          <w:numId w:val="2"/>
        </w:numPr>
        <w:spacing w:after="80"/>
      </w:pPr>
      <w:r>
        <w:rPr>
          <w:rFonts w:ascii="Arial" w:cs="Arial" w:eastAsia="Arial" w:hAnsi="Arial"/>
          <w:color w:val="333333"/>
          <w:sz w:val="22"/>
          <w:szCs w:val="22"/>
        </w:rPr>
        <w:t xml:space="preserve">Wax cartridges: Sourced from established automotive thermostat OEMs in Ningbo and Zhejiang, China. These manufacturers already produce certified wax elements for BMW, Mercedes, and Bosch. Custom wax blends for specific trigger temperatures are available at no premium for orders above 10,000 units. Sampling and certification takes 8–10 weeks.</w:t>
      </w:r>
    </w:p>
    <w:p>
      <w:pPr>
        <w:pStyle w:val="ListParagraph"/>
        <w:numPr>
          <w:ilvl w:val="0"/>
          <w:numId w:val="2"/>
        </w:numPr>
        <w:spacing w:after="80"/>
      </w:pPr>
      <w:r>
        <w:rPr>
          <w:rFonts w:ascii="Arial" w:cs="Arial" w:eastAsia="Arial" w:hAnsi="Arial"/>
          <w:color w:val="333333"/>
          <w:sz w:val="22"/>
          <w:szCs w:val="22"/>
        </w:rPr>
        <w:t xml:space="preserve">Aluminium SBH bodies: Die-cast 6061-T6 aluminium with integrated cable retention features. Surface treatment: black hard anodise (MIL-A-8625 Type III), absorptivity α &gt; 0.93. European die-casters (Poland, Czech Republic, Slovakia) can supply at the target cost with 6-week lead time. Alternatively, Chinese cast + European anodise is a viable hybrid.</w:t>
      </w:r>
    </w:p>
    <w:p>
      <w:pPr>
        <w:pStyle w:val="ListParagraph"/>
        <w:numPr>
          <w:ilvl w:val="0"/>
          <w:numId w:val="2"/>
        </w:numPr>
        <w:spacing w:after="80"/>
      </w:pPr>
      <w:r>
        <w:rPr>
          <w:rFonts w:ascii="Arial" w:cs="Arial" w:eastAsia="Arial" w:hAnsi="Arial"/>
          <w:color w:val="333333"/>
          <w:sz w:val="22"/>
          <w:szCs w:val="22"/>
        </w:rPr>
        <w:t xml:space="preserve">Sheet metal components (shadow fin, rocker, crank): 3-axis CNC laser cutting + bending. Available from any precision sheet metal fabricator. No tooling investment required for initial volumes. Progressive die tooling becomes cost-effective above 100,000 units.</w:t>
      </w:r>
    </w:p>
    <w:p>
      <w:pPr>
        <w:pStyle w:val="ListParagraph"/>
        <w:numPr>
          <w:ilvl w:val="0"/>
          <w:numId w:val="2"/>
        </w:numPr>
        <w:spacing w:after="80"/>
      </w:pPr>
      <w:r>
        <w:rPr>
          <w:rFonts w:ascii="Arial" w:cs="Arial" w:eastAsia="Arial" w:hAnsi="Arial"/>
          <w:color w:val="333333"/>
          <w:sz w:val="22"/>
          <w:szCs w:val="22"/>
        </w:rPr>
        <w:t xml:space="preserve">Pivot/bearing assembly: Commodity stainless steel shaft and PTFE pillow blocks are catalogue items from bearing distributors (SKF, NSK, or Igus supply equivalent products). The Igus iglide® dry-running bushings are particularly well-suited (rated IP69K, lifetime 2M cycles, available in standard 20mm bore).</w:t>
      </w:r>
    </w:p>
    <w:p>
      <w:pPr>
        <w:pStyle w:val="ListParagraph"/>
        <w:numPr>
          <w:ilvl w:val="0"/>
          <w:numId w:val="2"/>
        </w:numPr>
        <w:spacing w:after="80"/>
      </w:pPr>
      <w:r>
        <w:rPr>
          <w:rFonts w:ascii="Arial" w:cs="Arial" w:eastAsia="Arial" w:hAnsi="Arial"/>
          <w:color w:val="333333"/>
          <w:sz w:val="22"/>
          <w:szCs w:val="22"/>
        </w:rPr>
        <w:t xml:space="preserve">Final assembly: Simple bolt-together assembly requiring no specialist tooling. Target assembly time: 8 minutes per unit at a light industrial assembly line. Suitable for near-shoring to Eastern Europe (Romania, Hungary) to combine cost efficiency with Made-in-EU branding — a growing premium in the European consumer market.</w:t>
      </w:r>
    </w:p>
    <w:p>
      <w:pPr>
        <w:spacing w:after="200"/>
      </w:pPr>
    </w:p>
    <w:p>
      <w:r>
        <w:br w:type="page"/>
      </w:r>
    </w:p>
    <w:p>
      <w:pPr>
        <w:pStyle w:val="Heading1"/>
      </w:pPr>
      <w:r>
        <w:rPr>
          <w:rFonts w:ascii="Arial" w:cs="Arial" w:eastAsia="Arial" w:hAnsi="Arial"/>
          <w:b/>
          <w:bCs/>
          <w:color w:val="1B4F8A"/>
        </w:rPr>
        <w:t xml:space="preserve">6. Energy Yield &amp; Return on Investment</w:t>
      </w:r>
    </w:p>
    <w:p>
      <w:pPr>
        <w:pBdr>
          <w:bottom w:val="single" w:color="1B4F8A" w:sz="4"/>
        </w:pBdr>
        <w:spacing w:after="160" w:before="160"/>
      </w:pPr>
    </w:p>
    <w:p>
      <w:pPr>
        <w:pStyle w:val="Heading2"/>
      </w:pPr>
      <w:r>
        <w:rPr>
          <w:rFonts w:ascii="Arial" w:cs="Arial" w:eastAsia="Arial" w:hAnsi="Arial"/>
          <w:b/>
          <w:bCs/>
          <w:color w:val="2E8B57"/>
        </w:rPr>
        <w:t xml:space="preserve">6.1  Energy Yield Model</w:t>
      </w:r>
    </w:p>
    <w:p>
      <w:pPr>
        <w:spacing w:after="140" w:before="0"/>
        <w:jc w:val="left"/>
      </w:pPr>
      <w:r>
        <w:rPr>
          <w:rFonts w:ascii="Arial" w:cs="Arial" w:eastAsia="Arial" w:hAnsi="Arial"/>
          <w:b w:val="false"/>
          <w:bCs w:val="false"/>
          <w:i w:val="false"/>
          <w:iCs w:val="false"/>
          <w:color w:val="333333"/>
          <w:sz w:val="22"/>
          <w:szCs w:val="22"/>
        </w:rPr>
        <w:t xml:space="preserve">The yield improvement from single-axis East-West solar tracking depends on site latitude, local irradiance pattern, and the panel's base installation angle. The following analysis uses Central European conditions (Berlin / Frankfurt, 52°N, DNI ≈ 1,080 kWh/m²/year, GHI ≈ 1,020 kWh/m²/year) as the reference case.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500"/>
        <w:gridCol w:w="2360"/>
      </w:tblGrid>
      <w:tr>
        <w:trPr>
          <w:tblHeader/>
        </w:trPr>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Annual Yield (400W panel)</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vs. Baseline</w:t>
            </w:r>
          </w:p>
        </w:tc>
        <w:tc>
          <w:tcPr>
            <w:tcW w:type="dxa" w:w="2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kWh Gain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Fixed, south-facing, 35° tilt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390 kWh/year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3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WAXCYL-1A single-axis E-W tracking</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495 kWh/year</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+27%</w:t>
            </w:r>
          </w:p>
        </w:tc>
        <w:tc>
          <w:tcPr>
            <w:tcW w:type="dxa" w:w="2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+105 kWh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WAXCYL-2A dual-axis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530 kWh/year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+140 kWh</w:t>
            </w:r>
          </w:p>
        </w:tc>
      </w:tr>
      <w:tr>
        <w:tc>
          <w:tcPr>
            <w:tcW w:type="dxa" w:w="3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Comparison: motor-driven single-axis</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500 kWh/year</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+28%</w:t>
            </w:r>
          </w:p>
        </w:tc>
        <w:tc>
          <w:tcPr>
            <w:tcW w:type="dxa" w:w="2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+110 kWh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Comparison: motor-driven dual-axis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540 kWh/year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 kWh</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4"/>
              <w:left w:val="single" w:color="D4A017" w:sz="4"/>
              <w:bottom w:val="single" w:color="D4A017" w:sz="4"/>
              <w:right w:val="single" w:color="D4A017" w:sz="4"/>
            </w:tcBorders>
            <w:shd w:fill="FBF0CC" w:val="clear"/>
            <w:tcMar>
              <w:top w:type="dxa" w:w="120"/>
              <w:left w:type="dxa" w:w="180"/>
              <w:bottom w:type="dxa" w:w="120"/>
              <w:right w:type="dxa" w:w="180"/>
            </w:tcMar>
          </w:tcPr>
          <w:p>
            <w:r>
              <w:rPr>
                <w:rFonts w:ascii="Arial" w:cs="Arial" w:eastAsia="Arial" w:hAnsi="Arial"/>
                <w:b w:val="false"/>
                <w:bCs w:val="false"/>
                <w:color w:val="222222"/>
                <w:sz w:val="22"/>
                <w:szCs w:val="22"/>
              </w:rPr>
              <w:t xml:space="preserve">KEY FINDING: The WAXCYL-1A delivers approximately 95% of the yield benefit of a motor-driven single-axis tracker, at approximately 15% of the installed cost. The 3–5% yield gap is due to the passive system's thermal lag (tracking delay of 4–8 minutes) and the wider dead-band (±1.5° vs. ±0.1° for motor driven). This small yield gap is commercially irrelevant when the WAXCYL system costs €35 installed vs. €180–250 for a motor-driven equivalent.</w:t>
            </w:r>
          </w:p>
        </w:tc>
      </w:tr>
    </w:tbl>
    <w:p>
      <w:pPr>
        <w:spacing w:after="120"/>
      </w:pPr>
    </w:p>
    <w:p>
      <w:pPr>
        <w:pStyle w:val="Heading2"/>
      </w:pPr>
      <w:r>
        <w:rPr>
          <w:rFonts w:ascii="Arial" w:cs="Arial" w:eastAsia="Arial" w:hAnsi="Arial"/>
          <w:b/>
          <w:bCs/>
          <w:color w:val="2E8B57"/>
        </w:rPr>
        <w:t xml:space="preserve">6.2  Financial ROI for End Customer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Panel system (400W + microinverter)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€350 (typical Lidl price point)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Fixed cost, not affected by WAXCYL</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WAXCYL-1A retail price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€69</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Suggested retail incl. VAT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Additional annual yield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105 kWh/year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 Central European irradiance</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Electricity price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€0.30/kWh</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European average retail, 2024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 financial benefit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€31.50/year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cost of grid electricity avoided</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Simple payback period</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2.2 years</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€69 / €31.50 = 2.19 yrs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10-year cumulative benefit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€315 − €69 = €246 net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Substantial positive NPV</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25-year cumulative benefit (no inflation)</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€787 − €69 = €718 net</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Over panel life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25-year benefit (3% electricity inflation)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€1,050 − €69 = €981 net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More realistic scenario</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Internal Rate of Return (IRR)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~46% annually</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Exceptional financial product</w:t>
            </w:r>
          </w:p>
        </w:tc>
      </w:tr>
    </w:tbl>
    <w:p>
      <w:pPr>
        <w:spacing w:after="80"/>
      </w:pPr>
    </w:p>
    <w:p>
      <w:pPr>
        <w:spacing w:after="140" w:before="0"/>
        <w:jc w:val="left"/>
      </w:pPr>
      <w:r>
        <w:rPr>
          <w:rFonts w:ascii="Arial" w:cs="Arial" w:eastAsia="Arial" w:hAnsi="Arial"/>
          <w:b w:val="false"/>
          <w:bCs w:val="false"/>
          <w:i w:val="false"/>
          <w:iCs w:val="false"/>
          <w:color w:val="333333"/>
          <w:sz w:val="22"/>
          <w:szCs w:val="22"/>
        </w:rPr>
        <w:t xml:space="preserve">At €0.30/kWh and a 2.2-year payback, WAXCYL crosses the psychological threshold that separates 'enthusiast products' from 'mainstream consumer products'. When a product pays back before the end of its second year and earns €700+ over its life, the customer's decision becomes economically rational, not aspirational.</w:t>
      </w:r>
    </w:p>
    <w:p>
      <w:pPr>
        <w:spacing w:after="120"/>
      </w:pPr>
    </w:p>
    <w:p>
      <w:pPr>
        <w:pStyle w:val="Heading2"/>
      </w:pPr>
      <w:r>
        <w:rPr>
          <w:rFonts w:ascii="Arial" w:cs="Arial" w:eastAsia="Arial" w:hAnsi="Arial"/>
          <w:b/>
          <w:bCs/>
          <w:color w:val="2E8B57"/>
        </w:rPr>
        <w:t xml:space="preserve">6.3  Comparative ROI: WAXCYL vs. Competing Approaches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200"/>
        <w:gridCol w:w="1360"/>
        <w:gridCol w:w="150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Tracking Approach</w:t>
            </w:r>
          </w:p>
        </w:tc>
        <w:tc>
          <w:tcPr>
            <w:tcW w:type="dxa" w:w="1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Install Cost</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Annual Yield Gain</w:t>
            </w:r>
          </w:p>
        </w:tc>
        <w:tc>
          <w:tcPr>
            <w:tcW w:type="dxa" w:w="1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Payback</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25yr Net Return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tracking (baseline)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kWh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WAXCYL-1A (this system)</w:t>
            </w:r>
          </w:p>
        </w:tc>
        <w:tc>
          <w:tcPr>
            <w:tcW w:type="dxa" w:w="1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€69</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+105 kWh / +€31.50</w:t>
            </w:r>
          </w:p>
        </w:tc>
        <w:tc>
          <w:tcPr>
            <w:tcW w:type="dxa" w:w="1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2.2 yrs</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+€718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WAXCYL-2A (dual axis)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+140 kWh / +€42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 yrs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+€931</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Motor single-axis (DIY)</w:t>
            </w:r>
          </w:p>
        </w:tc>
        <w:tc>
          <w:tcPr>
            <w:tcW w:type="dxa" w:w="1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€180</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+110 kWh / +€33</w:t>
            </w:r>
          </w:p>
        </w:tc>
        <w:tc>
          <w:tcPr>
            <w:tcW w:type="dxa" w:w="1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5.5 yrs</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+€645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Motor single-axis (installed)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+110 kWh / +€33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9.7 yrs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+€505</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Commercial tracking system</w:t>
            </w:r>
          </w:p>
        </w:tc>
        <w:tc>
          <w:tcPr>
            <w:tcW w:type="dxa" w:w="1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€800+</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+150 kWh / +€45</w:t>
            </w:r>
          </w:p>
        </w:tc>
        <w:tc>
          <w:tcPr>
            <w:tcW w:type="dxa" w:w="1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17.8 yrs</w:t>
            </w:r>
          </w:p>
        </w:tc>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+€325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4"/>
              <w:left w:val="single" w:color="1B4F8A" w:sz="4"/>
              <w:bottom w:val="single" w:color="1B4F8A" w:sz="4"/>
              <w:right w:val="single" w:color="1B4F8A" w:sz="4"/>
            </w:tcBorders>
            <w:shd w:fill="D6E8F8" w:val="clear"/>
            <w:tcMar>
              <w:top w:type="dxa" w:w="120"/>
              <w:left w:type="dxa" w:w="180"/>
              <w:bottom w:type="dxa" w:w="120"/>
              <w:right w:type="dxa" w:w="180"/>
            </w:tcMar>
          </w:tcPr>
          <w:p>
            <w:r>
              <w:rPr>
                <w:rFonts w:ascii="Arial" w:cs="Arial" w:eastAsia="Arial" w:hAnsi="Arial"/>
                <w:b/>
                <w:bCs/>
                <w:color w:val="222222"/>
                <w:sz w:val="22"/>
                <w:szCs w:val="22"/>
              </w:rPr>
              <w:t xml:space="preserve">DISRUPTIVE POSITIONING: WAXCYL delivers a HIGHER 25-year net return than any competing motorised tracking approach, despite costing 3–10× less to install. This is possible because (a) no energy is consumed by the tracker itself, (b) no maintenance costs, (c) no electronics to fail, and (d) the incremental cost is so low that the compounding yield benefit overwhelms it within 2–3 years.</w:t>
            </w:r>
          </w:p>
        </w:tc>
      </w:tr>
    </w:tbl>
    <w:p>
      <w:pPr>
        <w:spacing w:after="200"/>
      </w:pPr>
    </w:p>
    <w:p>
      <w:r>
        <w:br w:type="page"/>
      </w:r>
    </w:p>
    <w:p>
      <w:pPr>
        <w:pStyle w:val="Heading1"/>
      </w:pPr>
      <w:r>
        <w:rPr>
          <w:rFonts w:ascii="Arial" w:cs="Arial" w:eastAsia="Arial" w:hAnsi="Arial"/>
          <w:b/>
          <w:bCs/>
          <w:color w:val="1B4F8A"/>
        </w:rPr>
        <w:t xml:space="preserve">7. Market Strategy — Breaking the Glass Ceiling</w:t>
      </w:r>
    </w:p>
    <w:p>
      <w:pPr>
        <w:pBdr>
          <w:bottom w:val="single" w:color="1B4F8A" w:sz="4"/>
        </w:pBdr>
        <w:spacing w:after="160" w:before="160"/>
      </w:pPr>
    </w:p>
    <w:p>
      <w:pPr>
        <w:pStyle w:val="Heading2"/>
      </w:pPr>
      <w:r>
        <w:rPr>
          <w:rFonts w:ascii="Arial" w:cs="Arial" w:eastAsia="Arial" w:hAnsi="Arial"/>
          <w:b/>
          <w:bCs/>
          <w:color w:val="2E8B57"/>
        </w:rPr>
        <w:t xml:space="preserve">7.1  The Psychological Glass Ceiling in Consumer Solar</w:t>
      </w:r>
    </w:p>
    <w:p>
      <w:pPr>
        <w:spacing w:after="140" w:before="0"/>
        <w:jc w:val="left"/>
      </w:pPr>
      <w:r>
        <w:rPr>
          <w:rFonts w:ascii="Arial" w:cs="Arial" w:eastAsia="Arial" w:hAnsi="Arial"/>
          <w:b w:val="false"/>
          <w:bCs w:val="false"/>
          <w:i w:val="false"/>
          <w:iCs w:val="false"/>
          <w:color w:val="333333"/>
          <w:sz w:val="22"/>
          <w:szCs w:val="22"/>
        </w:rPr>
        <w:t xml:space="preserve">The European residential solar market has long been bifurcated between two segments that rarely meet. At the top, professional rooftop installations (10–30 panels, €8,000–€25,000 installed, professionally managed ROI calculation) represent the mainstream. At the bottom, a growing category of 'plug-in balcony solar' or 'Balkonkraftwerk' products (1–2 panels, €200–€400, sold at Lidl, Aldi, Bauhaus, OBI) has emerged as a genuinely mass-market solar segment — particularly in Germany, Austria, the Netherlands, and Scandinavia.</w:t>
      </w:r>
    </w:p>
    <w:p>
      <w:pPr>
        <w:spacing w:after="80"/>
      </w:pPr>
    </w:p>
    <w:p>
      <w:pPr>
        <w:spacing w:after="140" w:before="0"/>
        <w:jc w:val="left"/>
      </w:pPr>
      <w:r>
        <w:rPr>
          <w:rFonts w:ascii="Arial" w:cs="Arial" w:eastAsia="Arial" w:hAnsi="Arial"/>
          <w:b w:val="false"/>
          <w:bCs w:val="false"/>
          <w:i w:val="false"/>
          <w:iCs w:val="false"/>
          <w:color w:val="333333"/>
          <w:sz w:val="22"/>
          <w:szCs w:val="22"/>
        </w:rPr>
        <w:t xml:space="preserve">However, there exists a glass ceiling in the low-cost solar segment: the moment a solar accessory requires professional installation, electrical wiring, a controller, internet connectivity, or significant technical knowledge, it falls out of the impulse/weekend-project purchase category and into the 'call a professional' category. This is where essentially all existing solar tracking systems fail the mass market.</w:t>
      </w:r>
    </w:p>
    <w:p>
      <w:pPr>
        <w:spacing w:after="80"/>
      </w:pPr>
    </w:p>
    <w:p>
      <w:pPr>
        <w:spacing w:after="140" w:before="0"/>
        <w:jc w:val="left"/>
      </w:pPr>
      <w:r>
        <w:rPr>
          <w:rFonts w:ascii="Arial" w:cs="Arial" w:eastAsia="Arial" w:hAnsi="Arial"/>
          <w:b w:val="false"/>
          <w:bCs w:val="false"/>
          <w:i w:val="false"/>
          <w:iCs w:val="false"/>
          <w:color w:val="333333"/>
          <w:sz w:val="22"/>
          <w:szCs w:val="22"/>
        </w:rPr>
        <w:t xml:space="preserve">WAXCYL is designed from the beginning to sit firmly below that glass ceiling:</w:t>
      </w:r>
    </w:p>
    <w:p>
      <w:pPr>
        <w:spacing w:after="60"/>
      </w:pPr>
    </w:p>
    <w:p>
      <w:pPr>
        <w:pStyle w:val="ListParagraph"/>
        <w:numPr>
          <w:ilvl w:val="0"/>
          <w:numId w:val="2"/>
        </w:numPr>
        <w:spacing w:after="80"/>
      </w:pPr>
      <w:r>
        <w:rPr>
          <w:rFonts w:ascii="Arial" w:cs="Arial" w:eastAsia="Arial" w:hAnsi="Arial"/>
          <w:color w:val="333333"/>
          <w:sz w:val="22"/>
          <w:szCs w:val="22"/>
        </w:rPr>
        <w:t xml:space="preserve">No wiring, no controller, no motor driver, no inverter modification</w:t>
      </w:r>
    </w:p>
    <w:p>
      <w:pPr>
        <w:pStyle w:val="ListParagraph"/>
        <w:numPr>
          <w:ilvl w:val="0"/>
          <w:numId w:val="2"/>
        </w:numPr>
        <w:spacing w:after="80"/>
      </w:pPr>
      <w:r>
        <w:rPr>
          <w:rFonts w:ascii="Arial" w:cs="Arial" w:eastAsia="Arial" w:hAnsi="Arial"/>
          <w:color w:val="333333"/>
          <w:sz w:val="22"/>
          <w:szCs w:val="22"/>
        </w:rPr>
        <w:t xml:space="preserve">Installation: 4 bolts to existing panel frame + cable connection to pushrod. Target time: 20 minutes with included Allen key and wrench.</w:t>
      </w:r>
    </w:p>
    <w:p>
      <w:pPr>
        <w:pStyle w:val="ListParagraph"/>
        <w:numPr>
          <w:ilvl w:val="0"/>
          <w:numId w:val="2"/>
        </w:numPr>
        <w:spacing w:after="80"/>
      </w:pPr>
      <w:r>
        <w:rPr>
          <w:rFonts w:ascii="Arial" w:cs="Arial" w:eastAsia="Arial" w:hAnsi="Arial"/>
          <w:color w:val="333333"/>
          <w:sz w:val="22"/>
          <w:szCs w:val="22"/>
        </w:rPr>
        <w:t xml:space="preserve">Zero ongoing interaction required. No app, no settings, no maintenance.</w:t>
      </w:r>
    </w:p>
    <w:p>
      <w:pPr>
        <w:pStyle w:val="ListParagraph"/>
        <w:numPr>
          <w:ilvl w:val="0"/>
          <w:numId w:val="2"/>
        </w:numPr>
        <w:spacing w:after="80"/>
      </w:pPr>
      <w:r>
        <w:rPr>
          <w:rFonts w:ascii="Arial" w:cs="Arial" w:eastAsia="Arial" w:hAnsi="Arial"/>
          <w:color w:val="333333"/>
          <w:sz w:val="22"/>
          <w:szCs w:val="22"/>
        </w:rPr>
        <w:t xml:space="preserve">Failure mode: graceful degradation (if wax cartridges fail, panel remains in last position — identical to a fixed panel)</w:t>
      </w:r>
    </w:p>
    <w:p>
      <w:pPr>
        <w:pStyle w:val="ListParagraph"/>
        <w:numPr>
          <w:ilvl w:val="0"/>
          <w:numId w:val="2"/>
        </w:numPr>
        <w:spacing w:after="80"/>
      </w:pPr>
      <w:r>
        <w:rPr>
          <w:rFonts w:ascii="Arial" w:cs="Arial" w:eastAsia="Arial" w:hAnsi="Arial"/>
          <w:color w:val="333333"/>
          <w:sz w:val="22"/>
          <w:szCs w:val="22"/>
        </w:rPr>
        <w:t xml:space="preserve">Looking at it in the box: the buyer sees two sleek black cylinders, some rods, and a pivot block. The mechanism is visually comprehensible. People can infer how it works. This builds trust.</w:t>
      </w:r>
    </w:p>
    <w:p>
      <w:pPr>
        <w:spacing w:after="120"/>
      </w:pPr>
    </w:p>
    <w:p>
      <w:pPr>
        <w:pStyle w:val="Heading2"/>
      </w:pPr>
      <w:r>
        <w:rPr>
          <w:rFonts w:ascii="Arial" w:cs="Arial" w:eastAsia="Arial" w:hAnsi="Arial"/>
          <w:b/>
          <w:bCs/>
          <w:color w:val="2E8B57"/>
        </w:rPr>
        <w:t xml:space="preserve">7.2  Retail Channel Strategy — The Lidl Approach</w:t>
      </w:r>
    </w:p>
    <w:p>
      <w:pPr>
        <w:spacing w:after="140" w:before="0"/>
        <w:jc w:val="left"/>
      </w:pPr>
      <w:r>
        <w:rPr>
          <w:rFonts w:ascii="Arial" w:cs="Arial" w:eastAsia="Arial" w:hAnsi="Arial"/>
          <w:b w:val="false"/>
          <w:bCs w:val="false"/>
          <w:i w:val="false"/>
          <w:iCs w:val="false"/>
          <w:color w:val="333333"/>
          <w:sz w:val="22"/>
          <w:szCs w:val="22"/>
        </w:rPr>
        <w:t xml:space="preserve">Lidl (and its ALDI, Kaufland, Netto, and similar value-retail equivalents) has proven itself the defining launchpad for democratised solar technology in Europe. The Lidl 'Belonio' 600W balcony power station sold out across Germany within hours of its 2023 launch at €299. Subsequent re-stocks have met similar demand. Aldi and Kaufland have followed with equivalent products.</w:t>
      </w:r>
    </w:p>
    <w:p>
      <w:pPr>
        <w:spacing w:after="80"/>
      </w:pPr>
    </w:p>
    <w:p>
      <w:pPr>
        <w:spacing w:after="140" w:before="0"/>
        <w:jc w:val="left"/>
      </w:pPr>
      <w:r>
        <w:rPr>
          <w:rFonts w:ascii="Arial" w:cs="Arial" w:eastAsia="Arial" w:hAnsi="Arial"/>
          <w:b w:val="false"/>
          <w:bCs w:val="false"/>
          <w:i w:val="false"/>
          <w:iCs w:val="false"/>
          <w:color w:val="333333"/>
          <w:sz w:val="22"/>
          <w:szCs w:val="22"/>
        </w:rPr>
        <w:t xml:space="preserve">The model that has worked for balcony solar — and that WAXCYL is explicitly designed to replicate — has the following features: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Success Factor</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Balcony Solar Example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WAXCYL Design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Price under psychological threshold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€299 for full system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€69 tracker — impulse-purchase territory</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Visually obvious product</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Clear solar panels, obvious plug</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Sleek cylinders + rods — mechanism is visible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specialist required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"Plug in and forget"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20-minute DIY install, included tools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Strong ROI story on box</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"Save up to €300/year" headline</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"Track the sun. Earn 27% more energy."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Seasonal / event placement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Spring gardening season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March–April 'solar season' placement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Paired product sale</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Paired with the solar panel itself</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Sold alongside panel SKU in same aisle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Made in / sourced in EU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Increasing consumer preference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EU near-shore assembly possible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Refillable / upgradeable</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User-replaceable wax cartridges (€4.99 each)</w:t>
            </w:r>
          </w:p>
        </w:tc>
      </w:tr>
    </w:tbl>
    <w:p>
      <w:pPr>
        <w:spacing w:after="120"/>
      </w:pPr>
    </w:p>
    <w:p>
      <w:pPr>
        <w:pStyle w:val="Heading2"/>
      </w:pPr>
      <w:r>
        <w:rPr>
          <w:rFonts w:ascii="Arial" w:cs="Arial" w:eastAsia="Arial" w:hAnsi="Arial"/>
          <w:b/>
          <w:bCs/>
          <w:color w:val="2E8B57"/>
        </w:rPr>
        <w:t xml:space="preserve">7.3  Pricing Structure &amp; Channel Economics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Cost/Price Layer</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WAXCYL-1A</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WAXCYL-2A</w:t>
            </w:r>
          </w:p>
        </w:tc>
        <w:tc>
          <w:tcPr>
            <w:tcW w:type="dxa" w:w="2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Wax Cartridge Refill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Manufacturing (landed)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€2.20</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Manufacturer margin (30%)</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€9.30</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€14.40</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€0.66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Ex-factory 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€62.40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€2.86</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Retail cost price (landed)</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€43.50</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€67.50</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€3.20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Retail margin (37%)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€1.80</w:t>
            </w:r>
          </w:p>
        </w:tc>
      </w:tr>
      <w:tr>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Retail price incl. VAT (19%)</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€69.00</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€109.00</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€5.99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 ROI (payback)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80"/>
      </w:pPr>
    </w:p>
    <w:p>
      <w:pPr>
        <w:spacing w:after="140" w:before="0"/>
        <w:jc w:val="left"/>
      </w:pPr>
      <w:r>
        <w:rPr>
          <w:rFonts w:ascii="Arial" w:cs="Arial" w:eastAsia="Arial" w:hAnsi="Arial"/>
          <w:b w:val="false"/>
          <w:bCs w:val="false"/>
          <w:i w:val="false"/>
          <w:iCs w:val="false"/>
          <w:color w:val="333333"/>
          <w:sz w:val="22"/>
          <w:szCs w:val="22"/>
        </w:rPr>
        <w:t xml:space="preserve">The €69 retail price is the critical datum. Consumer research consistently shows that solar accessories priced below €75 can be sold as impulse/add-on purchases alongside a solar panel purchase. Above €99, the buyer begins to calculate ROI more carefully and conversion rates drop sharply. At €69, the product sits in the same psychological bracket as a cordless drill battery or a smart home sensor — 'worth it because it'll pay for itself.'</w:t>
      </w:r>
    </w:p>
    <w:p>
      <w:pPr>
        <w:spacing w:after="120"/>
      </w:pPr>
    </w:p>
    <w:p>
      <w:pPr>
        <w:pStyle w:val="Heading2"/>
      </w:pPr>
      <w:r>
        <w:rPr>
          <w:rFonts w:ascii="Arial" w:cs="Arial" w:eastAsia="Arial" w:hAnsi="Arial"/>
          <w:b/>
          <w:bCs/>
          <w:color w:val="2E8B57"/>
        </w:rPr>
        <w:t xml:space="preserve">7.4  The Wax Cartridge Consumable Model</w:t>
      </w:r>
    </w:p>
    <w:p>
      <w:pPr>
        <w:spacing w:after="140" w:before="0"/>
        <w:jc w:val="left"/>
      </w:pPr>
      <w:r>
        <w:rPr>
          <w:rFonts w:ascii="Arial" w:cs="Arial" w:eastAsia="Arial" w:hAnsi="Arial"/>
          <w:b w:val="false"/>
          <w:bCs w:val="false"/>
          <w:i w:val="false"/>
          <w:iCs w:val="false"/>
          <w:color w:val="333333"/>
          <w:sz w:val="22"/>
          <w:szCs w:val="22"/>
        </w:rPr>
        <w:t xml:space="preserve">Wax cartridges have a finite cycle life (100,000+ cycles = 68 years at 4 cycles/day — no issue), but the WAXCYL system is designed to allow user replacement of cartridges as an optional upgrade path, not a mandatory maintenance item. This serves two strategic purposes:</w:t>
      </w:r>
    </w:p>
    <w:p>
      <w:pPr>
        <w:spacing w:after="60"/>
      </w:pPr>
    </w:p>
    <w:p>
      <w:pPr>
        <w:pStyle w:val="ListParagraph"/>
        <w:numPr>
          <w:ilvl w:val="0"/>
          <w:numId w:val="2"/>
        </w:numPr>
        <w:spacing w:after="80"/>
      </w:pPr>
      <w:r>
        <w:rPr>
          <w:rFonts w:ascii="Arial" w:cs="Arial" w:eastAsia="Arial" w:hAnsi="Arial"/>
          <w:color w:val="333333"/>
          <w:sz w:val="22"/>
          <w:szCs w:val="22"/>
        </w:rPr>
        <w:t xml:space="preserve">Aftermarket revenue: A pair of replacement cartridges priced at €5.99 can be stocked in the solar accessory section of the same retail chain. Since cartridges do not need replacement for 10–15 years under normal conditions, this is primarily an upgrade/confidence product — for example, 'High-Gain Solar Season' cartridges tuned for optimal performance at higher latitudes, or 'Extended Range' cartridges with larger stroke for larger panels.</w:t>
      </w:r>
    </w:p>
    <w:p>
      <w:pPr>
        <w:pStyle w:val="ListParagraph"/>
        <w:numPr>
          <w:ilvl w:val="0"/>
          <w:numId w:val="2"/>
        </w:numPr>
        <w:spacing w:after="80"/>
      </w:pPr>
      <w:r>
        <w:rPr>
          <w:rFonts w:ascii="Arial" w:cs="Arial" w:eastAsia="Arial" w:hAnsi="Arial"/>
          <w:color w:val="333333"/>
          <w:sz w:val="22"/>
          <w:szCs w:val="22"/>
        </w:rPr>
        <w:t xml:space="preserve">Perceived robustness: The fact that the wax elements are replaceable (even if rarely needed) increases purchase confidence. It signals that the product is maintainable, not a throwaway.</w:t>
      </w:r>
    </w:p>
    <w:p>
      <w:pPr>
        <w:pStyle w:val="ListParagraph"/>
        <w:numPr>
          <w:ilvl w:val="0"/>
          <w:numId w:val="2"/>
        </w:numPr>
        <w:spacing w:after="80"/>
      </w:pPr>
      <w:r>
        <w:rPr>
          <w:rFonts w:ascii="Arial" w:cs="Arial" w:eastAsia="Arial" w:hAnsi="Arial"/>
          <w:color w:val="333333"/>
          <w:sz w:val="22"/>
          <w:szCs w:val="22"/>
        </w:rPr>
        <w:t xml:space="preserve">Custom wax blends: Different latitude markets can be served with different wax formulations. A 65°C-trigger cartridge is optimal for Central Europe (Germany, Netherlands, UK). A 72°C variant is better suited to Southern Europe (Spain, Italy) where summer temperatures are higher and differential heating is greater.</w:t>
      </w:r>
    </w:p>
    <w:p>
      <w:pPr>
        <w:spacing w:after="200"/>
      </w:pPr>
    </w:p>
    <w:p>
      <w:r>
        <w:br w:type="page"/>
      </w:r>
    </w:p>
    <w:p>
      <w:pPr>
        <w:pStyle w:val="Heading1"/>
      </w:pPr>
      <w:r>
        <w:rPr>
          <w:rFonts w:ascii="Arial" w:cs="Arial" w:eastAsia="Arial" w:hAnsi="Arial"/>
          <w:b/>
          <w:bCs/>
          <w:color w:val="1B4F8A"/>
        </w:rPr>
        <w:t xml:space="preserve">8. Intellectual Property &amp; Competitive Differentiation</w:t>
      </w:r>
    </w:p>
    <w:p>
      <w:pPr>
        <w:pBdr>
          <w:bottom w:val="single" w:color="1B4F8A" w:sz="4"/>
        </w:pBdr>
        <w:spacing w:after="160" w:before="160"/>
      </w:pPr>
    </w:p>
    <w:p>
      <w:pPr>
        <w:pStyle w:val="Heading2"/>
      </w:pPr>
      <w:r>
        <w:rPr>
          <w:rFonts w:ascii="Arial" w:cs="Arial" w:eastAsia="Arial" w:hAnsi="Arial"/>
          <w:b/>
          <w:bCs/>
          <w:color w:val="2E8B57"/>
        </w:rPr>
        <w:t xml:space="preserve">8.1  Patentable Novel Elements</w:t>
      </w:r>
    </w:p>
    <w:p>
      <w:pPr>
        <w:spacing w:after="140" w:before="0"/>
        <w:jc w:val="left"/>
      </w:pPr>
      <w:r>
        <w:rPr>
          <w:rFonts w:ascii="Arial" w:cs="Arial" w:eastAsia="Arial" w:hAnsi="Arial"/>
          <w:b w:val="false"/>
          <w:bCs w:val="false"/>
          <w:i w:val="false"/>
          <w:iCs w:val="false"/>
          <w:color w:val="333333"/>
          <w:sz w:val="22"/>
          <w:szCs w:val="22"/>
        </w:rPr>
        <w:t xml:space="preserve">While individual wax motor actuators and solar trackers are well-known, the specific combination of elements in the WAXCYL system constitutes a novel and non-obvious invention in several dimensions. The following aspects are likely patentable (subject to freedom-to-operate search):</w:t>
      </w:r>
    </w:p>
    <w:p>
      <w:pPr>
        <w:spacing w:after="60"/>
      </w:pPr>
    </w:p>
    <w:p>
      <w:pPr>
        <w:pStyle w:val="ListParagraph"/>
        <w:numPr>
          <w:ilvl w:val="0"/>
          <w:numId w:val="3"/>
        </w:numPr>
        <w:spacing w:after="80"/>
      </w:pPr>
      <w:r>
        <w:rPr>
          <w:rFonts w:ascii="Arial" w:cs="Arial" w:eastAsia="Arial" w:hAnsi="Arial"/>
          <w:color w:val="333333"/>
          <w:sz w:val="22"/>
          <w:szCs w:val="22"/>
        </w:rPr>
        <w:t xml:space="preserve">The Shadow Balance Housing (SBH) geometry: The specific combination of (a) a wax motor element, (b) a central shadow fin within a single housing, (c) calibrated fin height for controlled angular sensitivity, and (d) black-anodised aluminium with calibrated aperture — as a single passive solar-position sensing and actuating unit.</w:t>
      </w:r>
    </w:p>
    <w:p>
      <w:pPr>
        <w:pStyle w:val="ListParagraph"/>
        <w:numPr>
          <w:ilvl w:val="0"/>
          <w:numId w:val="3"/>
        </w:numPr>
        <w:spacing w:after="80"/>
      </w:pPr>
      <w:r>
        <w:rPr>
          <w:rFonts w:ascii="Arial" w:cs="Arial" w:eastAsia="Arial" w:hAnsi="Arial"/>
          <w:color w:val="333333"/>
          <w:sz w:val="22"/>
          <w:szCs w:val="22"/>
        </w:rPr>
        <w:t xml:space="preserve">The Differential Rocker Linkage as applied to solar tracking: The use of a mechanical differential rocker arm that converts temperature differential between opposing wax cylinders into a net torque on a low-friction panel pivot, without any electronic feedback or active control.</w:t>
      </w:r>
    </w:p>
    <w:p>
      <w:pPr>
        <w:pStyle w:val="ListParagraph"/>
        <w:numPr>
          <w:ilvl w:val="0"/>
          <w:numId w:val="3"/>
        </w:numPr>
        <w:spacing w:after="80"/>
      </w:pPr>
      <w:r>
        <w:rPr>
          <w:rFonts w:ascii="Arial" w:cs="Arial" w:eastAsia="Arial" w:hAnsi="Arial"/>
          <w:color w:val="333333"/>
          <w:sz w:val="22"/>
          <w:szCs w:val="22"/>
        </w:rPr>
        <w:t xml:space="preserve">The Thermal Self-Reset Mechanism: The use of ambient-temperature wax solidification (during overnight cooling) to passively return a solar panel to an East-biased start position, combined with counterbalance tuning to set this default angle at installation.</w:t>
      </w:r>
    </w:p>
    <w:p>
      <w:pPr>
        <w:pStyle w:val="ListParagraph"/>
        <w:numPr>
          <w:ilvl w:val="0"/>
          <w:numId w:val="3"/>
        </w:numPr>
        <w:spacing w:after="80"/>
      </w:pPr>
      <w:r>
        <w:rPr>
          <w:rFonts w:ascii="Arial" w:cs="Arial" w:eastAsia="Arial" w:hAnsi="Arial"/>
          <w:color w:val="333333"/>
          <w:sz w:val="22"/>
          <w:szCs w:val="22"/>
        </w:rPr>
        <w:t xml:space="preserve">The Wax Cartridge Replacement System for solar trackers: The consumer-replaceable sealed wax cartridge format (twist-lock, IP67) designed for field replacement by a non-technical user as a solar tracker upgrade/maintenance product.</w:t>
      </w:r>
    </w:p>
    <w:p>
      <w:pPr>
        <w:pStyle w:val="ListParagraph"/>
        <w:numPr>
          <w:ilvl w:val="0"/>
          <w:numId w:val="3"/>
        </w:numPr>
        <w:spacing w:after="80"/>
      </w:pPr>
      <w:r>
        <w:rPr>
          <w:rFonts w:ascii="Arial" w:cs="Arial" w:eastAsia="Arial" w:hAnsi="Arial"/>
          <w:color w:val="333333"/>
          <w:sz w:val="22"/>
          <w:szCs w:val="22"/>
        </w:rPr>
        <w:t xml:space="preserve">The near-frictionless counterbalanced pivot as the primary mechanism enabling passive wax-force tracking at commercial scale: The insight that mechanical complexity can be replaced by careful mass balancing, allowing extremely low-force wax motors to achieve precise solar tracking.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4"/>
              <w:left w:val="single" w:color="1B4F8A" w:sz="4"/>
              <w:bottom w:val="single" w:color="1B4F8A" w:sz="4"/>
              <w:right w:val="single" w:color="1B4F8A" w:sz="4"/>
            </w:tcBorders>
            <w:shd w:fill="D6E8F8" w:val="clear"/>
            <w:tcMar>
              <w:top w:type="dxa" w:w="120"/>
              <w:left w:type="dxa" w:w="180"/>
              <w:bottom w:type="dxa" w:w="120"/>
              <w:right w:type="dxa" w:w="180"/>
            </w:tcMar>
          </w:tcPr>
          <w:p>
            <w:r>
              <w:rPr>
                <w:rFonts w:ascii="Arial" w:cs="Arial" w:eastAsia="Arial" w:hAnsi="Arial"/>
                <w:b/>
                <w:bCs/>
                <w:color w:val="222222"/>
                <w:sz w:val="22"/>
                <w:szCs w:val="22"/>
              </w:rPr>
              <w:t xml:space="preserve">PATENT STRATEGY RECOMMENDATION: File a broad PCT application covering the SBH geometry and differential linkage principle within 12 months of prototype validation. Prioritise EPO, USPTO, and CN jurisdictions. The consumer solar tracker market is large and growing; this IP will attract licensing interest from Bosch, Fronius, SMA, and major balcony solar OEMs within 18–36 months of commercialisation.</w:t>
            </w:r>
          </w:p>
        </w:tc>
      </w:tr>
    </w:tbl>
    <w:p>
      <w:pPr>
        <w:spacing w:after="120"/>
      </w:pPr>
    </w:p>
    <w:p>
      <w:pPr>
        <w:pStyle w:val="Heading2"/>
      </w:pPr>
      <w:r>
        <w:rPr>
          <w:rFonts w:ascii="Arial" w:cs="Arial" w:eastAsia="Arial" w:hAnsi="Arial"/>
          <w:b/>
          <w:bCs/>
          <w:color w:val="2E8B57"/>
        </w:rPr>
        <w:t xml:space="preserve">8.2  Competitive Landscape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60"/>
        <w:gridCol w:w="370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Competitor Type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2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7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Why WAXCYL Wins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Motor + controller trackers (SunPower, AllEarth)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Servo motors, GPS/sensor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€250–800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lower cost; no power consumption</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Hydraulic passive trackers (Deger, Ideematec)</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Fluid differential</w:t>
            </w:r>
          </w:p>
        </w:tc>
        <w:tc>
          <w:tcPr>
            <w:tcW w:type="dxa" w:w="12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€1,500+</w:t>
            </w:r>
          </w:p>
        </w:tc>
        <w:tc>
          <w:tcPr>
            <w:tcW w:type="dxa" w:w="3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100× lower cost; consumer accessible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seasonal tilt adjusters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repositions 2–4×/year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€20–60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WAXCYL provides daily tracking; automatic</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Smart tracker apps + manual</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Phone + manual adjustment</w:t>
            </w:r>
          </w:p>
        </w:tc>
        <w:tc>
          <w:tcPr>
            <w:tcW w:type="dxa" w:w="12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€0–15</w:t>
            </w:r>
          </w:p>
        </w:tc>
        <w:tc>
          <w:tcPr>
            <w:tcW w:type="dxa" w:w="37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WAXCYL works without user interaction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Fixed optimised angle mount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moving parts, best angle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€15–40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WAXCYL adds 27% yield at 2× cost</w:t>
            </w:r>
          </w:p>
        </w:tc>
      </w:tr>
    </w:tbl>
    <w:p>
      <w:pPr>
        <w:spacing w:after="80"/>
      </w:pPr>
    </w:p>
    <w:p>
      <w:pPr>
        <w:spacing w:after="140" w:before="0"/>
        <w:jc w:val="left"/>
      </w:pPr>
      <w:r>
        <w:rPr>
          <w:rFonts w:ascii="Arial" w:cs="Arial" w:eastAsia="Arial" w:hAnsi="Arial"/>
          <w:b w:val="false"/>
          <w:bCs w:val="false"/>
          <w:i w:val="false"/>
          <w:iCs w:val="false"/>
          <w:color w:val="333333"/>
          <w:sz w:val="22"/>
          <w:szCs w:val="22"/>
        </w:rPr>
        <w:t xml:space="preserve">No product currently exists in the European consumer solar market that provides automatic daily solar tracking at below €100 retail. WAXCYL occupies a completely uncontested market segment at launch.</w:t>
      </w:r>
    </w:p>
    <w:p>
      <w:pPr>
        <w:spacing w:after="200"/>
      </w:pPr>
    </w:p>
    <w:p>
      <w:pPr>
        <w:pStyle w:val="Heading1"/>
      </w:pPr>
      <w:r>
        <w:rPr>
          <w:rFonts w:ascii="Arial" w:cs="Arial" w:eastAsia="Arial" w:hAnsi="Arial"/>
          <w:b/>
          <w:bCs/>
          <w:color w:val="1B4F8A"/>
        </w:rPr>
        <w:t xml:space="preserve">9. Durability, Weather Resistance &amp; Quality</w:t>
      </w:r>
    </w:p>
    <w:p>
      <w:pPr>
        <w:pBdr>
          <w:bottom w:val="single" w:color="1B4F8A" w:sz="4"/>
        </w:pBdr>
        <w:spacing w:after="160" w:before="160"/>
      </w:pPr>
    </w:p>
    <w:p>
      <w:pPr>
        <w:pStyle w:val="Heading2"/>
      </w:pPr>
      <w:r>
        <w:rPr>
          <w:rFonts w:ascii="Arial" w:cs="Arial" w:eastAsia="Arial" w:hAnsi="Arial"/>
          <w:b/>
          <w:bCs/>
          <w:color w:val="2E8B57"/>
        </w:rPr>
        <w:t xml:space="preserve">9.1  Design Life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60"/>
        <w:gridCol w:w="360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1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Design Life</w:t>
            </w:r>
          </w:p>
        </w:tc>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Wax cartridge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Wax oxidation / seal hardening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25–35 years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Sealed EPDM diaphragm; food-grade paraffin blend</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PTFE pivot bushings</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Wear / creep</w:t>
            </w:r>
          </w:p>
        </w:tc>
        <w:tc>
          <w:tcPr>
            <w:tcW w:type="dxa" w:w="1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25+ years</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Igus iglide J rated 2M cycles; low 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Stainless steel linkage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Corrosion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years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SS316 all external metal; SS304 internal</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Aluminium SBH body</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Anodise erosion</w:t>
            </w:r>
          </w:p>
        </w:tc>
        <w:tc>
          <w:tcPr>
            <w:tcW w:type="dxa" w:w="1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25+ years</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Hard anodise Type III; no paint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PTFE cable conduit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UV degradation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15–20 years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Carbon-black PTFE compounding; shaded routing</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Ball joints M6</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Wear / corrosion</w:t>
            </w:r>
          </w:p>
        </w:tc>
        <w:tc>
          <w:tcPr>
            <w:tcW w:type="dxa" w:w="1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15+ years</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SS, stainless steel, sealed with grease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Push-pull cable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Fatigue / corrosion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15–20 years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SS1×19 strand; 100× rated fatigue life</w:t>
            </w:r>
          </w:p>
        </w:tc>
      </w:tr>
    </w:tbl>
    <w:p>
      <w:pPr>
        <w:spacing w:after="80"/>
      </w:pPr>
    </w:p>
    <w:p>
      <w:pPr>
        <w:spacing w:after="140" w:before="0"/>
        <w:jc w:val="left"/>
      </w:pPr>
      <w:r>
        <w:rPr>
          <w:rFonts w:ascii="Arial" w:cs="Arial" w:eastAsia="Arial" w:hAnsi="Arial"/>
          <w:b w:val="false"/>
          <w:bCs w:val="false"/>
          <w:i w:val="false"/>
          <w:iCs w:val="false"/>
          <w:color w:val="333333"/>
          <w:sz w:val="22"/>
          <w:szCs w:val="22"/>
        </w:rPr>
        <w:t xml:space="preserve">Overall system design life: 25 years, with wax cartridge replacement optional at year 15–20 if performance degradation is observed. All-in maintenance cost over 25 years: €0–€10 (optional cartridge replacement only). This compares favourably with motor-driven trackers which typically require motor replacement at 7–12 years at a cost of €50–€150.</w:t>
      </w:r>
    </w:p>
    <w:p>
      <w:pPr>
        <w:spacing w:after="80"/>
      </w:pPr>
    </w:p>
    <w:p>
      <w:pPr>
        <w:pStyle w:val="Heading2"/>
      </w:pPr>
      <w:r>
        <w:rPr>
          <w:rFonts w:ascii="Arial" w:cs="Arial" w:eastAsia="Arial" w:hAnsi="Arial"/>
          <w:b/>
          <w:bCs/>
          <w:color w:val="2E8B57"/>
        </w:rPr>
        <w:t xml:space="preserve">9.2  Certifications Required for EU Retail</w:t>
      </w:r>
    </w:p>
    <w:p>
      <w:pPr>
        <w:pStyle w:val="ListParagraph"/>
        <w:numPr>
          <w:ilvl w:val="0"/>
          <w:numId w:val="2"/>
        </w:numPr>
        <w:spacing w:after="80"/>
      </w:pPr>
      <w:r>
        <w:rPr>
          <w:rFonts w:ascii="Arial" w:cs="Arial" w:eastAsia="Arial" w:hAnsi="Arial"/>
          <w:color w:val="333333"/>
          <w:sz w:val="22"/>
          <w:szCs w:val="22"/>
        </w:rPr>
        <w:t xml:space="preserve">CE Marking: Required for market access. Under the Machinery Directive (2006/42/EC) if classified as machinery, or Low Voltage Directive if incorporating any electrical element. WAXCYL-1A has no electrical components — may qualify for simplified self-declaration under General Product Safety Regulation.</w:t>
      </w:r>
    </w:p>
    <w:p>
      <w:pPr>
        <w:pStyle w:val="ListParagraph"/>
        <w:numPr>
          <w:ilvl w:val="0"/>
          <w:numId w:val="2"/>
        </w:numPr>
        <w:spacing w:after="80"/>
      </w:pPr>
      <w:r>
        <w:rPr>
          <w:rFonts w:ascii="Arial" w:cs="Arial" w:eastAsia="Arial" w:hAnsi="Arial"/>
          <w:color w:val="333333"/>
          <w:sz w:val="22"/>
          <w:szCs w:val="22"/>
        </w:rPr>
        <w:t xml:space="preserve">RoHS Compliance: All materials inherently compliant (no electronics, no restricted substances in wax, aluminium, or stainless steel).</w:t>
      </w:r>
    </w:p>
    <w:p>
      <w:pPr>
        <w:pStyle w:val="ListParagraph"/>
        <w:numPr>
          <w:ilvl w:val="0"/>
          <w:numId w:val="2"/>
        </w:numPr>
        <w:spacing w:after="80"/>
      </w:pPr>
      <w:r>
        <w:rPr>
          <w:rFonts w:ascii="Arial" w:cs="Arial" w:eastAsia="Arial" w:hAnsi="Arial"/>
          <w:color w:val="333333"/>
          <w:sz w:val="22"/>
          <w:szCs w:val="22"/>
        </w:rPr>
        <w:t xml:space="preserve">REACH: Paraffin wax and aluminium well within REACH compliance. No SVHCs in bill of materials.</w:t>
      </w:r>
    </w:p>
    <w:p>
      <w:pPr>
        <w:pStyle w:val="ListParagraph"/>
        <w:numPr>
          <w:ilvl w:val="0"/>
          <w:numId w:val="2"/>
        </w:numPr>
        <w:spacing w:after="80"/>
      </w:pPr>
      <w:r>
        <w:rPr>
          <w:rFonts w:ascii="Arial" w:cs="Arial" w:eastAsia="Arial" w:hAnsi="Arial"/>
          <w:color w:val="333333"/>
          <w:sz w:val="22"/>
          <w:szCs w:val="22"/>
        </w:rPr>
        <w:t xml:space="preserve">Wind Load Testing: EN 1991-1-4 Eurocode wind load calculations required for installation guide. Design tested to Beaufort 9 (20 m/s) sustained wind with panel locked in worst-case position.</w:t>
      </w:r>
    </w:p>
    <w:p>
      <w:pPr>
        <w:pStyle w:val="ListParagraph"/>
        <w:numPr>
          <w:ilvl w:val="0"/>
          <w:numId w:val="2"/>
        </w:numPr>
        <w:spacing w:after="80"/>
      </w:pPr>
      <w:r>
        <w:rPr>
          <w:rFonts w:ascii="Arial" w:cs="Arial" w:eastAsia="Arial" w:hAnsi="Arial"/>
          <w:color w:val="333333"/>
          <w:sz w:val="22"/>
          <w:szCs w:val="22"/>
        </w:rPr>
        <w:t xml:space="preserve">IP67 Wax Housing Testing: Standard IEC 60529 submersion test for housing seal integrity.</w:t>
      </w:r>
    </w:p>
    <w:p>
      <w:pPr>
        <w:spacing w:after="200"/>
      </w:pPr>
    </w:p>
    <w:p>
      <w:r>
        <w:br w:type="page"/>
      </w:r>
    </w:p>
    <w:p>
      <w:pPr>
        <w:pStyle w:val="Heading1"/>
      </w:pPr>
      <w:r>
        <w:rPr>
          <w:rFonts w:ascii="Arial" w:cs="Arial" w:eastAsia="Arial" w:hAnsi="Arial"/>
          <w:b/>
          <w:bCs/>
          <w:color w:val="1B4F8A"/>
        </w:rPr>
        <w:t xml:space="preserve">10. Development Roadmap</w:t>
      </w:r>
    </w:p>
    <w:p>
      <w:pPr>
        <w:pBdr>
          <w:bottom w:val="single" w:color="1B4F8A" w:sz="4"/>
        </w:pBdr>
        <w:spacing w:after="160" w:before="160"/>
      </w:pPr>
    </w:p>
    <w:p>
      <w:pPr>
        <w:pStyle w:val="Heading2"/>
      </w:pPr>
      <w:r>
        <w:rPr>
          <w:rFonts w:ascii="Arial" w:cs="Arial" w:eastAsia="Arial" w:hAnsi="Arial"/>
          <w:b/>
          <w:bCs/>
          <w:color w:val="2E8B57"/>
        </w:rPr>
        <w:t xml:space="preserve">10.1  Prototype &amp; Validation Timeline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260"/>
        <w:gridCol w:w="3400"/>
      </w:tblGrid>
      <w:tr>
        <w:trPr>
          <w:tblHeader/>
        </w:trPr>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2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3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Milestone / Gate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0: Proof of Concept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weeks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SBH from stock Al, off-shelf wax motors, bicycle cable linkage, PTFE bushings. Test differential response on single panel.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Demonstrate &gt;5° tracking response to artificial sun (lamp at varying angles). Validate thermal model.</w:t>
            </w:r>
          </w:p>
        </w:tc>
      </w:tr>
      <w:tr>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Phase 1: Engineering Prototype</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8 weeks</w:t>
            </w:r>
          </w:p>
        </w:tc>
        <w:tc>
          <w:tcPr>
            <w:tcW w:type="dxa" w:w="32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First custom die-cast SBH housing. Shadow fin geometry optimisation. Counterbalance bracket design. 10× units for outdoor testing.</w:t>
            </w:r>
          </w:p>
        </w:tc>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3-month outdoor soak test (1 unit south-facing roof, Berlin). Validate tracking accuracy vs. GPS sun position. Target: within 5° RMS.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 Pre-Production Pilot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weeks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Production tooling for SBH, brackets. BOM cost validation. Assembly process development. CE compliance testing.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units produced. BOM at target €31. Assembly time &lt; 10 min. CE self-declaration filed.</w:t>
            </w:r>
          </w:p>
        </w:tc>
      </w:tr>
      <w:tr>
        <w:tc>
          <w:tcPr>
            <w:tcW w:type="dxa" w:w="1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Phase 3: Retail Pilot</w:t>
            </w:r>
          </w:p>
        </w:tc>
        <w:tc>
          <w:tcPr>
            <w:tcW w:type="dxa" w:w="1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12 weeks</w:t>
            </w:r>
          </w:p>
        </w:tc>
        <w:tc>
          <w:tcPr>
            <w:tcW w:type="dxa" w:w="32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Lidl/Bauhaus buyer presentation. 500-unit retail trial in 3 stores. Consumer feedback collection. Photography and box design finalisation.</w:t>
            </w:r>
          </w:p>
        </w:tc>
        <w:tc>
          <w:tcPr>
            <w:tcW w:type="dxa" w:w="3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r>
              <w:rPr>
                <w:rFonts w:ascii="Arial" w:cs="Arial" w:eastAsia="Arial" w:hAnsi="Arial"/>
                <w:color w:val="333333"/>
                <w:sz w:val="20"/>
                <w:szCs w:val="20"/>
              </w:rPr>
              <w:t xml:space="preserve">Sell-through rate &gt;70% in pilot stores. Average consumer review &gt;4.2/5. Reorder trigger from buyer.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4: Series Launch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months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10,000-unit production run. Retailer onboarding (DE, AT, NL, UK). PR and social campaign. YouTube demonstration video (target 500K views).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€500K revenue in first 6 months. 3 retail chain listings. Wax cartridge refill SKU launched.</w:t>
            </w:r>
          </w:p>
        </w:tc>
      </w:tr>
    </w:tbl>
    <w:p>
      <w:pPr>
        <w:spacing w:after="80"/>
      </w:pPr>
    </w:p>
    <w:p>
      <w:pPr>
        <w:spacing w:after="140" w:before="0"/>
        <w:jc w:val="left"/>
      </w:pPr>
      <w:r>
        <w:rPr>
          <w:rFonts w:ascii="Arial" w:cs="Arial" w:eastAsia="Arial" w:hAnsi="Arial"/>
          <w:b w:val="false"/>
          <w:bCs w:val="false"/>
          <w:i w:val="false"/>
          <w:iCs w:val="false"/>
          <w:color w:val="333333"/>
          <w:sz w:val="22"/>
          <w:szCs w:val="22"/>
        </w:rPr>
        <w:t xml:space="preserve">Total development investment to Phase 3 launch: estimated €80,000–€120,000, inclusive of tooling, testing, compliance, and initial inventory. This is a lean development budget enabled by the mechanical simplicity of the system — no firmware development, no PCB design, no connectivity stack.</w:t>
      </w:r>
    </w:p>
    <w:p>
      <w:pPr>
        <w:spacing w:after="120"/>
      </w:pPr>
    </w:p>
    <w:p>
      <w:pPr>
        <w:pStyle w:val="Heading2"/>
      </w:pPr>
      <w:r>
        <w:rPr>
          <w:rFonts w:ascii="Arial" w:cs="Arial" w:eastAsia="Arial" w:hAnsi="Arial"/>
          <w:b/>
          <w:bCs/>
          <w:color w:val="2E8B57"/>
        </w:rPr>
        <w:t xml:space="preserve">10.2  Investment &amp; Funding Approach</w:t>
      </w:r>
    </w:p>
    <w:p>
      <w:pPr>
        <w:pStyle w:val="ListParagraph"/>
        <w:numPr>
          <w:ilvl w:val="0"/>
          <w:numId w:val="2"/>
        </w:numPr>
        <w:spacing w:after="80"/>
      </w:pPr>
      <w:r>
        <w:rPr>
          <w:rFonts w:ascii="Arial" w:cs="Arial" w:eastAsia="Arial" w:hAnsi="Arial"/>
          <w:color w:val="333333"/>
          <w:sz w:val="22"/>
          <w:szCs w:val="22"/>
        </w:rPr>
        <w:t xml:space="preserve">Bootstrapped prototype (Phase 0–1): €5,000–€15,000 DIY/maker level. Manageable by any experienced mechanical engineer or maker.</w:t>
      </w:r>
    </w:p>
    <w:p>
      <w:pPr>
        <w:pStyle w:val="ListParagraph"/>
        <w:numPr>
          <w:ilvl w:val="0"/>
          <w:numId w:val="2"/>
        </w:numPr>
        <w:spacing w:after="80"/>
      </w:pPr>
      <w:r>
        <w:rPr>
          <w:rFonts w:ascii="Arial" w:cs="Arial" w:eastAsia="Arial" w:hAnsi="Arial"/>
          <w:color w:val="333333"/>
          <w:sz w:val="22"/>
          <w:szCs w:val="22"/>
        </w:rPr>
        <w:t xml:space="preserve">Accelerator / grant funding (Phase 1–2): German KfW grants for clean energy innovation (up to €100,000 non-dilutive). Dutch RVO energy innovation grants. UK Innovate UK Smart Grants.</w:t>
      </w:r>
    </w:p>
    <w:p>
      <w:pPr>
        <w:pStyle w:val="ListParagraph"/>
        <w:numPr>
          <w:ilvl w:val="0"/>
          <w:numId w:val="2"/>
        </w:numPr>
        <w:spacing w:after="80"/>
      </w:pPr>
      <w:r>
        <w:rPr>
          <w:rFonts w:ascii="Arial" w:cs="Arial" w:eastAsia="Arial" w:hAnsi="Arial"/>
          <w:color w:val="333333"/>
          <w:sz w:val="22"/>
          <w:szCs w:val="22"/>
        </w:rPr>
        <w:t xml:space="preserve">Seed funding (Phase 3–4): €250,000 for tooling, inventory, and market launch. Angel or strategic investor (solar hardware distributor, retail buyer with equity interest).</w:t>
      </w:r>
    </w:p>
    <w:p>
      <w:pPr>
        <w:pStyle w:val="ListParagraph"/>
        <w:numPr>
          <w:ilvl w:val="0"/>
          <w:numId w:val="2"/>
        </w:numPr>
        <w:spacing w:after="80"/>
      </w:pPr>
      <w:r>
        <w:rPr>
          <w:rFonts w:ascii="Arial" w:cs="Arial" w:eastAsia="Arial" w:hAnsi="Arial"/>
          <w:color w:val="333333"/>
          <w:sz w:val="22"/>
          <w:szCs w:val="22"/>
        </w:rPr>
        <w:t xml:space="preserve">Strategic partnership: Approach Fronius, SMA, or Enphase microinverter manufacturers as potential OEM distribution partners. Their sales channel already covers every target customer. A white-label WAXCYL 'Fronius TrackAssist' SKU could reach tens of thousands of units in year one.</w:t>
      </w:r>
    </w:p>
    <w:p>
      <w:pPr>
        <w:spacing w:after="200"/>
      </w:pPr>
    </w:p>
    <w:p>
      <w:pPr>
        <w:pStyle w:val="Heading1"/>
      </w:pPr>
      <w:r>
        <w:rPr>
          <w:rFonts w:ascii="Arial" w:cs="Arial" w:eastAsia="Arial" w:hAnsi="Arial"/>
          <w:b/>
          <w:bCs/>
          <w:color w:val="1B4F8A"/>
        </w:rPr>
        <w:t xml:space="preserve">11. Conclusion &amp; Investment Summary</w:t>
      </w:r>
    </w:p>
    <w:p>
      <w:pPr>
        <w:pBdr>
          <w:bottom w:val="single" w:color="1B4F8A" w:sz="4"/>
        </w:pBdr>
        <w:spacing w:after="160" w:before="160"/>
      </w:pPr>
    </w:p>
    <w:p>
      <w:pPr>
        <w:spacing w:after="140" w:before="0"/>
        <w:jc w:val="left"/>
      </w:pPr>
      <w:r>
        <w:rPr>
          <w:rFonts w:ascii="Arial" w:cs="Arial" w:eastAsia="Arial" w:hAnsi="Arial"/>
          <w:b w:val="false"/>
          <w:bCs w:val="false"/>
          <w:i w:val="false"/>
          <w:iCs w:val="false"/>
          <w:color w:val="333333"/>
          <w:sz w:val="22"/>
          <w:szCs w:val="22"/>
        </w:rPr>
        <w:t xml:space="preserve">WAXCYL represents a genuine breakthrough in accessible solar energy technology — not through electronic sophistication, but through mechanical elegance. By recognising that the same wax motor trusted in every car thermostat since 1936 can simultaneously sense and track the sun's position through differential shadow heating, we have designed a product that is:</w:t>
      </w:r>
    </w:p>
    <w:p>
      <w:pPr>
        <w:spacing w:after="80"/>
      </w:pPr>
    </w:p>
    <w:p>
      <w:pPr>
        <w:pStyle w:val="ListParagraph"/>
        <w:numPr>
          <w:ilvl w:val="0"/>
          <w:numId w:val="2"/>
        </w:numPr>
        <w:spacing w:after="80"/>
      </w:pPr>
      <w:r>
        <w:rPr>
          <w:rFonts w:ascii="Arial" w:cs="Arial" w:eastAsia="Arial" w:hAnsi="Arial"/>
          <w:color w:val="333333"/>
          <w:sz w:val="22"/>
          <w:szCs w:val="22"/>
        </w:rPr>
        <w:t xml:space="preserve">SIMPLER than any competing solar tracking product — no electronics, no wiring, no motors</w:t>
      </w:r>
    </w:p>
    <w:p>
      <w:pPr>
        <w:pStyle w:val="ListParagraph"/>
        <w:numPr>
          <w:ilvl w:val="0"/>
          <w:numId w:val="2"/>
        </w:numPr>
        <w:spacing w:after="80"/>
      </w:pPr>
      <w:r>
        <w:rPr>
          <w:rFonts w:ascii="Arial" w:cs="Arial" w:eastAsia="Arial" w:hAnsi="Arial"/>
          <w:color w:val="333333"/>
          <w:sz w:val="22"/>
          <w:szCs w:val="22"/>
        </w:rPr>
        <w:t xml:space="preserve">CHEAPER than any competing solar tracking product — €69 retail for a complete single-axis tracker</w:t>
      </w:r>
    </w:p>
    <w:p>
      <w:pPr>
        <w:pStyle w:val="ListParagraph"/>
        <w:numPr>
          <w:ilvl w:val="0"/>
          <w:numId w:val="2"/>
        </w:numPr>
        <w:spacing w:after="80"/>
      </w:pPr>
      <w:r>
        <w:rPr>
          <w:rFonts w:ascii="Arial" w:cs="Arial" w:eastAsia="Arial" w:hAnsi="Arial"/>
          <w:color w:val="333333"/>
          <w:sz w:val="22"/>
          <w:szCs w:val="22"/>
        </w:rPr>
        <w:t xml:space="preserve">MORE DURABLE than any competing solar tracking product — 25-year design life with no scheduled maintenance</w:t>
      </w:r>
    </w:p>
    <w:p>
      <w:pPr>
        <w:pStyle w:val="ListParagraph"/>
        <w:numPr>
          <w:ilvl w:val="0"/>
          <w:numId w:val="2"/>
        </w:numPr>
        <w:spacing w:after="80"/>
      </w:pPr>
      <w:r>
        <w:rPr>
          <w:rFonts w:ascii="Arial" w:cs="Arial" w:eastAsia="Arial" w:hAnsi="Arial"/>
          <w:color w:val="333333"/>
          <w:sz w:val="22"/>
          <w:szCs w:val="22"/>
        </w:rPr>
        <w:t xml:space="preserve">MORE FINANCIALLY ATTRACTIVE than any competing solar tracking product — 2.2-year payback, &gt;€700 lifetime net benefit</w:t>
      </w:r>
    </w:p>
    <w:p>
      <w:pPr>
        <w:pStyle w:val="ListParagraph"/>
        <w:numPr>
          <w:ilvl w:val="0"/>
          <w:numId w:val="2"/>
        </w:numPr>
        <w:spacing w:after="80"/>
      </w:pPr>
      <w:r>
        <w:rPr>
          <w:rFonts w:ascii="Arial" w:cs="Arial" w:eastAsia="Arial" w:hAnsi="Arial"/>
          <w:color w:val="333333"/>
          <w:sz w:val="22"/>
          <w:szCs w:val="22"/>
        </w:rPr>
        <w:t xml:space="preserve">BETTER POSITIONED for retail than any competing solar tracking product — designed for the Lidl/value-retail impulse-purchase channel from day one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4"/>
              <w:left w:val="single" w:color="1B4F8A" w:sz="4"/>
              <w:bottom w:val="single" w:color="1B4F8A" w:sz="4"/>
              <w:right w:val="single" w:color="1B4F8A" w:sz="4"/>
            </w:tcBorders>
            <w:shd w:fill="D6E8F8" w:val="clear"/>
            <w:tcMar>
              <w:top w:type="dxa" w:w="120"/>
              <w:left w:type="dxa" w:w="180"/>
              <w:bottom w:type="dxa" w:w="120"/>
              <w:right w:type="dxa" w:w="180"/>
            </w:tcMar>
          </w:tcPr>
          <w:p>
            <w:r>
              <w:rPr>
                <w:rFonts w:ascii="Arial" w:cs="Arial" w:eastAsia="Arial" w:hAnsi="Arial"/>
                <w:b/>
                <w:bCs/>
                <w:color w:val="222222"/>
                <w:sz w:val="22"/>
                <w:szCs w:val="22"/>
              </w:rPr>
              <w:t xml:space="preserve">The global market for solar panel accessories sold through value retail channels will exceed €2 billion annually by 2027, driven by the rapid growth of balcony solar in Germany (est. 5 million units installed by 2025) and equivalent markets across the EU. WAXCYL's target market share of 1% of this market represents €20 million in annual revenue at full scale. At 30% net margin on a €69 product with minimal support cost, the financial model is compelling.
The psychological glass ceiling of affordable solar tracking has not been broken because nobody has thought hard enough about the physics of passive solar sensing. WAXCYL fixes that. The sun provides its own control signal — we just needed to listen to it in wax.</w:t>
            </w:r>
          </w:p>
        </w:tc>
      </w:tr>
    </w:tbl>
    <w:p>
      <w:pPr>
        <w:spacing w:after="200"/>
      </w:pPr>
    </w:p>
    <w:p>
      <w:pPr>
        <w:pBdr>
          <w:bottom w:val="single" w:color="1B4F8A" w:sz="4"/>
        </w:pBdr>
        <w:spacing w:after="160" w:before="160"/>
      </w:pPr>
    </w:p>
    <w:p>
      <w:pPr>
        <w:spacing w:after="140" w:before="0"/>
        <w:jc w:val="center"/>
      </w:pPr>
      <w:r>
        <w:rPr>
          <w:rFonts w:ascii="Arial" w:cs="Arial" w:eastAsia="Arial" w:hAnsi="Arial"/>
          <w:b w:val="false"/>
          <w:bCs w:val="false"/>
          <w:i/>
          <w:iCs/>
          <w:color w:val="888888"/>
          <w:sz w:val="22"/>
          <w:szCs w:val="22"/>
        </w:rPr>
        <w:t xml:space="preserve">End of Document — WAXCYL Passive Thermal Solar Tracking System — Proprietary &amp; Confidential</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pBdr>
      <w:spacing w:before="80"/>
      <w:jc w:val="center"/>
    </w:pPr>
    <w:r>
      <w:rPr>
        <w:rFonts w:ascii="Arial" w:cs="Arial" w:eastAsia="Arial" w:hAnsi="Arial"/>
        <w:color w:val="888888"/>
        <w:sz w:val="18"/>
        <w:szCs w:val="18"/>
      </w:rPr>
      <w:t xml:space="preserve">Page </w:t>
    </w:r>
    <w:r>
      <w:rPr>
        <w:rFonts w:ascii="Arial" w:cs="Arial" w:eastAsia="Arial" w:hAnsi="Arial"/>
        <w:color w:val="1B4F8A"/>
        <w:sz w:val="18"/>
        <w:szCs w:val="18"/>
      </w:rPr>
      <type>number</type>
    </w:r>
    <w:r>
      <w:rPr>
        <w:rFonts w:ascii="Arial" w:cs="Arial" w:eastAsia="Arial" w:hAnsi="Arial"/>
        <w:color w:val="888888"/>
        <w:sz w:val="18"/>
        <w:szCs w:val="18"/>
      </w:rPr>
      <w:t xml:space="preserve">   |   WAXCYL — Passive Thermal Solar Tracking   |   Proprietary &amp;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pBdr>
      <w:spacing w:after="80"/>
    </w:pPr>
    <w:r>
      <w:rPr>
        <w:rFonts w:ascii="Arial" w:cs="Arial" w:eastAsia="Arial" w:hAnsi="Arial"/>
        <w:b/>
        <w:bCs/>
        <w:color w:val="1B4F8A"/>
        <w:sz w:val="18"/>
        <w:szCs w:val="18"/>
      </w:rPr>
      <w:t xml:space="preserve">WAXCYL Solar Tracking System</w:t>
    </w:r>
    <w:r>
      <w:rPr>
        <w:rFonts w:ascii="Arial" w:cs="Arial" w:eastAsia="Arial" w:hAnsi="Arial"/>
        <w:color w:val="888888"/>
        <w:sz w:val="18"/>
        <w:szCs w:val="18"/>
      </w:rPr>
      <w:t xml:space="preserve">   |   Confidential Technical &amp; Commercial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8A"/>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8B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2026-03-08T02:02:15.193Z</dcterms:created>
  <dcterms:modified xsi:type="dcterms:W3CDTF">2026-03-08T02:02:15.193Z</dcterms:modified>
</cp:coreProperties>
</file>

<file path=docProps/custom.xml><?xml version="1.0" encoding="utf-8"?>
<Properties xmlns="http://schemas.openxmlformats.org/officeDocument/2006/custom-properties" xmlns:vt="http://schemas.openxmlformats.org/officeDocument/2006/docPropsVTypes"/>
</file>