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Bahnschrift SemiBold" w:hAnsi="Bahnschrift SemiBold"/>
          <w:b/>
          <w:sz w:val="28"/>
          <w:u w:val="none"/>
          <w:spacing w:val="12"/>
        </w:rPr>
        <w:t>WYKAZ ZMIAN DANYCH EWIDENCYJNYCH DOTYCZĄCYCH DZIAŁKI EWIDENCYJNEJ</w:t>
      </w:r>
    </w:p>
    <w:p>
      <w:pPr>
        <w:keepNext/>
        <w:spacing w:before="0"/>
        <w:jc w:val="center"/>
      </w:pPr>
      <w:r>
        <w:rPr>
          <w:rFonts w:ascii="Bahnschrift SemiBold" w:hAnsi="Bahnschrift SemiBold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Bahnschrift SemiBold" w:hAnsi="Bahnschrift SemiBold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Nr działki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Bahnschrift SemiBold" w:hAnsi="Bahnschrift SemiBold"/>
          <w:b w:val="0"/>
          <w:sz w:val="20"/>
          <w:u w:val="none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hnschrift SemiBold" w:hAnsi="Bahnschrift SemiBol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