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Bahnschrift SemiBold" w:hAnsi="Bahnschrift SemiBold"/>
          <w:b/>
          <w:spacing w:val="12"/>
          <w:sz w:val="28"/>
          <w:u w:val="none"/>
        </w:rPr>
        <w:t>WYKAZ ZMIAN DANYCH EWIDENCYJNYCH DOTYCZĄCYCH BUDYNKU</w:t>
      </w:r>
    </w:p>
    <w:p>
      <w:pPr>
        <w:keepNext/>
        <w:spacing w:before="0"/>
        <w:jc w:val="center"/>
      </w:pPr>
      <w:r>
        <w:rPr>
          <w:rFonts w:ascii="Bahnschrift SemiBold" w:hAnsi="Bahnschrift SemiBold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Bahnschrift SemiBold" w:hAnsi="Bahnschrift SemiBold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Oznaczenie budynku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Bahnschrift SemiBold" w:hAnsi="Bahnschrift SemiBold"/>
          <w:b w:val="0"/>
          <w:sz w:val="20"/>
          <w:u w:val="none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hnschrift SemiBold" w:hAnsi="Bahnschrift SemiBol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