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ws-cdk-tokens-guide"/>
    <w:p>
      <w:pPr>
        <w:pStyle w:val="Heading1"/>
      </w:pPr>
      <w:r>
        <w:t xml:space="preserve">AWS CDK Tokens Guide</w:t>
      </w:r>
    </w:p>
    <w:p>
      <w:pPr>
        <w:pStyle w:val="FirstParagraph"/>
      </w:pPr>
      <w:r>
        <w:t xml:space="preserve">This section covers AWS CDK tokens in detail, split into logical learning modules for better understanding.</w:t>
      </w:r>
    </w:p>
    <w:bookmarkStart w:id="28" w:name="learning-path"/>
    <w:p>
      <w:pPr>
        <w:pStyle w:val="Heading2"/>
      </w:pPr>
      <w:r>
        <w:t xml:space="preserve">Learning Path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Cs/>
            <w:b/>
          </w:rPr>
          <w:t xml:space="preserve">Tokens Introduction</w:t>
        </w:r>
      </w:hyperlink>
      <w:r>
        <w:t xml:space="preserve"> </w:t>
      </w:r>
      <w:r>
        <w:t xml:space="preserve">- What are tokens and why are they important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Cs/>
            <w:b/>
          </w:rPr>
          <w:t xml:space="preserve">Tokens Examples</w:t>
        </w:r>
      </w:hyperlink>
      <w:r>
        <w:t xml:space="preserve"> </w:t>
      </w:r>
      <w:r>
        <w:t xml:space="preserve">- Basic examples of working with tokens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  <w:bCs/>
            <w:b/>
          </w:rPr>
          <w:t xml:space="preserve">Passing Tokens</w:t>
        </w:r>
      </w:hyperlink>
      <w:r>
        <w:t xml:space="preserve"> </w:t>
      </w:r>
      <w:r>
        <w:t xml:space="preserve">- How to pass tokens between constructs and stacks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  <w:bCs/>
            <w:b/>
          </w:rPr>
          <w:t xml:space="preserve">How Tokens Work</w:t>
        </w:r>
      </w:hyperlink>
      <w:r>
        <w:t xml:space="preserve"> </w:t>
      </w:r>
      <w:r>
        <w:t xml:space="preserve">- Understanding token encoding and resolution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  <w:bCs/>
            <w:b/>
          </w:rPr>
          <w:t xml:space="preserve">String Tokens</w:t>
        </w:r>
      </w:hyperlink>
      <w:r>
        <w:t xml:space="preserve"> </w:t>
      </w:r>
      <w:r>
        <w:t xml:space="preserve">- Working with string-based tokens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  <w:bCs/>
            <w:b/>
          </w:rPr>
          <w:t xml:space="preserve">List Tokens</w:t>
        </w:r>
      </w:hyperlink>
      <w:r>
        <w:t xml:space="preserve"> </w:t>
      </w:r>
      <w:r>
        <w:t xml:space="preserve">- Working with list/array tokens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  <w:bCs/>
            <w:b/>
          </w:rPr>
          <w:t xml:space="preserve">Number Tokens</w:t>
        </w:r>
      </w:hyperlink>
      <w:r>
        <w:t xml:space="preserve"> </w:t>
      </w:r>
      <w:r>
        <w:t xml:space="preserve">- Working with numeric tokens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  <w:bCs/>
            <w:b/>
          </w:rPr>
          <w:t xml:space="preserve">Advanced Token Topics</w:t>
        </w:r>
      </w:hyperlink>
      <w:r>
        <w:t xml:space="preserve"> </w:t>
      </w:r>
      <w:r>
        <w:t xml:space="preserve">- Lazy tokens, JSON tokens, and advanced patterns</w:t>
      </w:r>
    </w:p>
    <w:bookmarkEnd w:id="28"/>
    <w:bookmarkStart w:id="29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If you’re new to tokens, start with the</w:t>
      </w:r>
      <w:r>
        <w:t xml:space="preserve"> </w:t>
      </w:r>
      <w:hyperlink r:id="rId20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Examples</w:t>
        </w:r>
      </w:hyperlink>
      <w:r>
        <w:t xml:space="preserve">. For specific use cases, jump to the relevant section.</w:t>
      </w:r>
    </w:p>
    <w:bookmarkEnd w:id="29"/>
    <w:bookmarkStart w:id="33" w:name="cross-references"/>
    <w:p>
      <w:pPr>
        <w:pStyle w:val="Heading2"/>
      </w:pPr>
      <w:r>
        <w:t xml:space="preserve">Cross-References</w:t>
      </w:r>
    </w:p>
    <w:p>
      <w:pPr>
        <w:pStyle w:val="FirstParagraph"/>
      </w:pPr>
      <w:r>
        <w:t xml:space="preserve">This content relates to:</w:t>
      </w:r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Constructs</w:t>
        </w:r>
      </w:hyperlink>
      <w:r>
        <w:t xml:space="preserve"> </w:t>
      </w:r>
      <w:r>
        <w:t xml:space="preserve">- How tokens work within constructs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Stacks</w:t>
        </w:r>
      </w:hyperlink>
      <w:r>
        <w:t xml:space="preserve"> </w:t>
      </w:r>
      <w:r>
        <w:t xml:space="preserve">- Passing tokens between stacks</w:t>
      </w:r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Hyperlink"/>
          </w:rPr>
          <w:t xml:space="preserve">Apps</w:t>
        </w:r>
      </w:hyperlink>
      <w:r>
        <w:t xml:space="preserve"> </w:t>
      </w:r>
      <w:r>
        <w:t xml:space="preserve">- Token resolution at the app level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../apps.md" TargetMode="External" /><Relationship Type="http://schemas.openxmlformats.org/officeDocument/2006/relationships/hyperlink" Id="rId30" Target="../constructs.md" TargetMode="External" /><Relationship Type="http://schemas.openxmlformats.org/officeDocument/2006/relationships/hyperlink" Id="rId31" Target="../stacks.md" TargetMode="External" /><Relationship Type="http://schemas.openxmlformats.org/officeDocument/2006/relationships/hyperlink" Id="rId20" Target="01-tokens-introduction.md" TargetMode="External" /><Relationship Type="http://schemas.openxmlformats.org/officeDocument/2006/relationships/hyperlink" Id="rId21" Target="02-tokens-examples.md" TargetMode="External" /><Relationship Type="http://schemas.openxmlformats.org/officeDocument/2006/relationships/hyperlink" Id="rId22" Target="03-tokens-passing.md" TargetMode="External" /><Relationship Type="http://schemas.openxmlformats.org/officeDocument/2006/relationships/hyperlink" Id="rId23" Target="04-tokens-how-they-work.md" TargetMode="External" /><Relationship Type="http://schemas.openxmlformats.org/officeDocument/2006/relationships/hyperlink" Id="rId24" Target="05-tokens-string.md" TargetMode="External" /><Relationship Type="http://schemas.openxmlformats.org/officeDocument/2006/relationships/hyperlink" Id="rId25" Target="06-tokens-list.md" TargetMode="External" /><Relationship Type="http://schemas.openxmlformats.org/officeDocument/2006/relationships/hyperlink" Id="rId26" Target="07-tokens-number.md" TargetMode="External" /><Relationship Type="http://schemas.openxmlformats.org/officeDocument/2006/relationships/hyperlink" Id="rId27" Target="08-tokens-advanced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./apps.md" TargetMode="External" /><Relationship Type="http://schemas.openxmlformats.org/officeDocument/2006/relationships/hyperlink" Id="rId30" Target="../constructs.md" TargetMode="External" /><Relationship Type="http://schemas.openxmlformats.org/officeDocument/2006/relationships/hyperlink" Id="rId31" Target="../stacks.md" TargetMode="External" /><Relationship Type="http://schemas.openxmlformats.org/officeDocument/2006/relationships/hyperlink" Id="rId20" Target="01-tokens-introduction.md" TargetMode="External" /><Relationship Type="http://schemas.openxmlformats.org/officeDocument/2006/relationships/hyperlink" Id="rId21" Target="02-tokens-examples.md" TargetMode="External" /><Relationship Type="http://schemas.openxmlformats.org/officeDocument/2006/relationships/hyperlink" Id="rId22" Target="03-tokens-passing.md" TargetMode="External" /><Relationship Type="http://schemas.openxmlformats.org/officeDocument/2006/relationships/hyperlink" Id="rId23" Target="04-tokens-how-they-work.md" TargetMode="External" /><Relationship Type="http://schemas.openxmlformats.org/officeDocument/2006/relationships/hyperlink" Id="rId24" Target="05-tokens-string.md" TargetMode="External" /><Relationship Type="http://schemas.openxmlformats.org/officeDocument/2006/relationships/hyperlink" Id="rId25" Target="06-tokens-list.md" TargetMode="External" /><Relationship Type="http://schemas.openxmlformats.org/officeDocument/2006/relationships/hyperlink" Id="rId26" Target="07-tokens-number.md" TargetMode="External" /><Relationship Type="http://schemas.openxmlformats.org/officeDocument/2006/relationships/hyperlink" Id="rId27" Target="08-tokens-advanced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