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9AF4F" w14:textId="77777777" w:rsidR="001C057B" w:rsidRDefault="001C057B"/>
    <w:p w14:paraId="05072712" w14:textId="77777777" w:rsidR="001C057B" w:rsidRDefault="001C057B"/>
    <w:p w14:paraId="7E7287F2" w14:textId="77777777" w:rsidR="001C057B" w:rsidRDefault="001C057B"/>
    <w:p w14:paraId="0AD647C7" w14:textId="77777777" w:rsidR="001C057B" w:rsidRDefault="001C057B"/>
    <w:p w14:paraId="598C5051" w14:textId="77777777" w:rsidR="001C057B" w:rsidRDefault="00000000">
      <w:pPr>
        <w:jc w:val="center"/>
      </w:pPr>
      <w:r>
        <w:rPr>
          <w:b/>
          <w:color w:val="C00000"/>
          <w:sz w:val="28"/>
        </w:rPr>
        <w:t>CONFIDENTIAL</w:t>
      </w:r>
    </w:p>
    <w:p w14:paraId="76F22803" w14:textId="77777777" w:rsidR="001C057B" w:rsidRDefault="001C057B"/>
    <w:p w14:paraId="42F5ED35" w14:textId="77777777" w:rsidR="001C057B" w:rsidRDefault="00000000">
      <w:pPr>
        <w:jc w:val="center"/>
      </w:pPr>
      <w:r>
        <w:rPr>
          <w:b/>
          <w:color w:val="1F4E78"/>
          <w:sz w:val="72"/>
        </w:rPr>
        <w:t>Apple Inc.</w:t>
      </w:r>
    </w:p>
    <w:p w14:paraId="6F99D64E" w14:textId="77777777" w:rsidR="001C057B" w:rsidRDefault="00000000">
      <w:pPr>
        <w:jc w:val="center"/>
      </w:pPr>
      <w:r>
        <w:rPr>
          <w:color w:val="404040"/>
          <w:sz w:val="40"/>
        </w:rPr>
        <w:t>FP&amp;A Variance Report</w:t>
      </w:r>
    </w:p>
    <w:p w14:paraId="7BBF562F" w14:textId="77777777" w:rsidR="001C057B" w:rsidRDefault="00000000">
      <w:pPr>
        <w:jc w:val="center"/>
      </w:pPr>
      <w:r>
        <w:rPr>
          <w:b/>
          <w:color w:val="1F4E78"/>
          <w:sz w:val="36"/>
        </w:rPr>
        <w:t>Q1 FY2026</w:t>
      </w:r>
    </w:p>
    <w:p w14:paraId="765A3FFC" w14:textId="77777777" w:rsidR="001C057B" w:rsidRDefault="001C057B"/>
    <w:p w14:paraId="7F558A93" w14:textId="77777777" w:rsidR="001C057B" w:rsidRDefault="001C057B"/>
    <w:p w14:paraId="0FB21620" w14:textId="77777777" w:rsidR="001C057B" w:rsidRDefault="001C057B"/>
    <w:p w14:paraId="3E0792AE" w14:textId="77777777" w:rsidR="001C057B" w:rsidRDefault="001C057B"/>
    <w:p w14:paraId="4392FADF" w14:textId="77777777" w:rsidR="001C057B" w:rsidRDefault="001C057B"/>
    <w:p w14:paraId="78AF18CC" w14:textId="77777777" w:rsidR="001C057B" w:rsidRDefault="001C057B"/>
    <w:p w14:paraId="70573781" w14:textId="77777777" w:rsidR="001C057B" w:rsidRDefault="001C057B"/>
    <w:p w14:paraId="5CF93132" w14:textId="77777777" w:rsidR="001C057B" w:rsidRDefault="001C057B"/>
    <w:p w14:paraId="5EE12334" w14:textId="17871FB0" w:rsidR="001C057B" w:rsidRDefault="00000000">
      <w:pPr>
        <w:jc w:val="center"/>
      </w:pPr>
      <w:r>
        <w:rPr>
          <w:color w:val="404040"/>
          <w:sz w:val="24"/>
        </w:rPr>
        <w:t xml:space="preserve">Prepared by  </w:t>
      </w:r>
      <w:r w:rsidR="00BD0086">
        <w:rPr>
          <w:color w:val="404040"/>
          <w:sz w:val="24"/>
        </w:rPr>
        <w:t>Karan Pipaliya</w:t>
      </w:r>
    </w:p>
    <w:p w14:paraId="7E106C23" w14:textId="77777777" w:rsidR="001C057B" w:rsidRDefault="00000000">
      <w:pPr>
        <w:jc w:val="center"/>
      </w:pPr>
      <w:r>
        <w:rPr>
          <w:color w:val="595959"/>
        </w:rPr>
        <w:t>13 May 2026</w:t>
      </w:r>
    </w:p>
    <w:p w14:paraId="57116A48" w14:textId="77777777" w:rsidR="001C057B" w:rsidRDefault="00000000">
      <w:r>
        <w:br w:type="page"/>
      </w:r>
    </w:p>
    <w:p w14:paraId="522737D4" w14:textId="77777777" w:rsidR="001C057B" w:rsidRDefault="00000000">
      <w:pPr>
        <w:spacing w:after="120"/>
      </w:pPr>
      <w:r>
        <w:rPr>
          <w:b/>
          <w:color w:val="1F4E78"/>
          <w:sz w:val="32"/>
        </w:rPr>
        <w:lastRenderedPageBreak/>
        <w:t>Variance Analysis  |  Q1 FY2026</w:t>
      </w:r>
    </w:p>
    <w:p w14:paraId="45959A87" w14:textId="77777777" w:rsidR="001C057B" w:rsidRDefault="00000000">
      <w:r>
        <w:rPr>
          <w:i/>
          <w:color w:val="595959"/>
          <w:sz w:val="20"/>
        </w:rPr>
        <w:t>The table below sets out the actual results for Apple Inc. against budget for Q1 FY2026. Favourable variances are shaded green; adverse variances are shaded red. All amounts are in millions of $.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C057B" w14:paraId="5DBD75AD" w14:textId="77777777">
        <w:trPr>
          <w:trHeight w:val="454"/>
          <w:jc w:val="center"/>
        </w:trPr>
        <w:tc>
          <w:tcPr>
            <w:tcW w:w="162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17561712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w="162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5CBFC1D6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Actual ($m)</w:t>
            </w:r>
          </w:p>
        </w:tc>
        <w:tc>
          <w:tcPr>
            <w:tcW w:w="162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437C26B4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Budget ($m)</w:t>
            </w:r>
          </w:p>
        </w:tc>
        <w:tc>
          <w:tcPr>
            <w:tcW w:w="162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0CE599D1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Variance ($m)</w:t>
            </w:r>
          </w:p>
        </w:tc>
        <w:tc>
          <w:tcPr>
            <w:tcW w:w="162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5F4A92E8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Variance %</w:t>
            </w:r>
          </w:p>
        </w:tc>
        <w:tc>
          <w:tcPr>
            <w:tcW w:w="162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4AF2C006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</w:tr>
      <w:tr w:rsidR="001C057B" w14:paraId="1C7AFDDD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586356" w14:textId="77777777" w:rsidR="001C057B" w:rsidRDefault="00000000">
            <w:r>
              <w:rPr>
                <w:sz w:val="20"/>
              </w:rPr>
              <w:t>Revenue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E7ACE4" w14:textId="77777777" w:rsidR="001C057B" w:rsidRDefault="00000000">
            <w:pPr>
              <w:jc w:val="right"/>
            </w:pPr>
            <w:r>
              <w:rPr>
                <w:sz w:val="20"/>
              </w:rPr>
              <w:t>124.3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E067B8" w14:textId="77777777" w:rsidR="001C057B" w:rsidRDefault="00000000">
            <w:pPr>
              <w:jc w:val="right"/>
            </w:pPr>
            <w:r>
              <w:rPr>
                <w:sz w:val="20"/>
              </w:rPr>
              <w:t>119.0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4EF7BCDC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+5.3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1152B8D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+4.5%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74347BB6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54CA5C85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569CDCB" w14:textId="77777777" w:rsidR="001C057B" w:rsidRDefault="00000000">
            <w:r>
              <w:rPr>
                <w:sz w:val="20"/>
              </w:rPr>
              <w:t>COGS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708BBAA" w14:textId="77777777" w:rsidR="001C057B" w:rsidRDefault="00000000">
            <w:pPr>
              <w:jc w:val="right"/>
            </w:pPr>
            <w:r>
              <w:rPr>
                <w:sz w:val="20"/>
              </w:rPr>
              <w:t>54.9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5143735" w14:textId="77777777" w:rsidR="001C057B" w:rsidRDefault="00000000">
            <w:pPr>
              <w:jc w:val="right"/>
            </w:pPr>
            <w:r>
              <w:rPr>
                <w:sz w:val="20"/>
              </w:rPr>
              <w:t>53.5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vAlign w:val="center"/>
          </w:tcPr>
          <w:p w14:paraId="5396CCE9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+1.4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vAlign w:val="center"/>
          </w:tcPr>
          <w:p w14:paraId="5B3FEC9F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+2.6%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vAlign w:val="center"/>
          </w:tcPr>
          <w:p w14:paraId="3E6571C5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Adverse</w:t>
            </w:r>
          </w:p>
        </w:tc>
      </w:tr>
      <w:tr w:rsidR="001C057B" w14:paraId="02F11DD1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4C3EDE" w14:textId="77777777" w:rsidR="001C057B" w:rsidRDefault="00000000">
            <w:r>
              <w:rPr>
                <w:sz w:val="20"/>
              </w:rPr>
              <w:t>Gross Profit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14C1B5" w14:textId="77777777" w:rsidR="001C057B" w:rsidRDefault="00000000">
            <w:pPr>
              <w:jc w:val="right"/>
            </w:pPr>
            <w:r>
              <w:rPr>
                <w:sz w:val="20"/>
              </w:rPr>
              <w:t>69.4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582EB9" w14:textId="77777777" w:rsidR="001C057B" w:rsidRDefault="00000000">
            <w:pPr>
              <w:jc w:val="right"/>
            </w:pPr>
            <w:r>
              <w:rPr>
                <w:sz w:val="20"/>
              </w:rPr>
              <w:t>65.5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4F052D52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+3.9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4A892E2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+6.0%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2217B7C1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11E32E15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7117EF7" w14:textId="77777777" w:rsidR="001C057B" w:rsidRDefault="00000000">
            <w:r>
              <w:rPr>
                <w:sz w:val="20"/>
              </w:rPr>
              <w:t>OpEx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540B1BB" w14:textId="77777777" w:rsidR="001C057B" w:rsidRDefault="00000000">
            <w:pPr>
              <w:jc w:val="right"/>
            </w:pPr>
            <w:r>
              <w:rPr>
                <w:sz w:val="20"/>
              </w:rPr>
              <w:t>14.5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DEF4859" w14:textId="77777777" w:rsidR="001C057B" w:rsidRDefault="00000000">
            <w:pPr>
              <w:jc w:val="right"/>
            </w:pPr>
            <w:r>
              <w:rPr>
                <w:sz w:val="20"/>
              </w:rPr>
              <w:t>15.0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FB74A15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-0.5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5A1F9F8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-3.3%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1FF8021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6CACA752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6BA907" w14:textId="77777777" w:rsidR="001C057B" w:rsidRDefault="00000000">
            <w:r>
              <w:rPr>
                <w:sz w:val="20"/>
              </w:rPr>
              <w:t>EBITDA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4063BB" w14:textId="77777777" w:rsidR="001C057B" w:rsidRDefault="00000000">
            <w:pPr>
              <w:jc w:val="right"/>
            </w:pPr>
            <w:r>
              <w:rPr>
                <w:sz w:val="20"/>
              </w:rPr>
              <w:t>54.9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3EF63F" w14:textId="77777777" w:rsidR="001C057B" w:rsidRDefault="00000000">
            <w:pPr>
              <w:jc w:val="right"/>
            </w:pPr>
            <w:r>
              <w:rPr>
                <w:sz w:val="20"/>
              </w:rPr>
              <w:t>50.5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2B798549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+4.4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FFB1669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+8.7%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0E97B2A2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740F1F08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9BF704" w14:textId="77777777" w:rsidR="001C057B" w:rsidRDefault="00000000">
            <w:r>
              <w:rPr>
                <w:sz w:val="20"/>
              </w:rPr>
              <w:t>D&amp;A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860229B" w14:textId="77777777" w:rsidR="001C057B" w:rsidRDefault="00000000">
            <w:pPr>
              <w:jc w:val="right"/>
            </w:pPr>
            <w:r>
              <w:rPr>
                <w:sz w:val="20"/>
              </w:rPr>
              <w:t>3.2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B1C5918" w14:textId="77777777" w:rsidR="001C057B" w:rsidRDefault="00000000">
            <w:pPr>
              <w:jc w:val="right"/>
            </w:pPr>
            <w:r>
              <w:rPr>
                <w:sz w:val="20"/>
              </w:rPr>
              <w:t>3.0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vAlign w:val="center"/>
          </w:tcPr>
          <w:p w14:paraId="4992BDD1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+0.2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vAlign w:val="center"/>
          </w:tcPr>
          <w:p w14:paraId="1D88DB70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+6.7%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vAlign w:val="center"/>
          </w:tcPr>
          <w:p w14:paraId="2657095E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Adverse</w:t>
            </w:r>
          </w:p>
        </w:tc>
      </w:tr>
      <w:tr w:rsidR="001C057B" w14:paraId="6B4F700C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26657B" w14:textId="77777777" w:rsidR="001C057B" w:rsidRDefault="00000000">
            <w:r>
              <w:rPr>
                <w:sz w:val="20"/>
              </w:rPr>
              <w:t>EBIT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0FBEA0" w14:textId="77777777" w:rsidR="001C057B" w:rsidRDefault="00000000">
            <w:pPr>
              <w:jc w:val="right"/>
            </w:pPr>
            <w:r>
              <w:rPr>
                <w:sz w:val="20"/>
              </w:rPr>
              <w:t>51.7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110101" w14:textId="77777777" w:rsidR="001C057B" w:rsidRDefault="00000000">
            <w:pPr>
              <w:jc w:val="right"/>
            </w:pPr>
            <w:r>
              <w:rPr>
                <w:sz w:val="20"/>
              </w:rPr>
              <w:t>47.5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2D605E1A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+4.2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506E402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+8.8%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54661564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13505026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8A6A94" w14:textId="77777777" w:rsidR="001C057B" w:rsidRDefault="00000000">
            <w:r>
              <w:rPr>
                <w:sz w:val="20"/>
              </w:rPr>
              <w:t>Net Income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627911A" w14:textId="77777777" w:rsidR="001C057B" w:rsidRDefault="00000000">
            <w:pPr>
              <w:jc w:val="right"/>
            </w:pPr>
            <w:r>
              <w:rPr>
                <w:sz w:val="20"/>
              </w:rPr>
              <w:t>36.3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6F6440D" w14:textId="77777777" w:rsidR="001C057B" w:rsidRDefault="00000000">
            <w:pPr>
              <w:jc w:val="right"/>
            </w:pPr>
            <w:r>
              <w:rPr>
                <w:sz w:val="20"/>
              </w:rPr>
              <w:t>33.5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309D63A4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+2.8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210457E8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+8.4%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3EAD2424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78598186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0B1F77D5" w14:textId="77777777" w:rsidR="001C057B" w:rsidRDefault="00000000">
            <w:r>
              <w:rPr>
                <w:b/>
                <w:sz w:val="20"/>
              </w:rPr>
              <w:t>Gross Margin 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5144D86E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55.8%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592FDAB0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55.0%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BE56CE7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+0.8 pp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4B8FA106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0214B7A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2F01215D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CCAFBB3" w14:textId="77777777" w:rsidR="001C057B" w:rsidRDefault="00000000">
            <w:r>
              <w:rPr>
                <w:b/>
                <w:sz w:val="20"/>
              </w:rPr>
              <w:t>EBITDA Margin 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3226CBFC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44.2%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56C40BE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42.4%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74FC635B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+1.7 pp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17C8BF4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7211C6B6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26DA60E6" w14:textId="77777777">
        <w:trPr>
          <w:jc w:val="center"/>
        </w:trPr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5969C054" w14:textId="77777777" w:rsidR="001C057B" w:rsidRDefault="00000000">
            <w:r>
              <w:rPr>
                <w:b/>
                <w:sz w:val="20"/>
              </w:rPr>
              <w:t>Net Margin 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490444A9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29.2%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43CAE1AF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28.2%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5940CBB1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+1.1 pp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25D32C54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315862FD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</w:tbl>
    <w:p w14:paraId="22C41AFE" w14:textId="77777777" w:rsidR="001C057B" w:rsidRDefault="00000000">
      <w:r>
        <w:br w:type="page"/>
      </w:r>
    </w:p>
    <w:p w14:paraId="584C4808" w14:textId="77777777" w:rsidR="001C057B" w:rsidRDefault="00000000">
      <w:pPr>
        <w:spacing w:after="120"/>
      </w:pPr>
      <w:r>
        <w:rPr>
          <w:b/>
          <w:color w:val="1F4E78"/>
          <w:sz w:val="32"/>
        </w:rPr>
        <w:lastRenderedPageBreak/>
        <w:t>Variance Visualisation</w:t>
      </w:r>
    </w:p>
    <w:p w14:paraId="017438DF" w14:textId="77777777" w:rsidR="001C057B" w:rsidRDefault="00000000">
      <w:r>
        <w:rPr>
          <w:i/>
          <w:color w:val="595959"/>
          <w:sz w:val="20"/>
        </w:rPr>
        <w:t>Top panel: actual versus budgeted values by line item. Bottom panel: variance percentage versus budget, shaded green where favourable and red where adverse.</w:t>
      </w:r>
    </w:p>
    <w:p w14:paraId="62B66DF2" w14:textId="77777777" w:rsidR="001C057B" w:rsidRDefault="00000000">
      <w:pPr>
        <w:jc w:val="center"/>
      </w:pPr>
      <w:r>
        <w:rPr>
          <w:noProof/>
        </w:rPr>
        <w:drawing>
          <wp:inline distT="0" distB="0" distL="0" distR="0" wp14:anchorId="057FA620" wp14:editId="0D14D75F">
            <wp:extent cx="5943600" cy="4189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B9D4" w14:textId="77777777" w:rsidR="001C057B" w:rsidRDefault="00000000">
      <w:r>
        <w:br w:type="page"/>
      </w:r>
    </w:p>
    <w:p w14:paraId="4979C1F2" w14:textId="77777777" w:rsidR="001C057B" w:rsidRDefault="00000000">
      <w:pPr>
        <w:spacing w:after="120"/>
      </w:pPr>
      <w:r>
        <w:rPr>
          <w:b/>
          <w:color w:val="1F4E78"/>
          <w:sz w:val="32"/>
        </w:rPr>
        <w:lastRenderedPageBreak/>
        <w:t>Management Commentary</w:t>
      </w:r>
    </w:p>
    <w:p w14:paraId="5F124923" w14:textId="77777777" w:rsidR="001C057B" w:rsidRDefault="00000000">
      <w:pPr>
        <w:spacing w:before="160" w:after="80"/>
      </w:pPr>
      <w:r>
        <w:rPr>
          <w:b/>
          <w:color w:val="1F4E78"/>
          <w:sz w:val="26"/>
        </w:rPr>
        <w:t>Executive Summary</w:t>
      </w:r>
    </w:p>
    <w:p w14:paraId="5B8CB6F4" w14:textId="77777777" w:rsidR="001C057B" w:rsidRDefault="00000000">
      <w:pPr>
        <w:spacing w:after="120"/>
        <w:jc w:val="both"/>
      </w:pPr>
      <w:r>
        <w:rPr>
          <w:b/>
        </w:rPr>
        <w:t>Apple Inc.</w:t>
      </w:r>
      <w:r>
        <w:t>delivered a strong operating performance ahead of plan on both the top and bottom lines during Q1 FY2026. Reported revenue of $124.3m compared with a budget of $119.0m, producing a variance of $5.3m or +4.5% (favourable). EBITDA closed at $54.9m versus a plan of $50.5m, a +8.7% swing that translated into an EBITDA margin of 44.2% against a planned 42.4% (+1.7pp). Net income finished at $36.3m (+8.4% versus plan). Of the eight tracked line items 6 were favourable to plan and 2 adverse, framing the detailed commentary that follows.</w:t>
      </w:r>
    </w:p>
    <w:p w14:paraId="4053966B" w14:textId="77777777" w:rsidR="001C057B" w:rsidRDefault="00000000">
      <w:pPr>
        <w:spacing w:before="160" w:after="80"/>
      </w:pPr>
      <w:r>
        <w:rPr>
          <w:b/>
          <w:color w:val="1F4E78"/>
          <w:sz w:val="26"/>
        </w:rPr>
        <w:t>Revenue &amp; Gross Profit</w:t>
      </w:r>
    </w:p>
    <w:p w14:paraId="61BE504D" w14:textId="77777777" w:rsidR="001C057B" w:rsidRDefault="00000000">
      <w:pPr>
        <w:spacing w:after="120"/>
        <w:jc w:val="both"/>
      </w:pPr>
      <w:r>
        <w:rPr>
          <w:b/>
        </w:rPr>
        <w:t>Revenue of $124.3m outperformed budget, reflecting stronger-than-anticipated demand and favourable pricing dynamics across the principal revenue streams, representing a variance of $5.3m or +4.5% against a budget of $119.0m.</w:t>
      </w:r>
      <w:r>
        <w:t>Cost of goods sold of $54.9m exceeded the budget, driven by input-cost inflation and an unfavourable mix shift that diluted unit economics, a +2.6% movement relative to the planned $53.5m. The combined effect produced gross profit of $69.4m (+6.0% versus a budgeted $65.5m), while the gross margin expanded by +0.8pp to 55.8% against the planned 55.0%. The gross-profit outcome is therefore classified as favourable for variance-reporting purposes.</w:t>
      </w:r>
    </w:p>
    <w:p w14:paraId="5D1B741C" w14:textId="77777777" w:rsidR="001C057B" w:rsidRDefault="00000000">
      <w:pPr>
        <w:spacing w:before="160" w:after="80"/>
      </w:pPr>
      <w:r>
        <w:rPr>
          <w:b/>
          <w:color w:val="1F4E78"/>
          <w:sz w:val="26"/>
        </w:rPr>
        <w:t>OpEx &amp; EBITDA</w:t>
      </w:r>
    </w:p>
    <w:p w14:paraId="014243B9" w14:textId="77777777" w:rsidR="001C057B" w:rsidRDefault="00000000">
      <w:pPr>
        <w:spacing w:after="120"/>
        <w:jc w:val="both"/>
      </w:pPr>
      <w:r>
        <w:rPr>
          <w:b/>
        </w:rPr>
        <w:t>Operating expenses of $14.5m demonstrated firm cost discipline, with operating expenses held below the budgeted envelope despite the underlying activity level, a -3.3% variance against the planned $15.0m.</w:t>
      </w:r>
      <w:r>
        <w:t>Combined with the gross-profit outcome, this produced EBITDA of $54.9m versus a budget of $50.5m — a variance of $4.4m or +8.7%, classified as favourable. The EBITDA margin expanded by +1.7pp to 44.2% relative to the planned 42.4%, while the COGS-to-revenue cost ratio of 44.2% compared with a budgeted 45.0% (-0.8pp). Together these movements describe the quality of the underlying operating performance.</w:t>
      </w:r>
    </w:p>
    <w:p w14:paraId="662CB2BF" w14:textId="77777777" w:rsidR="001C057B" w:rsidRDefault="00000000">
      <w:pPr>
        <w:spacing w:before="160" w:after="80"/>
      </w:pPr>
      <w:r>
        <w:rPr>
          <w:b/>
          <w:color w:val="1F4E78"/>
          <w:sz w:val="26"/>
        </w:rPr>
        <w:t>Net Income</w:t>
      </w:r>
    </w:p>
    <w:p w14:paraId="5BD23F79" w14:textId="77777777" w:rsidR="001C057B" w:rsidRDefault="00000000">
      <w:pPr>
        <w:spacing w:after="120"/>
        <w:jc w:val="both"/>
      </w:pPr>
      <w:r>
        <w:rPr>
          <w:b/>
        </w:rPr>
        <w:t>Below the EBITDA line, depreciation and amortisation came in above plan, creating a modest headwind below EBITDA: $3.2m versus a planned $3.0m (+6.7%).</w:t>
      </w:r>
      <w:r>
        <w:t>EBIT therefore closed at $51.7m against a budgeted $47.5m, a variance of $4.2m or +8.8% (favourable). Net income of $36.3m exceeded the budgeted level, supported by the favourable operating drop-through and disciplined below-the-line items, representing a +8.4% variance against the planned $33.5m. Net margin of 29.2% compares with a planned 28.2% (+1.1pp), completing the walk from top-line revenue down to the bottom-line earnings outcome reported for the period.</w:t>
      </w:r>
    </w:p>
    <w:p w14:paraId="2BD9F474" w14:textId="77777777" w:rsidR="001C057B" w:rsidRDefault="00000000">
      <w:pPr>
        <w:spacing w:before="160" w:after="80"/>
      </w:pPr>
      <w:r>
        <w:rPr>
          <w:b/>
          <w:color w:val="1F4E78"/>
          <w:sz w:val="26"/>
        </w:rPr>
        <w:t>Outlook</w:t>
      </w:r>
    </w:p>
    <w:p w14:paraId="6383C467" w14:textId="77777777" w:rsidR="001C057B" w:rsidRDefault="00000000">
      <w:pPr>
        <w:spacing w:after="120"/>
        <w:jc w:val="both"/>
      </w:pPr>
      <w:r>
        <w:rPr>
          <w:b/>
        </w:rPr>
        <w:t>Management views the result as a constructive foundation for the remainder of the year.</w:t>
      </w:r>
      <w:r>
        <w:t>The combination of favourable revenue, EBITDA and net-income outcomes points to sustained operating momentum, and the priority is to convert this strength into raised full-year guidance once the second quarter has been closed and reviewed. On the current trajectory, run-rate revenue of roughly $497.2m and run-rate EBITDA of $219.6m provide a useful, if simplistic, reference for the annualised picture. Apple Inc. will reconfirm its full-</w:t>
      </w:r>
      <w:r>
        <w:lastRenderedPageBreak/>
        <w:t>year guidance at the next scheduled trading update, and the FP&amp;A team will continue to monitor the cost ratio (44.2% this period) and EBITDA margin (44.2%) as the primary leading indicators of underlying profitability.</w:t>
      </w:r>
    </w:p>
    <w:p w14:paraId="5112A172" w14:textId="77777777" w:rsidR="001C057B" w:rsidRDefault="00000000">
      <w:r>
        <w:br w:type="page"/>
      </w:r>
    </w:p>
    <w:p w14:paraId="52C8802F" w14:textId="77777777" w:rsidR="001C057B" w:rsidRDefault="00000000">
      <w:pPr>
        <w:spacing w:after="120"/>
      </w:pPr>
      <w:r>
        <w:rPr>
          <w:b/>
          <w:color w:val="1F4E78"/>
          <w:sz w:val="32"/>
        </w:rPr>
        <w:lastRenderedPageBreak/>
        <w:t>Appendix — Key Ratios</w:t>
      </w:r>
    </w:p>
    <w:p w14:paraId="70EA68E2" w14:textId="77777777" w:rsidR="001C057B" w:rsidRDefault="00000000">
      <w:r>
        <w:rPr>
          <w:i/>
          <w:color w:val="595959"/>
          <w:sz w:val="20"/>
        </w:rPr>
        <w:t>Summary of the profitability and cost ratios derived from the actual and budget figures for the period.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C057B" w14:paraId="0F85B2AD" w14:textId="77777777">
        <w:trPr>
          <w:jc w:val="center"/>
        </w:trPr>
        <w:tc>
          <w:tcPr>
            <w:tcW w:w="1949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6BC68FD3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Ratio</w:t>
            </w:r>
          </w:p>
        </w:tc>
        <w:tc>
          <w:tcPr>
            <w:tcW w:w="1949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3B8876E2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949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7D457EDC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w="1949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6E20B80D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Delta (pp)</w:t>
            </w:r>
          </w:p>
        </w:tc>
        <w:tc>
          <w:tcPr>
            <w:tcW w:w="1949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vAlign w:val="center"/>
          </w:tcPr>
          <w:p w14:paraId="7841CDEB" w14:textId="77777777" w:rsidR="001C057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</w:tr>
      <w:tr w:rsidR="001C057B" w14:paraId="6E62FDE8" w14:textId="77777777">
        <w:trPr>
          <w:jc w:val="center"/>
        </w:trPr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244588" w14:textId="77777777" w:rsidR="001C057B" w:rsidRDefault="00000000">
            <w:r>
              <w:rPr>
                <w:b/>
                <w:sz w:val="20"/>
              </w:rPr>
              <w:t>Gross Margin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8C2C19" w14:textId="77777777" w:rsidR="001C057B" w:rsidRDefault="00000000">
            <w:pPr>
              <w:jc w:val="right"/>
            </w:pPr>
            <w:r>
              <w:rPr>
                <w:sz w:val="20"/>
              </w:rPr>
              <w:t>55.8%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84B60A" w14:textId="77777777" w:rsidR="001C057B" w:rsidRDefault="00000000">
            <w:pPr>
              <w:jc w:val="right"/>
            </w:pPr>
            <w:r>
              <w:rPr>
                <w:sz w:val="20"/>
              </w:rPr>
              <w:t>55.0%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77487A3E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+0.8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328689D8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5540A4EF" w14:textId="77777777">
        <w:trPr>
          <w:jc w:val="center"/>
        </w:trPr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B39056" w14:textId="77777777" w:rsidR="001C057B" w:rsidRDefault="00000000">
            <w:r>
              <w:rPr>
                <w:b/>
                <w:sz w:val="20"/>
              </w:rPr>
              <w:t>EBITDA Margin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B5122E" w14:textId="77777777" w:rsidR="001C057B" w:rsidRDefault="00000000">
            <w:pPr>
              <w:jc w:val="right"/>
            </w:pPr>
            <w:r>
              <w:rPr>
                <w:sz w:val="20"/>
              </w:rPr>
              <w:t>44.2%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872781" w14:textId="77777777" w:rsidR="001C057B" w:rsidRDefault="00000000">
            <w:pPr>
              <w:jc w:val="right"/>
            </w:pPr>
            <w:r>
              <w:rPr>
                <w:sz w:val="20"/>
              </w:rPr>
              <w:t>42.4%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5E0373ED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+1.7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458332CC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2C6C3BDE" w14:textId="77777777">
        <w:trPr>
          <w:jc w:val="center"/>
        </w:trPr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044316" w14:textId="77777777" w:rsidR="001C057B" w:rsidRDefault="00000000">
            <w:r>
              <w:rPr>
                <w:b/>
                <w:sz w:val="20"/>
              </w:rPr>
              <w:t>Net Margin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8E69CD" w14:textId="77777777" w:rsidR="001C057B" w:rsidRDefault="00000000">
            <w:pPr>
              <w:jc w:val="right"/>
            </w:pPr>
            <w:r>
              <w:rPr>
                <w:sz w:val="20"/>
              </w:rPr>
              <w:t>29.2%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7DA9E7" w14:textId="77777777" w:rsidR="001C057B" w:rsidRDefault="00000000">
            <w:pPr>
              <w:jc w:val="right"/>
            </w:pPr>
            <w:r>
              <w:rPr>
                <w:sz w:val="20"/>
              </w:rPr>
              <w:t>28.2%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3EBC0E2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+1.1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6538041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  <w:tr w:rsidR="001C057B" w14:paraId="1E185DA4" w14:textId="77777777">
        <w:trPr>
          <w:jc w:val="center"/>
        </w:trPr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418FF6" w14:textId="77777777" w:rsidR="001C057B" w:rsidRDefault="00000000">
            <w:r>
              <w:rPr>
                <w:b/>
                <w:sz w:val="20"/>
              </w:rPr>
              <w:t>Cost Ratio (COGS / Revenue)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3CA1D1" w14:textId="77777777" w:rsidR="001C057B" w:rsidRDefault="00000000">
            <w:pPr>
              <w:jc w:val="right"/>
            </w:pPr>
            <w:r>
              <w:rPr>
                <w:sz w:val="20"/>
              </w:rPr>
              <w:t>44.2%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189369" w14:textId="77777777" w:rsidR="001C057B" w:rsidRDefault="00000000">
            <w:pPr>
              <w:jc w:val="right"/>
            </w:pPr>
            <w:r>
              <w:rPr>
                <w:sz w:val="20"/>
              </w:rPr>
              <w:t>45.0%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7FDBFDBB" w14:textId="77777777" w:rsidR="001C057B" w:rsidRDefault="00000000">
            <w:pPr>
              <w:jc w:val="right"/>
            </w:pPr>
            <w:r>
              <w:rPr>
                <w:b/>
                <w:sz w:val="20"/>
              </w:rPr>
              <w:t>-0.8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35A1DFED" w14:textId="77777777" w:rsidR="001C057B" w:rsidRDefault="00000000">
            <w:pPr>
              <w:jc w:val="center"/>
            </w:pPr>
            <w:r>
              <w:rPr>
                <w:b/>
                <w:sz w:val="20"/>
              </w:rPr>
              <w:t>Favourable</w:t>
            </w:r>
          </w:p>
        </w:tc>
      </w:tr>
    </w:tbl>
    <w:p w14:paraId="27CD2E8D" w14:textId="77777777" w:rsidR="001C057B" w:rsidRDefault="00000000">
      <w:pPr>
        <w:spacing w:before="200"/>
      </w:pPr>
      <w:r>
        <w:rPr>
          <w:i/>
          <w:color w:val="595959"/>
          <w:sz w:val="18"/>
        </w:rPr>
        <w:t>Note: percentage-point (pp) deltas compare the period's actual ratio with the budgeted ratio. For the cost ratio, a lower outcome is treated as favourable.</w:t>
      </w:r>
    </w:p>
    <w:sectPr w:rsidR="001C057B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2BB20" w14:textId="77777777" w:rsidR="0094567C" w:rsidRDefault="0094567C">
      <w:pPr>
        <w:spacing w:after="0" w:line="240" w:lineRule="auto"/>
      </w:pPr>
      <w:r>
        <w:separator/>
      </w:r>
    </w:p>
  </w:endnote>
  <w:endnote w:type="continuationSeparator" w:id="0">
    <w:p w14:paraId="1041DAC2" w14:textId="77777777" w:rsidR="0094567C" w:rsidRDefault="00945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75077" w14:textId="77777777" w:rsidR="001C057B" w:rsidRDefault="00000000">
    <w:pPr>
      <w:pStyle w:val="Footer"/>
      <w:tabs>
        <w:tab w:val="center" w:pos="4873"/>
        <w:tab w:val="right" w:pos="9746"/>
      </w:tabs>
    </w:pPr>
    <w:r>
      <w:rPr>
        <w:color w:val="595959"/>
        <w:sz w:val="18"/>
      </w:rPr>
      <w:t>Apple Inc.</w:t>
    </w:r>
    <w:r>
      <w:rPr>
        <w:b/>
        <w:color w:val="C00000"/>
        <w:sz w:val="18"/>
      </w:rPr>
      <w:tab/>
      <w:t>CONFIDENTIAL</w:t>
    </w:r>
    <w:r>
      <w:rPr>
        <w:color w:val="595959"/>
        <w:sz w:val="18"/>
      </w:rPr>
      <w:tab/>
      <w:t xml:space="preserve">Page </w:t>
    </w:r>
    <w:r>
      <w:fldChar w:fldCharType="begin"/>
    </w:r>
    <w:r>
      <w:instrText>PAGE</w:instrText>
    </w:r>
    <w:r w:rsidR="00BD0086">
      <w:fldChar w:fldCharType="separate"/>
    </w:r>
    <w:r w:rsidR="00BD00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A8B07" w14:textId="77777777" w:rsidR="0094567C" w:rsidRDefault="0094567C">
      <w:pPr>
        <w:spacing w:after="0" w:line="240" w:lineRule="auto"/>
      </w:pPr>
      <w:r>
        <w:separator/>
      </w:r>
    </w:p>
  </w:footnote>
  <w:footnote w:type="continuationSeparator" w:id="0">
    <w:p w14:paraId="0C8B0DF4" w14:textId="77777777" w:rsidR="0094567C" w:rsidRDefault="00945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37588">
    <w:abstractNumId w:val="8"/>
  </w:num>
  <w:num w:numId="2" w16cid:durableId="382483897">
    <w:abstractNumId w:val="6"/>
  </w:num>
  <w:num w:numId="3" w16cid:durableId="223834219">
    <w:abstractNumId w:val="5"/>
  </w:num>
  <w:num w:numId="4" w16cid:durableId="27531891">
    <w:abstractNumId w:val="4"/>
  </w:num>
  <w:num w:numId="5" w16cid:durableId="125972863">
    <w:abstractNumId w:val="7"/>
  </w:num>
  <w:num w:numId="6" w16cid:durableId="1140616016">
    <w:abstractNumId w:val="3"/>
  </w:num>
  <w:num w:numId="7" w16cid:durableId="1138959500">
    <w:abstractNumId w:val="2"/>
  </w:num>
  <w:num w:numId="8" w16cid:durableId="561795847">
    <w:abstractNumId w:val="1"/>
  </w:num>
  <w:num w:numId="9" w16cid:durableId="187427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7B"/>
    <w:rsid w:val="0029639D"/>
    <w:rsid w:val="00326F90"/>
    <w:rsid w:val="006F0211"/>
    <w:rsid w:val="0094567C"/>
    <w:rsid w:val="00AA1D8D"/>
    <w:rsid w:val="00B47730"/>
    <w:rsid w:val="00BD00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698CD"/>
  <w14:defaultImageDpi w14:val="300"/>
  <w15:docId w15:val="{2882B123-13F8-46A6-AF28-CF08C1D3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Pipaliya</cp:lastModifiedBy>
  <cp:revision>2</cp:revision>
  <dcterms:created xsi:type="dcterms:W3CDTF">2013-12-23T23:15:00Z</dcterms:created>
  <dcterms:modified xsi:type="dcterms:W3CDTF">2026-05-13T13:22:00Z</dcterms:modified>
  <cp:category/>
</cp:coreProperties>
</file>