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1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COUNT_DISTINCT{(a/7+b), f*(b-1), c %% 32, 64, 128}</w:t>
        <w:br w:type="textWrapping"/>
        <w:t xml:space="preserve">COUNT_DISTINCT{(b, (7-g), var1 %% 0}</w:t>
        <w:br w:type="textWrapping"/>
        <w:t xml:space="preserve">COUNT_DISTINCT{a %% 1}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Resolucion Mara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 -&gt; COUNT_DISTINCT {A}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 -&gt; COUNT_DISTINCT {B %% 0}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 -&gt; E , A , cte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 -&gt; E %% cte (la magia del balance que pedia el enunciado)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 -&gt; B , E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B -&gt; E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 -&gt; E + T</w:t>
        <w:br w:type="textWrapping"/>
        <w:t xml:space="preserve">E -&gt; E * T</w:t>
        <w:br w:type="textWrapping"/>
        <w:t xml:space="preserve">E -&gt; T</w:t>
        <w:br w:type="textWrapping"/>
        <w:t xml:space="preserve">T -&gt; T * F</w:t>
        <w:br w:type="textWrapping"/>
        <w:t xml:space="preserve">T -&gt; T / F</w:t>
        <w:br w:type="textWrapping"/>
        <w:t xml:space="preserve">T -&gt; F</w:t>
        <w:br w:type="textWrapping"/>
        <w:t xml:space="preserve">F -&gt; id</w:t>
        <w:br w:type="textWrapping"/>
        <w:t xml:space="preserve">F -&gt; cte</w:t>
        <w:br w:type="textWrapping"/>
        <w:t xml:space="preserve">F -&gt; ( E )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En cuanto a los espacios no es relevante al sintáctico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br w:type="textWrapping"/>
        <w:t xml:space="preserve">Considerando que B %% 0  donde cero es un token cte del lexico, hay ambiguedad en su reconocimiento ya que no se puede verificar “cero” y luego en otra regex [0-9], ASI QUE EL ENUNCIADO PODIAS PONER QUE LAS REGLAS ERAN AMBIGUAS Y NO SE PODIA RESOLVER EXPRESADO ASI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Para ernan no nos metemos en el lexico para resoler un ejercicio del SINTACTICO.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2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Suponga un lenguaje que posee tipos de variables enteras y string, e introduce la posibilidad de concatenar variables tipo string. Dicha caracteristica se introduce a la nueva version sin agregar al compilador ningun simbolo no existente en la version anterior, y se realiza mediante la funcion concatena:</w:t>
        <w:br w:type="textWrapping"/>
        <w:br w:type="textWrapping"/>
        <w:t xml:space="preserve">string a:="hola"; b:=" mundo"; var1=""                  ** defincion de variables, que ya existe en la version</w:t>
        <w:br w:type="textWrapping"/>
        <w:t xml:space="preserve">var1=concatena(a, b)                                              ** var1 tendra el contenido "hola mundo"</w:t>
        <w:br w:type="textWrapping"/>
        <w:t xml:space="preserve">var1=concatena(a, a, a)                                           ** tendra el contenido "holaholahola"</w:t>
        <w:br w:type="textWrapping"/>
        <w:br w:type="textWrapping"/>
        <w:t xml:space="preserve">El lenguaje verifica que los tipos enunciados en la lista dentro de la funcion sean compatibles.</w:t>
        <w:br w:type="textWrapping"/>
        <w:t xml:space="preserve">Se pide indicar que etapas del compilador se veran afectadas (V o F) por la introduccion de la funcion, justificando y proponiendo un ejemplo en los casos afirmativos:</w:t>
        <w:br w:type="textWrapping"/>
        <w:t xml:space="preserve">       (a) Analizador lexicografico</w:t>
        <w:br w:type="textWrapping"/>
        <w:t xml:space="preserve">       (b) Rutinas de errores lexicos</w:t>
        <w:br w:type="textWrapping"/>
        <w:t xml:space="preserve">       (c) Analizador sintactico</w:t>
        <w:br w:type="textWrapping"/>
        <w:t xml:space="preserve">       (d) Rutinas de errores sintacticos</w:t>
        <w:br w:type="textWrapping"/>
        <w:t xml:space="preserve">       (e) Generacion de codigo intermedio</w:t>
        <w:br w:type="textWrapping"/>
        <w:t xml:space="preserve">       (f) Generacion de codigo assembler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tiene que recibir la palabra concatena (a , b)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No, estar mal definida como cooncatena es un id. También el ancho de la variables no cambia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Función Concatena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la función Concatena () y no cierro el paréntesis es un error sintáctico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habra pseudocodigo para diferetes tareas dentro de la resolución de concatena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No, si fuera una traduccion de una funcion a otra funcion que hace lo mismo.N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contextualSpacing w:val="1"/>
        <w:jc w:val="left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la resolucion en Assambler se afecta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No, si fuera una traduccion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3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¿Cuales de los siguientes tratamientos se debe aplicar a los comentarios en el analizador lexico de un compilador?</w:t>
        <w:br w:type="textWrapping"/>
        <w:t xml:space="preserve">Indique V o F y justifique.</w:t>
        <w:br w:type="textWrapping"/>
        <w:t xml:space="preserve">       (a) Se debe crear un token de tipo comentario y se lo debe enviar al analizador sintactico.</w:t>
        <w:br w:type="textWrapping"/>
        <w:t xml:space="preserve">       (b) Se debe crear el token comentario, pero el mismo se descarta.</w:t>
        <w:br w:type="textWrapping"/>
        <w:t xml:space="preserve">       (c) Si el comentario posee delimitador de inicio y cierre, se debe procesar (leer) todo el contenido pero luego ignorarlo.</w:t>
        <w:br w:type="textWrapping"/>
        <w:t xml:space="preserve">       (d) Si el comentario posee solamente delimitador de inicio y finaliza con un fin de linea, se debe descartar el resto de la lectura al detectar el caracter de inicio.</w:t>
        <w:br w:type="textWrapping"/>
        <w:t xml:space="preserve">       (e) Se debe verificar que el comentario no contenga caracteres no aceptados por el lenguaje</w:t>
        <w:br w:type="textWrapping"/>
        <w:t xml:space="preserve">       (f) Se debe verificar la existencia de palabras reservadas dentro del comentario.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No, se debe crear el token, debe analizar el contenido pero no envia nada al sintactico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se debe crear el token, analizar el contenido pero no enviar nada.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No,  un lexico nunca ignora, siempre lee y procesa.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No, se debe descartar el contenido procesandolo hasta el fin de linea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Si, la regex de comentario aceptara caracteres permitidos por el lenguaje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b w:val="1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No, se debe analzar el conetido para que los simbolos pertenescan al lenguaje hasta final de comentario y luego descartarlo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Ejercicio 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br w:type="textWrapping"/>
        <w:t xml:space="preserve">La funcion SumSI almacena en el segundo ID la sumatoria de todas las ctes que se encuentran a la derecha del punto y coma, siempre y cuando cumplan con la condicion que respecta al primer ID.</w:t>
        <w:br w:type="textWrapping"/>
        <w:br w:type="textWrapping"/>
        <w:t xml:space="preserve">S --&gt; SumSI ( OP ID , ID ; L )</w:t>
        <w:br w:type="textWrapping"/>
        <w:t xml:space="preserve">L --&gt; cte</w:t>
        <w:br w:type="textWrapping"/>
        <w:t xml:space="preserve">L --&gt; L , cte</w:t>
        <w:br w:type="textWrapping"/>
        <w:t xml:space="preserve">OP --&gt; &lt;&gt; | == | &lt; | &gt; | &lt;= | &gt;=</w:t>
        <w:br w:type="textWrapping"/>
        <w:br w:type="textWrapping"/>
        <w:t xml:space="preserve">SumSI ( &lt;&gt; b , var1 ; 10, 20, 30 )                // b=20 -&gt; var1 = 10 + 30</w:t>
        <w:br w:type="textWrapping"/>
        <w:t xml:space="preserve">SumSI ( &lt;= a , var2 ; 1, 3, 5, 8)  // a=7 -&gt; var 2 = 1 + 3 + 5</w:t>
        <w:br w:type="textWrapping"/>
        <w:t xml:space="preserve">SumSI ( &gt; p , var3 ; 25, 30, 35, 40 )          // p=25 -&gt; var3 = 30 + 35 + 40</w:t>
        <w:br w:type="textWrapping"/>
        <w:br w:type="textWrapping"/>
        <w:t xml:space="preserve">Escribir el Ejemplo 1 en notación polaca inversa y especificar las acciones semánticas que generan la polaca inversa.</w:t>
        <w:br w:type="textWrapping"/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left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Ejemplo: sumasi(&lt;&gt; b, var; 10, 20, 30)</w:t>
      </w:r>
    </w:p>
    <w:tbl>
      <w:tblPr>
        <w:tblStyle w:val="Table1"/>
        <w:tblW w:w="1567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gridCol w:w="7980"/>
        <w:tblGridChange w:id="0">
          <w:tblGrid>
            <w:gridCol w:w="7695"/>
            <w:gridCol w:w="7980"/>
          </w:tblGrid>
        </w:tblGridChange>
      </w:tblGrid>
      <w:tr>
        <w:trPr>
          <w:trHeight w:val="1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Gramática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S-&gt; sumasi(O id, id; L)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 L, cte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 cte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 -&gt; &lt; | &gt; | &lt;= | &gt;= | &lt;&gt; | ==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sumasi ( &gt; b, var; 10, 20 , 30 )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Lista de Reglas reconocidas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R03 O-&gt;&lt;&gt;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R09 L-&gt;cte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</w:t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Polaca</w:t>
      </w:r>
    </w:p>
    <w:tbl>
      <w:tblPr>
        <w:tblStyle w:val="Table2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gridCol w:w="785.3"/>
        <w:tblGridChange w:id="0">
          <w:tblGrid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  <w:gridCol w:w="785.3"/>
          </w:tblGrid>
        </w:tblGridChange>
      </w:tblGrid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_sal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BLE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_var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_asg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(_ctd)_lst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</w:tr>
      <w:tr>
        <w:tc>
          <w:tcPr>
            <w:gridSpan w:val="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R03 O-&gt;&gt;</w:t>
            </w:r>
          </w:p>
        </w:tc>
        <w:tc>
          <w:tcPr>
            <w:gridSpan w:val="6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 (MAGIA)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R09 L-&gt;cte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(_ctd)_lst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(_ctd)_lst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(_ctd)_lst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CMP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_sal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42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_sum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_sum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(_ctd)_lst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</w:tr>
      <w:tr>
        <w:tc>
          <w:tcPr>
            <w:gridSpan w:val="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</w:p>
        </w:tc>
        <w:tc>
          <w:tcPr>
            <w:gridSpan w:val="8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60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_ctd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CMP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BLT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u w:val="single"/>
                <w:rtl w:val="0"/>
              </w:rPr>
              <w:t xml:space="preserve">32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_asg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_sum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 (MAS MAGIA)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40" w:lineRule="auto"/>
        <w:contextualSpacing w:val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Gramática y Polaca según Mara</w:t>
      </w:r>
    </w:p>
    <w:tbl>
      <w:tblPr>
        <w:tblStyle w:val="Table3"/>
        <w:tblW w:w="155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12435"/>
        <w:tblGridChange w:id="0">
          <w:tblGrid>
            <w:gridCol w:w="3150"/>
            <w:gridCol w:w="12435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sumasi(O id,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{_var = “id”;}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id;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{_asg = “id”;}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 (_var); i_p((ctd)_lst); i_p(“CMP”); i_p(_sal); i_p (“POS_SALTO+6”); i_p(sum); i_p(sum); i_p((_cte)_lst); i_p(“+”); i_p (“=”);}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R02 O-&gt; &lt;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{_sal = “BGE”;}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R03 O-&gt; 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{_sal = “BLE”;}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5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R04 O-&gt; &lt;= 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{_sal = “BGT”;}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7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R05 O-&gt; &gt;= 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&gt;=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{_sal = “BLT”;}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F9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R06 O-&gt; &lt;&gt;</w:t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“BEQ”;}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R07 O-&gt; ==</w:t>
            </w:r>
          </w:p>
        </w:tc>
        <w:tc>
          <w:tcPr/>
          <w:p w:rsidR="00000000" w:rsidDel="00000000" w:rsidP="00000000" w:rsidRDefault="00000000" w:rsidRPr="00000000" w14:paraId="000000FC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{_sal = “BNE”;}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</w:tcPr>
          <w:p w:rsidR="00000000" w:rsidDel="00000000" w:rsidP="00000000" w:rsidRDefault="00000000" w:rsidRPr="00000000" w14:paraId="000000FD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L-&gt;L, cte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{(_ctd)_lst = cte; _ctd++;}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</w:tcPr>
          <w:p w:rsidR="00000000" w:rsidDel="00000000" w:rsidP="00000000" w:rsidRDefault="00000000" w:rsidRPr="00000000" w14:paraId="000000FF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R09 L-&gt;cte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L-&gt;cte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{_ctd = 0;(_ctd)_lst = cte;}</w:t>
            </w:r>
          </w:p>
        </w:tc>
      </w:tr>
    </w:tbl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Gramática y Polaca según “YO EL MEJOR” (luego de correr sumasi, para los siguientes elementos, debería decrementar el contador y hacer las comparaciones escribiendo la intermedia una y otra vez hasta que no haya más elementos en el _ctd. Luego el sumador recien ahi se asigna).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(_ctd)lst es una estrategia para crear variables con el nombre 0lst, 1lst, 2lst, etc para poder diferenciar cada elemento de la lst.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5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12435"/>
        <w:tblGridChange w:id="0">
          <w:tblGrid>
            <w:gridCol w:w="3150"/>
            <w:gridCol w:w="12435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sumasi(O id,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 i_p(_var);i_p(id);i_p(“=”);}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id; 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 i_p(_asg);i_p(id);i_p(“=”);}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L) 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 i_p(_var); i_p((ctd)_lst); i_p(“CMP”); i_p(_sal); i_p (“POS+6”); i_p(sum); i_p(sum); i_p((_cte)_lst); i_p(“+”); i_p (“=”); i_p(_ctd); i_p(_ctd); i_p(“1”); i_p(“-”); i_p(”=”); i_p(“0”); i_p(“CMP”); i_p(“BLT”); i_p(POS-18); i_p(_asg); i_p(_sum); i_p(“=”)}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R02 O-&gt; &lt;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{i_p(_sal)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i_p(“BGE”); i_p(“=”);}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R03 O-&gt; &gt;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&gt;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{i_p(_sal)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i_p(“BLE”); i_p(“=”);}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R04 O-&gt; &lt;= </w:t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{i_p(_sal)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i_p(“BGT”); i_p(“=”);}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R05 O-&gt; &gt;= </w:t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{i_p(_sal)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i_p(“BLT”); i_p(“=”);}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R06 O-&gt; &lt;&gt;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{i_p(_sal)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i_p(“BEQ”); i_p(“=”);}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R07 O-&gt; ==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{i_p(_sal)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i_p(“BNE”); i_p(“=”);}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L-&gt;L,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{i_p(_ctd)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i_p(_ctd); i_p(“1”); i_p(“=”); i_p((_ctd)_lst); i_p (cte); i_p(“=”)}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R09 L-&gt;cte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L-&gt;cte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{i_p(_ctd); i_p(“0”); i_p(“=”); i_p((_ctd)_lst); i_p (cte); i_p(“=”)}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Pseudocódigo para entender la Polaca, acciones propias de Bison y otras que pueden ser pasadas de manera transparente a Polaca</w:t>
      </w:r>
    </w:p>
    <w:tbl>
      <w:tblPr>
        <w:tblStyle w:val="Table5"/>
        <w:tblW w:w="155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12435"/>
        <w:tblGridChange w:id="0">
          <w:tblGrid>
            <w:gridCol w:w="3150"/>
            <w:gridCol w:w="12435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R01 S-&gt; sumasi(O id, id; L)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sumasi(O id,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{_var = “id”;}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id; 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{_asg = “id”;}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L) 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{do</w:t>
            </w:r>
          </w:p>
          <w:p w:rsidR="00000000" w:rsidDel="00000000" w:rsidP="00000000" w:rsidRDefault="00000000" w:rsidRPr="00000000" w14:paraId="0000012C">
            <w:pPr>
              <w:ind w:firstLine="72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if ( _var _sal _(ctd)lst )</w:t>
            </w:r>
          </w:p>
          <w:p w:rsidR="00000000" w:rsidDel="00000000" w:rsidP="00000000" w:rsidRDefault="00000000" w:rsidRPr="00000000" w14:paraId="0000012D">
            <w:pPr>
              <w:ind w:firstLine="72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_sum += _(ctd)lst;</w:t>
            </w:r>
          </w:p>
          <w:p w:rsidR="00000000" w:rsidDel="00000000" w:rsidP="00000000" w:rsidRDefault="00000000" w:rsidRPr="00000000" w14:paraId="0000012E">
            <w:pPr>
              <w:ind w:firstLine="72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_ctd--;</w:t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while (_ctd &gt;= 0);}</w:t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_asg=_sum;}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31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R02 O-&gt; &lt;</w:t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“BGE”;}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3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R03 O-&gt; &gt;</w:t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&gt;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“BLE”;}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5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R04 O-&gt; &lt;= </w:t>
            </w:r>
          </w:p>
        </w:tc>
        <w:tc>
          <w:tcPr/>
          <w:p w:rsidR="00000000" w:rsidDel="00000000" w:rsidP="00000000" w:rsidRDefault="00000000" w:rsidRPr="00000000" w14:paraId="00000136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“BGT”;}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7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R05 O-&gt; &gt;= 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“BLT”;}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139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R06 O-&gt; &lt;&gt;</w:t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&lt;&gt;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“BEQ”;}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3B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R07 O-&gt; ==</w:t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O-&gt;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{_sal = “BNE”;}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</w:tcPr>
          <w:p w:rsidR="00000000" w:rsidDel="00000000" w:rsidP="00000000" w:rsidRDefault="00000000" w:rsidRPr="00000000" w14:paraId="0000013D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R08 L-&gt;L, cte</w:t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L-&gt;L, cte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{_ctd++;(_ctd)_lst = cte;}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57.0" w:type="dxa"/>
              <w:bottom w:w="0.0" w:type="dxa"/>
              <w:right w:w="57.0" w:type="dxa"/>
            </w:tcMar>
          </w:tcPr>
          <w:p w:rsidR="00000000" w:rsidDel="00000000" w:rsidP="00000000" w:rsidRDefault="00000000" w:rsidRPr="00000000" w14:paraId="0000013F">
            <w:pPr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R09 L-&gt;cte</w:t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L-&gt;cte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{_ctd = 0;(_ctd)_lst = cte;}</w:t>
            </w:r>
          </w:p>
        </w:tc>
      </w:tr>
    </w:tbl>
    <w:p w:rsidR="00000000" w:rsidDel="00000000" w:rsidP="00000000" w:rsidRDefault="00000000" w:rsidRPr="00000000" w14:paraId="0000014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