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Process Narrative - Hydrogen Feedwater Skid</w:t>
      </w:r>
    </w:p>
    <w:p>
      <w:r>
        <w:t xml:space="preserve">Placeholder narrative for the hackathon demo. Replace with the real document when ready.</w:t>
      </w:r>
    </w:p>
    <w:p>
      <w:pPr>
        <w:pStyle w:val="Heading2"/>
      </w:pPr>
      <w:r>
        <w:t xml:space="preserve">1. Overview</w:t>
      </w:r>
    </w:p>
    <w:p>
      <w:r>
        <w:t xml:space="preserve">The feedwater skid supplies deionized water to the electrolyzer stack inlet under positive head pressure. The skid comprises a suction tank, a feedwater pump, a discharge control valve, and a low-low level interlock.</w:t>
      </w:r>
    </w:p>
    <w:p>
      <w:pPr>
        <w:pStyle w:val="Heading2"/>
      </w:pPr>
      <w:r>
        <w:t xml:space="preserve">2. Suction Tank</w:t>
      </w:r>
    </w:p>
    <w:p>
      <w:r>
        <w:t xml:space="preserve">Tank T-101 is a 500-gallon stainless-steel vessel. Level switch LSL-201 trips the motor on low-low condition to protect P-101 from dry running.</w:t>
      </w:r>
    </w:p>
    <w:p>
      <w:pPr>
        <w:pStyle w:val="Heading2"/>
      </w:pPr>
      <w:r>
        <w:t xml:space="preserve">3. Feedwater Supply</w:t>
      </w:r>
    </w:p>
    <w:p>
      <w:pPr>
        <w:pStyle w:val="Heading3"/>
      </w:pPr>
      <w:r>
        <w:t xml:space="preserve">3.1 Operation</w:t>
      </w:r>
    </w:p>
    <w:p>
      <w:r>
        <w:t xml:space="preserve">Pump P-101 draws from T-101 and discharges through control valve CV-301 into the stack inlet header.</w:t>
      </w:r>
    </w:p>
    <w:p>
      <w:pPr>
        <w:pStyle w:val="Heading3"/>
      </w:pPr>
      <w:r>
        <w:t xml:space="preserve">3.2 Feedwater Supply Conditions</w:t>
      </w:r>
    </w:p>
    <w:p>
      <w:r>
        <w:t xml:space="preserve">P-101 supplies DI water at 5 bar to the electrolyzer stack inlet. Suction is taken from T-101; discharge is regulated by CV-301 in AUTO. LSL-201 must be satisfied for the motor to start.</w:t>
      </w:r>
    </w:p>
    <w:p>
      <w:pPr>
        <w:pStyle w:val="Heading2"/>
      </w:pPr>
      <w:r>
        <w:t xml:space="preserve">4. Interlocks</w:t>
      </w:r>
    </w:p>
    <w:p>
      <w:r>
        <w:t xml:space="preserve">The motor will not start unless LSL-201 is satisfied and CV-301 is in AUTO. Both interlocks are wired through the PLC input rack.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2026-05-16T17:49:52.892Z</dcterms:created>
  <dcterms:modified xsi:type="dcterms:W3CDTF">2026-05-16T17:49:52.892Z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