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System Narrative — Evoqua Vantage M284R RO Unit</w:t>
      </w:r>
    </w:p>
    <w:p>
      <w:pPr>
        <w:pStyle w:val="Heading2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document describes the operation of the Evoqua Water Technologies Vantage® M284R-044 two-pass reverse osmosis (RO) unit installed at the Electric Hydrogen facility in Beaumont, TX (Evoqua Project 2034/001845). The unit is designed to produce 100 GPM of high-purity RODI water for electrolyzer feedwater supply.</w:t>
      </w:r>
    </w:p>
    <w:p>
      <w:pPr>
        <w:pStyle w:val="Heading2"/>
      </w:pPr>
      <w:r>
        <w:t xml:space="preserve">2. Feed Water</w:t>
      </w:r>
    </w:p>
    <w:p>
      <w:pPr>
        <w:spacing w:after="120"/>
      </w:pPr>
      <w:r>
        <w:rPr>
          <w:sz w:val="22"/>
          <w:szCs w:val="22"/>
        </w:rPr>
        <w:t xml:space="preserve">Feed water is drawn from a deep well source (conductivity ~1276 µS/cm, pH 6.31, turbidity 57.4 NTU). The feed passes through pre-treatment prior to reaching the RO skid. Minimum inlet pressure is 30 psig.</w:t>
      </w:r>
    </w:p>
    <w:p>
      <w:pPr>
        <w:pStyle w:val="Heading2"/>
      </w:pPr>
      <w:r>
        <w:t xml:space="preserve">3. Flow Measurement</w:t>
      </w:r>
    </w:p>
    <w:p>
      <w:pPr>
        <w:spacing w:after="120"/>
      </w:pPr>
      <w:r>
        <w:rPr>
          <w:sz w:val="22"/>
          <w:szCs w:val="22"/>
        </w:rPr>
        <w:t xml:space="preserve">Three Georg Fischer Signet 3-2537-6C-P0 paddlewheel flow transmitters monitor system performance. </w:t>
      </w:r>
      <w:r>
        <w:rPr>
          <w:b/>
          <w:bCs/>
          <w:sz w:val="22"/>
          <w:szCs w:val="22"/>
        </w:rPr>
        <w:t xml:space="preserve">FT-301</w:t>
      </w:r>
      <w:r>
        <w:rPr>
          <w:sz w:val="22"/>
          <w:szCs w:val="22"/>
        </w:rPr>
        <w:t xml:space="preserve"> measures 1st-pass feed flow (target 128 GPM). </w:t>
      </w:r>
      <w:r>
        <w:rPr>
          <w:b/>
          <w:bCs/>
          <w:sz w:val="22"/>
          <w:szCs w:val="22"/>
        </w:rPr>
        <w:t xml:space="preserve">FT-303</w:t>
      </w:r>
      <w:r>
        <w:rPr>
          <w:sz w:val="22"/>
          <w:szCs w:val="22"/>
        </w:rPr>
        <w:t xml:space="preserve"> measures 2nd-pass product flow (target 100 GPM). Flow signals feed the Siemens S7-1215C PLC for recovery calculation and low-flow shutdown. All three transmitters share part number 3-2537-6C-P0.</w:t>
      </w:r>
    </w:p>
    <w:p>
      <w:pPr>
        <w:pStyle w:val="Heading2"/>
      </w:pPr>
      <w:r>
        <w:t xml:space="preserve">4. Pressure Monitoring</w:t>
      </w:r>
    </w:p>
    <w:p>
      <w:pPr>
        <w:spacing w:after="120"/>
      </w:pPr>
      <w:r>
        <w:rPr>
          <w:sz w:val="22"/>
          <w:szCs w:val="22"/>
        </w:rPr>
        <w:t xml:space="preserve">High-pressure transmitters monitor pump discharge pressure in both passes. </w:t>
      </w:r>
      <w:r>
        <w:rPr>
          <w:b/>
          <w:bCs/>
          <w:sz w:val="22"/>
          <w:szCs w:val="22"/>
        </w:rPr>
        <w:t xml:space="preserve">PIT-305</w:t>
      </w:r>
      <w:r>
        <w:rPr>
          <w:sz w:val="22"/>
          <w:szCs w:val="22"/>
        </w:rPr>
        <w:t xml:space="preserve"> (0–1450 psi, IFM Efector PN2292) monitors 1st-pass pump discharge and triggers high-pressure shutdown at the configured setpoint. </w:t>
      </w:r>
      <w:r>
        <w:rPr>
          <w:b/>
          <w:bCs/>
          <w:sz w:val="22"/>
          <w:szCs w:val="22"/>
        </w:rPr>
        <w:t xml:space="preserve">PIT-312</w:t>
      </w:r>
      <w:r>
        <w:rPr>
          <w:sz w:val="22"/>
          <w:szCs w:val="22"/>
        </w:rPr>
        <w:t xml:space="preserve"> provides the equivalent function on the 2nd-pass pump. Both transmitters output 4-20 mA to the PLC.</w:t>
      </w:r>
    </w:p>
    <w:p>
      <w:pPr>
        <w:pStyle w:val="Heading2"/>
      </w:pPr>
      <w:r>
        <w:t xml:space="preserve">5. Level Protection — Pump Suction</w:t>
      </w:r>
    </w:p>
    <w:p>
      <w:pPr>
        <w:spacing w:after="120"/>
      </w:pPr>
      <w:r>
        <w:rPr>
          <w:sz w:val="22"/>
          <w:szCs w:val="22"/>
        </w:rPr>
        <w:t xml:space="preserve">Three Grundfos rigid suction lance level alarms (p/n 98071114) protect the feed pumps from dry-run damage. </w:t>
      </w:r>
      <w:r>
        <w:rPr>
          <w:b/>
          <w:bCs/>
          <w:sz w:val="22"/>
          <w:szCs w:val="22"/>
        </w:rPr>
        <w:t xml:space="preserve">LSL-201</w:t>
      </w:r>
      <w:r>
        <w:rPr>
          <w:sz w:val="22"/>
          <w:szCs w:val="22"/>
        </w:rPr>
        <w:t xml:space="preserve"> is mounted at the minimum suction level on the first-stage pump. When the suction level falls below the switch setpoint, the PLC initiates an immediate shutdown to prevent pump cavitation. LSL-202 and LSL-203 provide the same protection on subsequent pump stages.</w:t>
      </w:r>
    </w:p>
    <w:p>
      <w:pPr>
        <w:pStyle w:val="Heading2"/>
      </w:pPr>
      <w:r>
        <w:t xml:space="preserve">6. RODI Buffer Tank</w:t>
      </w:r>
    </w:p>
    <w:p>
      <w:pPr>
        <w:spacing w:after="120"/>
      </w:pPr>
      <w:r>
        <w:rPr>
          <w:sz w:val="22"/>
          <w:szCs w:val="22"/>
        </w:rPr>
        <w:t xml:space="preserve">RO product water is stored in the RODI buffer tank before delivery to the electrolyzer. </w:t>
      </w:r>
      <w:r>
        <w:rPr>
          <w:b/>
          <w:bCs/>
          <w:sz w:val="22"/>
          <w:szCs w:val="22"/>
        </w:rPr>
        <w:t xml:space="preserve">LIT-501</w:t>
      </w:r>
      <w:r>
        <w:rPr>
          <w:sz w:val="22"/>
          <w:szCs w:val="22"/>
        </w:rPr>
        <w:t xml:space="preserve"> (Rosemount 3051L, ±250 inH₂O differential pressure transmitter) provides continuous level monitoring with 4-20 mA output to the PLC. High-level standby: when LIT-501 indicates full tank, the RO enters standby mode and flushes periodically. </w:t>
      </w:r>
      <w:r>
        <w:rPr>
          <w:b/>
          <w:bCs/>
          <w:sz w:val="22"/>
          <w:szCs w:val="22"/>
        </w:rPr>
        <w:t xml:space="preserve">HV-507</w:t>
      </w:r>
      <w:r>
        <w:rPr>
          <w:sz w:val="22"/>
          <w:szCs w:val="22"/>
        </w:rPr>
        <w:t xml:space="preserve"> (Bray 4" 175 PSI butterfly valve) is the primary isolation valve on the tank outlet supply to the electrolyzer feed header. An N2 blanket (PCV-500) maintains tank pressure and a conservation vent (CBV-501) prevents over/under-pressure conditions.</w:t>
      </w:r>
    </w:p>
    <w:p>
      <w:pPr>
        <w:pStyle w:val="Heading2"/>
      </w:pPr>
      <w:r>
        <w:t xml:space="preserve">7. Control System</w:t>
      </w:r>
    </w:p>
    <w:p>
      <w:pPr>
        <w:spacing w:after="120"/>
      </w:pPr>
      <w:r>
        <w:rPr>
          <w:sz w:val="22"/>
          <w:szCs w:val="22"/>
        </w:rPr>
        <w:t xml:space="preserve">The unit is controlled by a Siemens S7-1215C PLC with a Siemens TP700 Comfort Panel HMI. All instruments communicate via 4-20 mA analog signals to the PLC I/O cards. Shutdown alarms include: high product conductivity, low feed pressure, low feed flow, high product pressure, high pump discharge pressure, and high feed water temperature. Ethernet connectivity is provided for remote SCADA integration.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2026-05-16T20:11:28.344Z</dcterms:created>
  <dcterms:modified xsi:type="dcterms:W3CDTF">2026-05-16T20:11:28.344Z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