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8670" w14:textId="77777777" w:rsidR="00A07465" w:rsidRDefault="00000000">
      <w:pPr>
        <w:pStyle w:val="Title"/>
      </w:pPr>
      <w:r>
        <w:t>Grade Prediction Report: Gosferd Meter &amp; Regulator Station</w:t>
      </w:r>
    </w:p>
    <w:p w14:paraId="77668671" w14:textId="77777777" w:rsidR="00A07465" w:rsidRDefault="00000000">
      <w:pPr>
        <w:pStyle w:val="Date"/>
      </w:pPr>
      <w:r>
        <w:t>3/3/23</w:t>
      </w:r>
    </w:p>
    <w:sdt>
      <w:sdtPr>
        <w:rPr>
          <w:rFonts w:asciiTheme="minorHAnsi" w:eastAsiaTheme="minorHAnsi" w:hAnsiTheme="minorHAnsi" w:cstheme="minorBidi"/>
          <w:color w:val="auto"/>
          <w:sz w:val="24"/>
          <w:szCs w:val="24"/>
        </w:rPr>
        <w:id w:val="79649267"/>
        <w:docPartObj>
          <w:docPartGallery w:val="Table of Contents"/>
          <w:docPartUnique/>
        </w:docPartObj>
      </w:sdtPr>
      <w:sdtContent>
        <w:p w14:paraId="77668672" w14:textId="77777777" w:rsidR="00A07465" w:rsidRDefault="00000000">
          <w:pPr>
            <w:pStyle w:val="TOCHeading"/>
          </w:pPr>
          <w:r>
            <w:t>Table of contents</w:t>
          </w:r>
        </w:p>
        <w:p w14:paraId="58110A97" w14:textId="0393CB60" w:rsidR="00B229ED" w:rsidRDefault="00000000">
          <w:pPr>
            <w:pStyle w:val="TOC1"/>
            <w:tabs>
              <w:tab w:val="right" w:leader="dot" w:pos="9350"/>
            </w:tabs>
            <w:rPr>
              <w:noProof/>
            </w:rPr>
          </w:pPr>
          <w:r>
            <w:fldChar w:fldCharType="begin"/>
          </w:r>
          <w:r>
            <w:instrText>TOC \o "1-3" \h \z \u</w:instrText>
          </w:r>
          <w:r>
            <w:fldChar w:fldCharType="separate"/>
          </w:r>
          <w:hyperlink w:anchor="_Toc128987054" w:history="1">
            <w:r w:rsidR="00B229ED" w:rsidRPr="0021134D">
              <w:rPr>
                <w:rStyle w:val="Hyperlink"/>
                <w:noProof/>
              </w:rPr>
              <w:t>Executive Summary</w:t>
            </w:r>
            <w:r w:rsidR="00B229ED">
              <w:rPr>
                <w:noProof/>
                <w:webHidden/>
              </w:rPr>
              <w:tab/>
            </w:r>
            <w:r w:rsidR="00B229ED">
              <w:rPr>
                <w:noProof/>
                <w:webHidden/>
              </w:rPr>
              <w:fldChar w:fldCharType="begin"/>
            </w:r>
            <w:r w:rsidR="00B229ED">
              <w:rPr>
                <w:noProof/>
                <w:webHidden/>
              </w:rPr>
              <w:instrText xml:space="preserve"> PAGEREF _Toc128987054 \h </w:instrText>
            </w:r>
            <w:r w:rsidR="00B229ED">
              <w:rPr>
                <w:noProof/>
                <w:webHidden/>
              </w:rPr>
            </w:r>
            <w:r w:rsidR="00B229ED">
              <w:rPr>
                <w:noProof/>
                <w:webHidden/>
              </w:rPr>
              <w:fldChar w:fldCharType="separate"/>
            </w:r>
            <w:r w:rsidR="00B229ED">
              <w:rPr>
                <w:noProof/>
                <w:webHidden/>
              </w:rPr>
              <w:t>1</w:t>
            </w:r>
            <w:r w:rsidR="00B229ED">
              <w:rPr>
                <w:noProof/>
                <w:webHidden/>
              </w:rPr>
              <w:fldChar w:fldCharType="end"/>
            </w:r>
          </w:hyperlink>
        </w:p>
        <w:p w14:paraId="20D02A2F" w14:textId="7FAEC602" w:rsidR="00B229ED" w:rsidRDefault="00B229ED">
          <w:pPr>
            <w:pStyle w:val="TOC1"/>
            <w:tabs>
              <w:tab w:val="right" w:leader="dot" w:pos="9350"/>
            </w:tabs>
            <w:rPr>
              <w:noProof/>
            </w:rPr>
          </w:pPr>
          <w:hyperlink w:anchor="_Toc128987055" w:history="1">
            <w:r w:rsidRPr="0021134D">
              <w:rPr>
                <w:rStyle w:val="Hyperlink"/>
                <w:noProof/>
              </w:rPr>
              <w:t>1. Introduction</w:t>
            </w:r>
            <w:r>
              <w:rPr>
                <w:noProof/>
                <w:webHidden/>
              </w:rPr>
              <w:tab/>
            </w:r>
            <w:r>
              <w:rPr>
                <w:noProof/>
                <w:webHidden/>
              </w:rPr>
              <w:fldChar w:fldCharType="begin"/>
            </w:r>
            <w:r>
              <w:rPr>
                <w:noProof/>
                <w:webHidden/>
              </w:rPr>
              <w:instrText xml:space="preserve"> PAGEREF _Toc128987055 \h </w:instrText>
            </w:r>
            <w:r>
              <w:rPr>
                <w:noProof/>
                <w:webHidden/>
              </w:rPr>
            </w:r>
            <w:r>
              <w:rPr>
                <w:noProof/>
                <w:webHidden/>
              </w:rPr>
              <w:fldChar w:fldCharType="separate"/>
            </w:r>
            <w:r>
              <w:rPr>
                <w:noProof/>
                <w:webHidden/>
              </w:rPr>
              <w:t>2</w:t>
            </w:r>
            <w:r>
              <w:rPr>
                <w:noProof/>
                <w:webHidden/>
              </w:rPr>
              <w:fldChar w:fldCharType="end"/>
            </w:r>
          </w:hyperlink>
        </w:p>
        <w:p w14:paraId="6CEF130E" w14:textId="5992B3D8" w:rsidR="00B229ED" w:rsidRDefault="00B229ED">
          <w:pPr>
            <w:pStyle w:val="TOC2"/>
            <w:tabs>
              <w:tab w:val="right" w:leader="dot" w:pos="9350"/>
            </w:tabs>
            <w:rPr>
              <w:noProof/>
            </w:rPr>
          </w:pPr>
          <w:hyperlink w:anchor="_Toc128987056" w:history="1">
            <w:r w:rsidRPr="0021134D">
              <w:rPr>
                <w:rStyle w:val="Hyperlink"/>
                <w:noProof/>
              </w:rPr>
              <w:t>Number of Cases</w:t>
            </w:r>
            <w:r>
              <w:rPr>
                <w:noProof/>
                <w:webHidden/>
              </w:rPr>
              <w:tab/>
            </w:r>
            <w:r>
              <w:rPr>
                <w:noProof/>
                <w:webHidden/>
              </w:rPr>
              <w:fldChar w:fldCharType="begin"/>
            </w:r>
            <w:r>
              <w:rPr>
                <w:noProof/>
                <w:webHidden/>
              </w:rPr>
              <w:instrText xml:space="preserve"> PAGEREF _Toc128987056 \h </w:instrText>
            </w:r>
            <w:r>
              <w:rPr>
                <w:noProof/>
                <w:webHidden/>
              </w:rPr>
            </w:r>
            <w:r>
              <w:rPr>
                <w:noProof/>
                <w:webHidden/>
              </w:rPr>
              <w:fldChar w:fldCharType="separate"/>
            </w:r>
            <w:r>
              <w:rPr>
                <w:noProof/>
                <w:webHidden/>
              </w:rPr>
              <w:t>3</w:t>
            </w:r>
            <w:r>
              <w:rPr>
                <w:noProof/>
                <w:webHidden/>
              </w:rPr>
              <w:fldChar w:fldCharType="end"/>
            </w:r>
          </w:hyperlink>
        </w:p>
        <w:p w14:paraId="2ABAF2F4" w14:textId="75C7E545" w:rsidR="00B229ED" w:rsidRDefault="00B229ED">
          <w:pPr>
            <w:pStyle w:val="TOC1"/>
            <w:tabs>
              <w:tab w:val="right" w:leader="dot" w:pos="9350"/>
            </w:tabs>
            <w:rPr>
              <w:noProof/>
            </w:rPr>
          </w:pPr>
          <w:hyperlink w:anchor="_Toc128987057" w:history="1">
            <w:r w:rsidRPr="0021134D">
              <w:rPr>
                <w:rStyle w:val="Hyperlink"/>
                <w:noProof/>
              </w:rPr>
              <w:t>2. Model Inputs</w:t>
            </w:r>
            <w:r>
              <w:rPr>
                <w:noProof/>
                <w:webHidden/>
              </w:rPr>
              <w:tab/>
            </w:r>
            <w:r>
              <w:rPr>
                <w:noProof/>
                <w:webHidden/>
              </w:rPr>
              <w:fldChar w:fldCharType="begin"/>
            </w:r>
            <w:r>
              <w:rPr>
                <w:noProof/>
                <w:webHidden/>
              </w:rPr>
              <w:instrText xml:space="preserve"> PAGEREF _Toc128987057 \h </w:instrText>
            </w:r>
            <w:r>
              <w:rPr>
                <w:noProof/>
                <w:webHidden/>
              </w:rPr>
            </w:r>
            <w:r>
              <w:rPr>
                <w:noProof/>
                <w:webHidden/>
              </w:rPr>
              <w:fldChar w:fldCharType="separate"/>
            </w:r>
            <w:r>
              <w:rPr>
                <w:noProof/>
                <w:webHidden/>
              </w:rPr>
              <w:t>4</w:t>
            </w:r>
            <w:r>
              <w:rPr>
                <w:noProof/>
                <w:webHidden/>
              </w:rPr>
              <w:fldChar w:fldCharType="end"/>
            </w:r>
          </w:hyperlink>
        </w:p>
        <w:p w14:paraId="61073FA6" w14:textId="12F16850" w:rsidR="00B229ED" w:rsidRDefault="00B229ED">
          <w:pPr>
            <w:pStyle w:val="TOC1"/>
            <w:tabs>
              <w:tab w:val="right" w:leader="dot" w:pos="9350"/>
            </w:tabs>
            <w:rPr>
              <w:noProof/>
            </w:rPr>
          </w:pPr>
          <w:hyperlink w:anchor="_Toc128987058" w:history="1">
            <w:r w:rsidRPr="0021134D">
              <w:rPr>
                <w:rStyle w:val="Hyperlink"/>
                <w:noProof/>
              </w:rPr>
              <w:t>3. Model Results</w:t>
            </w:r>
            <w:r>
              <w:rPr>
                <w:noProof/>
                <w:webHidden/>
              </w:rPr>
              <w:tab/>
            </w:r>
            <w:r>
              <w:rPr>
                <w:noProof/>
                <w:webHidden/>
              </w:rPr>
              <w:fldChar w:fldCharType="begin"/>
            </w:r>
            <w:r>
              <w:rPr>
                <w:noProof/>
                <w:webHidden/>
              </w:rPr>
              <w:instrText xml:space="preserve"> PAGEREF _Toc128987058 \h </w:instrText>
            </w:r>
            <w:r>
              <w:rPr>
                <w:noProof/>
                <w:webHidden/>
              </w:rPr>
            </w:r>
            <w:r>
              <w:rPr>
                <w:noProof/>
                <w:webHidden/>
              </w:rPr>
              <w:fldChar w:fldCharType="separate"/>
            </w:r>
            <w:r>
              <w:rPr>
                <w:noProof/>
                <w:webHidden/>
              </w:rPr>
              <w:t>5</w:t>
            </w:r>
            <w:r>
              <w:rPr>
                <w:noProof/>
                <w:webHidden/>
              </w:rPr>
              <w:fldChar w:fldCharType="end"/>
            </w:r>
          </w:hyperlink>
        </w:p>
        <w:p w14:paraId="6E21A84E" w14:textId="14D42383" w:rsidR="00B229ED" w:rsidRDefault="00B229ED">
          <w:pPr>
            <w:pStyle w:val="TOC2"/>
            <w:tabs>
              <w:tab w:val="right" w:leader="dot" w:pos="9350"/>
            </w:tabs>
            <w:rPr>
              <w:noProof/>
            </w:rPr>
          </w:pPr>
          <w:hyperlink w:anchor="_Toc128987059" w:history="1">
            <w:r w:rsidRPr="0021134D">
              <w:rPr>
                <w:rStyle w:val="Hyperlink"/>
                <w:noProof/>
              </w:rPr>
              <w:t>3.1 Mean Probabilities</w:t>
            </w:r>
            <w:r>
              <w:rPr>
                <w:noProof/>
                <w:webHidden/>
              </w:rPr>
              <w:tab/>
            </w:r>
            <w:r>
              <w:rPr>
                <w:noProof/>
                <w:webHidden/>
              </w:rPr>
              <w:fldChar w:fldCharType="begin"/>
            </w:r>
            <w:r>
              <w:rPr>
                <w:noProof/>
                <w:webHidden/>
              </w:rPr>
              <w:instrText xml:space="preserve"> PAGEREF _Toc128987059 \h </w:instrText>
            </w:r>
            <w:r>
              <w:rPr>
                <w:noProof/>
                <w:webHidden/>
              </w:rPr>
            </w:r>
            <w:r>
              <w:rPr>
                <w:noProof/>
                <w:webHidden/>
              </w:rPr>
              <w:fldChar w:fldCharType="separate"/>
            </w:r>
            <w:r>
              <w:rPr>
                <w:noProof/>
                <w:webHidden/>
              </w:rPr>
              <w:t>5</w:t>
            </w:r>
            <w:r>
              <w:rPr>
                <w:noProof/>
                <w:webHidden/>
              </w:rPr>
              <w:fldChar w:fldCharType="end"/>
            </w:r>
          </w:hyperlink>
        </w:p>
        <w:p w14:paraId="1C42B2D9" w14:textId="4050C795" w:rsidR="00B229ED" w:rsidRDefault="00B229ED">
          <w:pPr>
            <w:pStyle w:val="TOC2"/>
            <w:tabs>
              <w:tab w:val="right" w:leader="dot" w:pos="9350"/>
            </w:tabs>
            <w:rPr>
              <w:noProof/>
            </w:rPr>
          </w:pPr>
          <w:hyperlink w:anchor="_Toc128987060" w:history="1">
            <w:r w:rsidRPr="0021134D">
              <w:rPr>
                <w:rStyle w:val="Hyperlink"/>
                <w:noProof/>
              </w:rPr>
              <w:t>Tabulated Results</w:t>
            </w:r>
            <w:r>
              <w:rPr>
                <w:noProof/>
                <w:webHidden/>
              </w:rPr>
              <w:tab/>
            </w:r>
            <w:r>
              <w:rPr>
                <w:noProof/>
                <w:webHidden/>
              </w:rPr>
              <w:fldChar w:fldCharType="begin"/>
            </w:r>
            <w:r>
              <w:rPr>
                <w:noProof/>
                <w:webHidden/>
              </w:rPr>
              <w:instrText xml:space="preserve"> PAGEREF _Toc128987060 \h </w:instrText>
            </w:r>
            <w:r>
              <w:rPr>
                <w:noProof/>
                <w:webHidden/>
              </w:rPr>
            </w:r>
            <w:r>
              <w:rPr>
                <w:noProof/>
                <w:webHidden/>
              </w:rPr>
              <w:fldChar w:fldCharType="separate"/>
            </w:r>
            <w:r>
              <w:rPr>
                <w:noProof/>
                <w:webHidden/>
              </w:rPr>
              <w:t>6</w:t>
            </w:r>
            <w:r>
              <w:rPr>
                <w:noProof/>
                <w:webHidden/>
              </w:rPr>
              <w:fldChar w:fldCharType="end"/>
            </w:r>
          </w:hyperlink>
        </w:p>
        <w:p w14:paraId="45D3E1B5" w14:textId="2D76887E" w:rsidR="00B229ED" w:rsidRDefault="00B229ED">
          <w:pPr>
            <w:pStyle w:val="TOC2"/>
            <w:tabs>
              <w:tab w:val="right" w:leader="dot" w:pos="9350"/>
            </w:tabs>
            <w:rPr>
              <w:noProof/>
            </w:rPr>
          </w:pPr>
          <w:hyperlink w:anchor="_Toc128987061" w:history="1">
            <w:r w:rsidRPr="0021134D">
              <w:rPr>
                <w:rStyle w:val="Hyperlink"/>
                <w:noProof/>
              </w:rPr>
              <w:t>3.2 Percentage of Cases</w:t>
            </w:r>
            <w:r>
              <w:rPr>
                <w:noProof/>
                <w:webHidden/>
              </w:rPr>
              <w:tab/>
            </w:r>
            <w:r>
              <w:rPr>
                <w:noProof/>
                <w:webHidden/>
              </w:rPr>
              <w:fldChar w:fldCharType="begin"/>
            </w:r>
            <w:r>
              <w:rPr>
                <w:noProof/>
                <w:webHidden/>
              </w:rPr>
              <w:instrText xml:space="preserve"> PAGEREF _Toc128987061 \h </w:instrText>
            </w:r>
            <w:r>
              <w:rPr>
                <w:noProof/>
                <w:webHidden/>
              </w:rPr>
            </w:r>
            <w:r>
              <w:rPr>
                <w:noProof/>
                <w:webHidden/>
              </w:rPr>
              <w:fldChar w:fldCharType="separate"/>
            </w:r>
            <w:r>
              <w:rPr>
                <w:noProof/>
                <w:webHidden/>
              </w:rPr>
              <w:t>7</w:t>
            </w:r>
            <w:r>
              <w:rPr>
                <w:noProof/>
                <w:webHidden/>
              </w:rPr>
              <w:fldChar w:fldCharType="end"/>
            </w:r>
          </w:hyperlink>
        </w:p>
        <w:p w14:paraId="6C86C367" w14:textId="3C76CA7D" w:rsidR="00B229ED" w:rsidRDefault="00B229ED">
          <w:pPr>
            <w:pStyle w:val="TOC2"/>
            <w:tabs>
              <w:tab w:val="right" w:leader="dot" w:pos="9350"/>
            </w:tabs>
            <w:rPr>
              <w:noProof/>
            </w:rPr>
          </w:pPr>
          <w:hyperlink w:anchor="_Toc128987062" w:history="1">
            <w:r w:rsidRPr="0021134D">
              <w:rPr>
                <w:rStyle w:val="Hyperlink"/>
                <w:noProof/>
              </w:rPr>
              <w:t>3.3 Boxplots of Probabilities</w:t>
            </w:r>
            <w:r>
              <w:rPr>
                <w:noProof/>
                <w:webHidden/>
              </w:rPr>
              <w:tab/>
            </w:r>
            <w:r>
              <w:rPr>
                <w:noProof/>
                <w:webHidden/>
              </w:rPr>
              <w:fldChar w:fldCharType="begin"/>
            </w:r>
            <w:r>
              <w:rPr>
                <w:noProof/>
                <w:webHidden/>
              </w:rPr>
              <w:instrText xml:space="preserve"> PAGEREF _Toc128987062 \h </w:instrText>
            </w:r>
            <w:r>
              <w:rPr>
                <w:noProof/>
                <w:webHidden/>
              </w:rPr>
            </w:r>
            <w:r>
              <w:rPr>
                <w:noProof/>
                <w:webHidden/>
              </w:rPr>
              <w:fldChar w:fldCharType="separate"/>
            </w:r>
            <w:r>
              <w:rPr>
                <w:noProof/>
                <w:webHidden/>
              </w:rPr>
              <w:t>8</w:t>
            </w:r>
            <w:r>
              <w:rPr>
                <w:noProof/>
                <w:webHidden/>
              </w:rPr>
              <w:fldChar w:fldCharType="end"/>
            </w:r>
          </w:hyperlink>
        </w:p>
        <w:p w14:paraId="090340C8" w14:textId="34E6C8E0" w:rsidR="00B229ED" w:rsidRDefault="00B229ED">
          <w:pPr>
            <w:pStyle w:val="TOC1"/>
            <w:tabs>
              <w:tab w:val="right" w:leader="dot" w:pos="9350"/>
            </w:tabs>
            <w:rPr>
              <w:noProof/>
            </w:rPr>
          </w:pPr>
          <w:hyperlink w:anchor="_Toc128987063" w:history="1">
            <w:r w:rsidRPr="0021134D">
              <w:rPr>
                <w:rStyle w:val="Hyperlink"/>
                <w:noProof/>
              </w:rPr>
              <w:t>4. Conclusion</w:t>
            </w:r>
            <w:r>
              <w:rPr>
                <w:noProof/>
                <w:webHidden/>
              </w:rPr>
              <w:tab/>
            </w:r>
            <w:r>
              <w:rPr>
                <w:noProof/>
                <w:webHidden/>
              </w:rPr>
              <w:fldChar w:fldCharType="begin"/>
            </w:r>
            <w:r>
              <w:rPr>
                <w:noProof/>
                <w:webHidden/>
              </w:rPr>
              <w:instrText xml:space="preserve"> PAGEREF _Toc128987063 \h </w:instrText>
            </w:r>
            <w:r>
              <w:rPr>
                <w:noProof/>
                <w:webHidden/>
              </w:rPr>
            </w:r>
            <w:r>
              <w:rPr>
                <w:noProof/>
                <w:webHidden/>
              </w:rPr>
              <w:fldChar w:fldCharType="separate"/>
            </w:r>
            <w:r>
              <w:rPr>
                <w:noProof/>
                <w:webHidden/>
              </w:rPr>
              <w:t>9</w:t>
            </w:r>
            <w:r>
              <w:rPr>
                <w:noProof/>
                <w:webHidden/>
              </w:rPr>
              <w:fldChar w:fldCharType="end"/>
            </w:r>
          </w:hyperlink>
        </w:p>
        <w:p w14:paraId="5CD8DD98" w14:textId="4D9A66C3" w:rsidR="00B229ED" w:rsidRDefault="00B229ED">
          <w:pPr>
            <w:pStyle w:val="TOC1"/>
            <w:tabs>
              <w:tab w:val="right" w:leader="dot" w:pos="9350"/>
            </w:tabs>
            <w:rPr>
              <w:noProof/>
            </w:rPr>
          </w:pPr>
          <w:hyperlink w:anchor="_Toc128987064" w:history="1">
            <w:r w:rsidRPr="0021134D">
              <w:rPr>
                <w:rStyle w:val="Hyperlink"/>
                <w:noProof/>
              </w:rPr>
              <w:t>5. References</w:t>
            </w:r>
            <w:r>
              <w:rPr>
                <w:noProof/>
                <w:webHidden/>
              </w:rPr>
              <w:tab/>
            </w:r>
            <w:r>
              <w:rPr>
                <w:noProof/>
                <w:webHidden/>
              </w:rPr>
              <w:fldChar w:fldCharType="begin"/>
            </w:r>
            <w:r>
              <w:rPr>
                <w:noProof/>
                <w:webHidden/>
              </w:rPr>
              <w:instrText xml:space="preserve"> PAGEREF _Toc128987064 \h </w:instrText>
            </w:r>
            <w:r>
              <w:rPr>
                <w:noProof/>
                <w:webHidden/>
              </w:rPr>
            </w:r>
            <w:r>
              <w:rPr>
                <w:noProof/>
                <w:webHidden/>
              </w:rPr>
              <w:fldChar w:fldCharType="separate"/>
            </w:r>
            <w:r>
              <w:rPr>
                <w:noProof/>
                <w:webHidden/>
              </w:rPr>
              <w:t>9</w:t>
            </w:r>
            <w:r>
              <w:rPr>
                <w:noProof/>
                <w:webHidden/>
              </w:rPr>
              <w:fldChar w:fldCharType="end"/>
            </w:r>
          </w:hyperlink>
        </w:p>
        <w:p w14:paraId="77668673" w14:textId="06B9FF1E" w:rsidR="00A07465" w:rsidRDefault="00000000">
          <w:r>
            <w:fldChar w:fldCharType="end"/>
          </w:r>
        </w:p>
      </w:sdtContent>
    </w:sdt>
    <w:p w14:paraId="77668674" w14:textId="77777777" w:rsidR="00A07465" w:rsidRDefault="00000000">
      <w:pPr>
        <w:pStyle w:val="Heading1"/>
      </w:pPr>
      <w:bookmarkStart w:id="0" w:name="executive-summary"/>
      <w:bookmarkStart w:id="1" w:name="_Toc128987054"/>
      <w:r>
        <w:t>Executive Summary</w:t>
      </w:r>
      <w:bookmarkEnd w:id="1"/>
    </w:p>
    <w:p w14:paraId="77668675" w14:textId="77777777" w:rsidR="00A07465" w:rsidRDefault="00000000">
      <w:pPr>
        <w:pStyle w:val="FirstParagraph"/>
      </w:pPr>
      <w:r>
        <w:t>The 5 pipe joints from Gosferd Meter &amp; Regulator Station had chemical composition testing completed using non-destructive examination (NDE) and the information was supplied to RSI Pipeline Solutions to predict the most probable grade.The chemical composition data was used in a machine learning model that was trained on an aggregated composition dataset from various third parties as well as the Pacific Gas and Electric Company (PG&amp;E) to predict grade.</w:t>
      </w:r>
    </w:p>
    <w:p w14:paraId="77668676" w14:textId="77777777" w:rsidR="00A07465" w:rsidRDefault="00000000">
      <w:pPr>
        <w:pStyle w:val="BodyText"/>
      </w:pPr>
      <w:r>
        <w:t>Several methods of NDE chemical composition testing were used including filings collection followed by laboratory analysis (Filings) and laser-induced breakdown spectroscopy (LIBS) combined with X-ray fluorescence (XRF). For joints that had filings data available, the filings data were used for grade predictions, otherwise the LIBS/XRF data were used. The predicted grade for all the joints is Grade X42 based on mean probability or percentage of cases.</w:t>
      </w:r>
    </w:p>
    <w:p w14:paraId="77668677" w14:textId="3D06622E" w:rsidR="00A07465" w:rsidRDefault="00000000">
      <w:pPr>
        <w:pStyle w:val="TableCaption"/>
        <w:jc w:val="center"/>
      </w:pPr>
      <w:r>
        <w:rPr>
          <w:b/>
        </w:rPr>
        <w:t xml:space="preserve">Table </w:t>
      </w:r>
      <w:bookmarkStart w:id="2" w:name="tbl-results_sum"/>
      <w:r>
        <w:rPr>
          <w:b/>
        </w:rPr>
        <w:fldChar w:fldCharType="begin"/>
      </w:r>
      <w:r>
        <w:rPr>
          <w:b/>
        </w:rPr>
        <w:instrText>SEQ tab \* Arabic</w:instrText>
      </w:r>
      <w:r w:rsidR="00B229ED">
        <w:rPr>
          <w:b/>
        </w:rPr>
        <w:fldChar w:fldCharType="separate"/>
      </w:r>
      <w:r w:rsidR="00B229ED">
        <w:rPr>
          <w:b/>
          <w:noProof/>
        </w:rPr>
        <w:t>1</w:t>
      </w:r>
      <w:r>
        <w:rPr>
          <w:b/>
        </w:rPr>
        <w:fldChar w:fldCharType="end"/>
      </w:r>
      <w:bookmarkEnd w:id="2"/>
      <w:r>
        <w:rPr>
          <w:b/>
        </w:rPr>
        <w:t xml:space="preserve">: </w:t>
      </w:r>
      <w:r>
        <w:t>Grade Prediction Results Summary</w:t>
      </w:r>
    </w:p>
    <w:tbl>
      <w:tblPr>
        <w:tblStyle w:val="Table"/>
        <w:tblW w:w="0" w:type="auto"/>
        <w:jc w:val="center"/>
        <w:tblLayout w:type="fixed"/>
        <w:tblLook w:val="0420" w:firstRow="1" w:lastRow="0" w:firstColumn="0" w:lastColumn="0" w:noHBand="0" w:noVBand="1"/>
      </w:tblPr>
      <w:tblGrid>
        <w:gridCol w:w="973"/>
        <w:gridCol w:w="2281"/>
        <w:gridCol w:w="2465"/>
      </w:tblGrid>
      <w:tr w:rsidR="00A07465" w14:paraId="7766867B"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7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Joint</w:t>
            </w:r>
          </w:p>
        </w:tc>
        <w:tc>
          <w:tcPr>
            <w:tcW w:w="228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7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Highest Predicted</w:t>
            </w:r>
            <w:r>
              <w:rPr>
                <w:rFonts w:ascii="Arial" w:eastAsia="Arial" w:hAnsi="Arial" w:cs="Arial"/>
                <w:b/>
                <w:color w:val="000000"/>
                <w:sz w:val="22"/>
                <w:szCs w:val="22"/>
              </w:rPr>
              <w:br/>
              <w:t>Mean Probability</w:t>
            </w:r>
          </w:p>
        </w:tc>
        <w:tc>
          <w:tcPr>
            <w:tcW w:w="246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7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Highest Percentage</w:t>
            </w:r>
            <w:r>
              <w:rPr>
                <w:rFonts w:ascii="Arial" w:eastAsia="Arial" w:hAnsi="Arial" w:cs="Arial"/>
                <w:b/>
                <w:color w:val="000000"/>
                <w:sz w:val="22"/>
                <w:szCs w:val="22"/>
              </w:rPr>
              <w:br/>
              <w:t>of Cases</w:t>
            </w:r>
          </w:p>
        </w:tc>
      </w:tr>
      <w:tr w:rsidR="00A07465" w14:paraId="7766867F"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7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JT-01</w:t>
            </w:r>
          </w:p>
        </w:tc>
        <w:tc>
          <w:tcPr>
            <w:tcW w:w="228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7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7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683"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8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JT-02</w:t>
            </w:r>
          </w:p>
        </w:tc>
        <w:tc>
          <w:tcPr>
            <w:tcW w:w="228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8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8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687"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8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JT-05</w:t>
            </w:r>
          </w:p>
        </w:tc>
        <w:tc>
          <w:tcPr>
            <w:tcW w:w="228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8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8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68B"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8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JT-07</w:t>
            </w:r>
          </w:p>
        </w:tc>
        <w:tc>
          <w:tcPr>
            <w:tcW w:w="228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8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8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68F"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8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JT-08</w:t>
            </w:r>
          </w:p>
        </w:tc>
        <w:tc>
          <w:tcPr>
            <w:tcW w:w="228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8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8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bl>
    <w:p w14:paraId="77668690" w14:textId="77777777" w:rsidR="00A07465" w:rsidRDefault="00000000">
      <w:pPr>
        <w:pStyle w:val="BodyText"/>
      </w:pPr>
      <w:r>
        <w:t>PG&amp;E will make the final determination of the pipe grade to use in downstream analyses. Any disagreement between the highest predicted mean probability and highest percentage of cases will be resolved during PG&amp;E’s grade determination process.</w:t>
      </w:r>
    </w:p>
    <w:p w14:paraId="77668691" w14:textId="77777777" w:rsidR="00A07465" w:rsidRDefault="00000000">
      <w:pPr>
        <w:pStyle w:val="Heading1"/>
      </w:pPr>
      <w:bookmarkStart w:id="3" w:name="introduction"/>
      <w:bookmarkStart w:id="4" w:name="_Toc128987055"/>
      <w:bookmarkEnd w:id="0"/>
      <w:r>
        <w:t>1. Introduction</w:t>
      </w:r>
      <w:bookmarkEnd w:id="4"/>
    </w:p>
    <w:p w14:paraId="77668692" w14:textId="1CFBD51D" w:rsidR="00A07465" w:rsidRDefault="00000000">
      <w:pPr>
        <w:pStyle w:val="FirstParagraph"/>
      </w:pPr>
      <w:r>
        <w:t xml:space="preserve">Although yield strength (YS) can be measured through in-situ methods like Instrumented Indentation Testing (IIT) with a reasonable degree of confidence, YS by itself does not address the question of pipe grade (and hence, SMYS) since a single YS can span multiple grades based on the allowable ranges of YS per API 5L. To overcome this challenge, a supervised classification machine learning (ML) model was developed to predict pipe grade using NDE chemical composition measurements as inputs. This ML model is referred to in this report as a pipe grade calculator. While using the ML-based model provides substantial improvement in predicting pipe grade, measurement uncertainty from both composition NDE tools must be considered per 192.607(d)(2). This model uses the wt% of manganese, carbon, and sulfur as well as diameter and wall thickness to predict grade using a Random Forest ML model using a dataset of approximately 10,000 joints with known grade and composition. The data sources came from PG&amp;E’s ECA and TIMP data as well as third party mill inspection reports. The data was split for training and validation at a 85%/15% ratio respectively. The overall accuracy is 88%. The confusion matrix is shown in </w:t>
      </w:r>
      <w:hyperlink w:anchor="fig-confuse">
        <w:r>
          <w:rPr>
            <w:rStyle w:val="Hyperlink"/>
          </w:rPr>
          <w:t>Figure 1</w:t>
        </w:r>
      </w:hyperlink>
      <w:r>
        <w:t xml:space="preserve">. The total number of cases used to validate the pipe grade calculator are summarized in </w:t>
      </w:r>
      <w:r>
        <w:rPr>
          <w:b/>
          <w:bCs/>
        </w:rPr>
        <w:t>?@tbl-casecount</w:t>
      </w:r>
      <w:r>
        <w:t>.</w:t>
      </w:r>
    </w:p>
    <w:p w14:paraId="77668693" w14:textId="77777777" w:rsidR="00A07465" w:rsidRDefault="00000000">
      <w:pPr>
        <w:pStyle w:val="BodyText"/>
      </w:pPr>
      <w:r>
        <w:t>The following inputs are used in the ML model.</w:t>
      </w:r>
    </w:p>
    <w:p w14:paraId="77668694" w14:textId="77777777" w:rsidR="00A07465" w:rsidRDefault="00000000">
      <w:pPr>
        <w:numPr>
          <w:ilvl w:val="0"/>
          <w:numId w:val="2"/>
        </w:numPr>
      </w:pPr>
      <w:r>
        <w:t>Carbon Content (wt%)</w:t>
      </w:r>
    </w:p>
    <w:p w14:paraId="77668695" w14:textId="77777777" w:rsidR="00A07465" w:rsidRDefault="00000000">
      <w:pPr>
        <w:numPr>
          <w:ilvl w:val="0"/>
          <w:numId w:val="2"/>
        </w:numPr>
      </w:pPr>
      <w:r>
        <w:t>Manganese content (wt%)</w:t>
      </w:r>
    </w:p>
    <w:p w14:paraId="77668696" w14:textId="77777777" w:rsidR="00A07465" w:rsidRDefault="00000000">
      <w:pPr>
        <w:numPr>
          <w:ilvl w:val="0"/>
          <w:numId w:val="2"/>
        </w:numPr>
      </w:pPr>
      <w:r>
        <w:t>Sulfur content (wt%)</w:t>
      </w:r>
    </w:p>
    <w:p w14:paraId="77668697" w14:textId="77777777" w:rsidR="00A07465" w:rsidRDefault="00000000">
      <w:pPr>
        <w:numPr>
          <w:ilvl w:val="0"/>
          <w:numId w:val="2"/>
        </w:numPr>
      </w:pPr>
      <w:r>
        <w:t>Outside diameter (OD)</w:t>
      </w:r>
    </w:p>
    <w:p w14:paraId="77668698" w14:textId="77777777" w:rsidR="00A07465" w:rsidRDefault="00000000">
      <w:pPr>
        <w:numPr>
          <w:ilvl w:val="0"/>
          <w:numId w:val="2"/>
        </w:numPr>
      </w:pPr>
      <w:r>
        <w:t>Nominal wall thickness (NWT)</w:t>
      </w:r>
    </w:p>
    <w:p w14:paraId="77668699" w14:textId="77777777" w:rsidR="00A07465" w:rsidRDefault="00000000">
      <w:pPr>
        <w:numPr>
          <w:ilvl w:val="0"/>
          <w:numId w:val="2"/>
        </w:numPr>
      </w:pPr>
      <w:r>
        <w:lastRenderedPageBreak/>
        <w:t>OD to NWT Ratio (OD/NWT)</w:t>
      </w:r>
    </w:p>
    <w:tbl>
      <w:tblPr>
        <w:tblStyle w:val="Table"/>
        <w:tblW w:w="5000" w:type="pct"/>
        <w:tblLook w:val="0000" w:firstRow="0" w:lastRow="0" w:firstColumn="0" w:lastColumn="0" w:noHBand="0" w:noVBand="0"/>
      </w:tblPr>
      <w:tblGrid>
        <w:gridCol w:w="9576"/>
      </w:tblGrid>
      <w:tr w:rsidR="00A07465" w14:paraId="7766869C" w14:textId="77777777">
        <w:tc>
          <w:tcPr>
            <w:tcW w:w="0" w:type="auto"/>
          </w:tcPr>
          <w:p w14:paraId="7766869A" w14:textId="77777777" w:rsidR="00A07465" w:rsidRDefault="00000000">
            <w:pPr>
              <w:pStyle w:val="Figure"/>
              <w:jc w:val="center"/>
            </w:pPr>
            <w:bookmarkStart w:id="5" w:name="fig-confuse"/>
            <w:r>
              <w:rPr>
                <w:noProof/>
              </w:rPr>
              <w:drawing>
                <wp:inline distT="0" distB="0" distL="0" distR="0" wp14:anchorId="776687E5" wp14:editId="776687E6">
                  <wp:extent cx="5334000" cy="307508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Users\Joel\Pictures\confuse.png"/>
                          <pic:cNvPicPr>
                            <a:picLocks noChangeAspect="1" noChangeArrowheads="1"/>
                          </pic:cNvPicPr>
                        </pic:nvPicPr>
                        <pic:blipFill>
                          <a:blip r:embed="rId7"/>
                          <a:stretch>
                            <a:fillRect/>
                          </a:stretch>
                        </pic:blipFill>
                        <pic:spPr bwMode="auto">
                          <a:xfrm>
                            <a:off x="0" y="0"/>
                            <a:ext cx="5334000" cy="3075088"/>
                          </a:xfrm>
                          <a:prstGeom prst="rect">
                            <a:avLst/>
                          </a:prstGeom>
                          <a:noFill/>
                          <a:ln w="9525">
                            <a:noFill/>
                            <a:headEnd/>
                            <a:tailEnd/>
                          </a:ln>
                        </pic:spPr>
                      </pic:pic>
                    </a:graphicData>
                  </a:graphic>
                </wp:inline>
              </w:drawing>
            </w:r>
          </w:p>
          <w:p w14:paraId="7766869B" w14:textId="77777777" w:rsidR="00A07465" w:rsidRDefault="00000000">
            <w:pPr>
              <w:pStyle w:val="ImageCaption"/>
              <w:spacing w:before="200"/>
            </w:pPr>
            <w:r>
              <w:t>Figure 1: Confusion Matrix</w:t>
            </w:r>
          </w:p>
        </w:tc>
        <w:bookmarkEnd w:id="5"/>
      </w:tr>
    </w:tbl>
    <w:p w14:paraId="7766869D" w14:textId="77777777" w:rsidR="00A07465" w:rsidRDefault="00000000">
      <w:pPr>
        <w:pStyle w:val="Heading2"/>
      </w:pPr>
      <w:bookmarkStart w:id="6" w:name="number-of-cases"/>
      <w:bookmarkStart w:id="7" w:name="_Toc128987056"/>
      <w:r>
        <w:t>Number of Cases</w:t>
      </w:r>
      <w:bookmarkEnd w:id="7"/>
    </w:p>
    <w:p w14:paraId="7766869E" w14:textId="7719D5EE" w:rsidR="00A07465" w:rsidRDefault="00000000">
      <w:pPr>
        <w:pStyle w:val="TableCaption"/>
        <w:jc w:val="center"/>
      </w:pPr>
      <w:r>
        <w:rPr>
          <w:b/>
        </w:rPr>
        <w:t xml:space="preserve">Table </w:t>
      </w:r>
      <w:bookmarkStart w:id="8" w:name="tbl-casecount"/>
      <w:r>
        <w:rPr>
          <w:b/>
        </w:rPr>
        <w:fldChar w:fldCharType="begin"/>
      </w:r>
      <w:r>
        <w:rPr>
          <w:b/>
        </w:rPr>
        <w:instrText>SEQ tab \* Arabic</w:instrText>
      </w:r>
      <w:r w:rsidR="00B229ED">
        <w:rPr>
          <w:b/>
        </w:rPr>
        <w:fldChar w:fldCharType="separate"/>
      </w:r>
      <w:r w:rsidR="00B229ED">
        <w:rPr>
          <w:b/>
          <w:noProof/>
        </w:rPr>
        <w:t>2</w:t>
      </w:r>
      <w:r>
        <w:rPr>
          <w:b/>
        </w:rPr>
        <w:fldChar w:fldCharType="end"/>
      </w:r>
      <w:bookmarkEnd w:id="8"/>
      <w:r>
        <w:rPr>
          <w:b/>
        </w:rPr>
        <w:t xml:space="preserve">: </w:t>
      </w:r>
      <w:r>
        <w:t>Number of Cases in Confusion Matrix Validation Set</w:t>
      </w:r>
    </w:p>
    <w:tbl>
      <w:tblPr>
        <w:tblStyle w:val="Table"/>
        <w:tblW w:w="0" w:type="auto"/>
        <w:jc w:val="center"/>
        <w:tblLayout w:type="fixed"/>
        <w:tblLook w:val="0420" w:firstRow="1" w:lastRow="0" w:firstColumn="0" w:lastColumn="0" w:noHBand="0" w:noVBand="1"/>
      </w:tblPr>
      <w:tblGrid>
        <w:gridCol w:w="1046"/>
        <w:gridCol w:w="1829"/>
      </w:tblGrid>
      <w:tr w:rsidR="00A07465" w14:paraId="776686A1"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9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Grade</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A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Total Number</w:t>
            </w:r>
            <w:r>
              <w:rPr>
                <w:rFonts w:ascii="Arial" w:eastAsia="Arial" w:hAnsi="Arial" w:cs="Arial"/>
                <w:b/>
                <w:color w:val="000000"/>
                <w:sz w:val="22"/>
                <w:szCs w:val="22"/>
              </w:rPr>
              <w:br/>
              <w:t>of Cases</w:t>
            </w:r>
          </w:p>
        </w:tc>
      </w:tr>
      <w:tr w:rsidR="00A07465" w14:paraId="776686A4"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A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LTB</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A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07465" w14:paraId="776686A7"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A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A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w:t>
            </w:r>
          </w:p>
        </w:tc>
      </w:tr>
      <w:tr w:rsidR="00A07465" w14:paraId="776686AA"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A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A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A07465" w14:paraId="776686AD"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A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X46</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A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07465" w14:paraId="776686B0"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A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X52</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A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r>
      <w:tr w:rsidR="00A07465" w14:paraId="776686B3"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B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X60</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B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w:t>
            </w:r>
          </w:p>
        </w:tc>
      </w:tr>
      <w:tr w:rsidR="00A07465" w14:paraId="776686B6"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B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X65</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B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A07465" w14:paraId="776686B9"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B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X70</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B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A07465" w14:paraId="776686BC" w14:textId="77777777" w:rsidTr="00A07465">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B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B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991</w:t>
            </w:r>
          </w:p>
        </w:tc>
      </w:tr>
    </w:tbl>
    <w:p w14:paraId="776686BD" w14:textId="77777777" w:rsidR="00A07465" w:rsidRDefault="00000000">
      <w:pPr>
        <w:pStyle w:val="Heading1"/>
      </w:pPr>
      <w:bookmarkStart w:id="9" w:name="model-inputs"/>
      <w:bookmarkStart w:id="10" w:name="_Toc128987057"/>
      <w:bookmarkEnd w:id="3"/>
      <w:bookmarkEnd w:id="6"/>
      <w:r>
        <w:lastRenderedPageBreak/>
        <w:t>2. Model Inputs</w:t>
      </w:r>
      <w:bookmarkEnd w:id="10"/>
    </w:p>
    <w:p w14:paraId="776686BE" w14:textId="77777777" w:rsidR="00A07465" w:rsidRDefault="00000000">
      <w:pPr>
        <w:pStyle w:val="FirstParagraph"/>
      </w:pPr>
      <w:r>
        <w:t>A measurement is the process of assigning a value to a physical quantity. Regardless of the precision, measurements will have some variation between the true (but unknown) value and the reported value. To account for this uncertainty of the chemical composition measurements acquired through NDE, a large set of input cases were generated using the uncertainty previously quantified by a third-party vendor and analyzed with the pipe grade calculator using a Monte Carlo analysis.</w:t>
      </w:r>
      <w:r>
        <w:rPr>
          <w:rStyle w:val="FootnoteReference"/>
        </w:rPr>
        <w:footnoteReference w:id="1"/>
      </w:r>
      <w:r>
        <w:t xml:space="preserve"> Specifically, these input cases were generated by treating each measurement quantity as a stochastic variable and randomly sampling each quantity’s uncertainty distribution, which was assumed to be a t-distribution with corresponding mean, standard deviation, and number of samples</w:t>
      </w:r>
      <w:r>
        <w:rPr>
          <w:rStyle w:val="FootnoteReference"/>
        </w:rPr>
        <w:footnoteReference w:id="2"/>
      </w:r>
      <w:r>
        <w:t xml:space="preserve">. The OD, NWT, and OD/NWT were treated as fixed values and stochastic samples (hereto after called cases) were only generated for chemical composition elements. The chemical composition dataset consisted of Mn, C, and S elements. A total of 5,000 input cases were generated for each joint and had corresponding grade probabilities generated. The wall thickness and diameter information is shown in </w:t>
      </w:r>
      <w:r>
        <w:rPr>
          <w:b/>
          <w:bCs/>
        </w:rPr>
        <w:t>?@tbl-data</w:t>
      </w:r>
      <w:r>
        <w:t>.</w:t>
      </w:r>
    </w:p>
    <w:p w14:paraId="776686BF" w14:textId="311203C0" w:rsidR="00A07465" w:rsidRDefault="00000000">
      <w:pPr>
        <w:pStyle w:val="TableCaption"/>
        <w:jc w:val="center"/>
      </w:pPr>
      <w:r>
        <w:rPr>
          <w:b/>
        </w:rPr>
        <w:t xml:space="preserve">Table </w:t>
      </w:r>
      <w:bookmarkStart w:id="11" w:name="tbl-data"/>
      <w:r>
        <w:rPr>
          <w:b/>
        </w:rPr>
        <w:fldChar w:fldCharType="begin"/>
      </w:r>
      <w:r>
        <w:rPr>
          <w:b/>
        </w:rPr>
        <w:instrText>SEQ tab \* Arabic</w:instrText>
      </w:r>
      <w:r w:rsidR="00B229ED">
        <w:rPr>
          <w:b/>
        </w:rPr>
        <w:fldChar w:fldCharType="separate"/>
      </w:r>
      <w:r w:rsidR="00B229ED">
        <w:rPr>
          <w:b/>
          <w:noProof/>
        </w:rPr>
        <w:t>3</w:t>
      </w:r>
      <w:r>
        <w:rPr>
          <w:b/>
        </w:rPr>
        <w:fldChar w:fldCharType="end"/>
      </w:r>
      <w:bookmarkEnd w:id="11"/>
      <w:r>
        <w:rPr>
          <w:b/>
        </w:rPr>
        <w:t xml:space="preserve">: </w:t>
      </w:r>
      <w:r>
        <w:t>Joint Characteristics [1]</w:t>
      </w:r>
    </w:p>
    <w:tbl>
      <w:tblPr>
        <w:tblStyle w:val="Table"/>
        <w:tblW w:w="0" w:type="auto"/>
        <w:jc w:val="center"/>
        <w:tblLayout w:type="fixed"/>
        <w:tblLook w:val="0420" w:firstRow="1" w:lastRow="0" w:firstColumn="0" w:lastColumn="0" w:noHBand="0" w:noVBand="1"/>
      </w:tblPr>
      <w:tblGrid>
        <w:gridCol w:w="973"/>
        <w:gridCol w:w="814"/>
        <w:gridCol w:w="961"/>
      </w:tblGrid>
      <w:tr w:rsidR="00A07465" w14:paraId="776686C3"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C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Joint</w:t>
            </w:r>
          </w:p>
        </w:tc>
        <w:tc>
          <w:tcPr>
            <w:tcW w:w="8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C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OD</w:t>
            </w:r>
            <w:r>
              <w:rPr>
                <w:rFonts w:ascii="Arial" w:eastAsia="Arial" w:hAnsi="Arial" w:cs="Arial"/>
                <w:b/>
                <w:color w:val="000000"/>
                <w:sz w:val="22"/>
                <w:szCs w:val="22"/>
              </w:rPr>
              <w:br/>
              <w:t>(in.)</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C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w:t>
            </w:r>
            <w:r>
              <w:rPr>
                <w:rFonts w:ascii="Arial" w:eastAsia="Arial" w:hAnsi="Arial" w:cs="Arial"/>
                <w:b/>
                <w:color w:val="000000"/>
                <w:sz w:val="22"/>
                <w:szCs w:val="22"/>
              </w:rPr>
              <w:br/>
              <w:t>(in.)</w:t>
            </w:r>
          </w:p>
        </w:tc>
      </w:tr>
      <w:tr w:rsidR="00A07465" w14:paraId="776686C7"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C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JT-01</w:t>
            </w:r>
          </w:p>
        </w:tc>
        <w:tc>
          <w:tcPr>
            <w:tcW w:w="814"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C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C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0.250</w:t>
            </w:r>
          </w:p>
        </w:tc>
      </w:tr>
      <w:tr w:rsidR="00A07465" w14:paraId="776686CB"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C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JT-02</w:t>
            </w:r>
          </w:p>
        </w:tc>
        <w:tc>
          <w:tcPr>
            <w:tcW w:w="8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C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C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0.237</w:t>
            </w:r>
          </w:p>
        </w:tc>
      </w:tr>
      <w:tr w:rsidR="00A07465" w14:paraId="776686CF"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C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JT-05</w:t>
            </w:r>
          </w:p>
        </w:tc>
        <w:tc>
          <w:tcPr>
            <w:tcW w:w="814"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C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C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0.237</w:t>
            </w:r>
          </w:p>
        </w:tc>
      </w:tr>
      <w:tr w:rsidR="00A07465" w14:paraId="776686D3"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JT-07</w:t>
            </w:r>
          </w:p>
        </w:tc>
        <w:tc>
          <w:tcPr>
            <w:tcW w:w="8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0.237</w:t>
            </w:r>
          </w:p>
        </w:tc>
      </w:tr>
      <w:tr w:rsidR="00A07465" w14:paraId="776686D7"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D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JT-08</w:t>
            </w:r>
          </w:p>
        </w:tc>
        <w:tc>
          <w:tcPr>
            <w:tcW w:w="814"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D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D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0.237</w:t>
            </w:r>
          </w:p>
        </w:tc>
      </w:tr>
    </w:tbl>
    <w:p w14:paraId="776686D8" w14:textId="77777777" w:rsidR="00A07465" w:rsidRDefault="00000000">
      <w:pPr>
        <w:pStyle w:val="BodyText"/>
      </w:pPr>
      <w:r>
        <w:t xml:space="preserve">The values in </w:t>
      </w:r>
      <w:r>
        <w:rPr>
          <w:b/>
          <w:bCs/>
        </w:rPr>
        <w:t>?@tbl-samples</w:t>
      </w:r>
      <w:r>
        <w:t xml:space="preserve"> are a summary of the information used to generate the Monte Carlo input cases.</w:t>
      </w:r>
    </w:p>
    <w:p w14:paraId="776686D9" w14:textId="36990E31" w:rsidR="00A07465" w:rsidRDefault="00000000">
      <w:pPr>
        <w:pStyle w:val="TableCaption"/>
        <w:jc w:val="center"/>
      </w:pPr>
      <w:r>
        <w:rPr>
          <w:b/>
        </w:rPr>
        <w:lastRenderedPageBreak/>
        <w:t xml:space="preserve">Table </w:t>
      </w:r>
      <w:bookmarkStart w:id="12" w:name="tbl-samples"/>
      <w:r>
        <w:rPr>
          <w:b/>
        </w:rPr>
        <w:fldChar w:fldCharType="begin"/>
      </w:r>
      <w:r>
        <w:rPr>
          <w:b/>
        </w:rPr>
        <w:instrText>SEQ tab \* Arabic</w:instrText>
      </w:r>
      <w:r w:rsidR="00B229ED">
        <w:rPr>
          <w:b/>
        </w:rPr>
        <w:fldChar w:fldCharType="separate"/>
      </w:r>
      <w:r w:rsidR="00B229ED">
        <w:rPr>
          <w:b/>
          <w:noProof/>
        </w:rPr>
        <w:t>4</w:t>
      </w:r>
      <w:r>
        <w:rPr>
          <w:b/>
        </w:rPr>
        <w:fldChar w:fldCharType="end"/>
      </w:r>
      <w:bookmarkEnd w:id="12"/>
      <w:r>
        <w:rPr>
          <w:b/>
        </w:rPr>
        <w:t xml:space="preserve">: </w:t>
      </w:r>
      <w:r>
        <w:t>Joint Material Properties [2]</w:t>
      </w:r>
    </w:p>
    <w:tbl>
      <w:tblPr>
        <w:tblStyle w:val="Table"/>
        <w:tblW w:w="0" w:type="auto"/>
        <w:jc w:val="center"/>
        <w:tblLayout w:type="fixed"/>
        <w:tblLook w:val="0420" w:firstRow="1" w:lastRow="0" w:firstColumn="0" w:lastColumn="0" w:noHBand="0" w:noVBand="1"/>
      </w:tblPr>
      <w:tblGrid>
        <w:gridCol w:w="973"/>
        <w:gridCol w:w="1718"/>
        <w:gridCol w:w="948"/>
        <w:gridCol w:w="997"/>
        <w:gridCol w:w="1401"/>
      </w:tblGrid>
      <w:tr w:rsidR="00A07465" w14:paraId="776686DF"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Joint</w:t>
            </w:r>
          </w:p>
        </w:tc>
        <w:tc>
          <w:tcPr>
            <w:tcW w:w="171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NDE Method</w:t>
            </w: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Input</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Mean</w:t>
            </w:r>
            <w:r>
              <w:rPr>
                <w:rFonts w:ascii="Arial" w:eastAsia="Arial" w:hAnsi="Arial" w:cs="Arial"/>
                <w:b/>
                <w:color w:val="000000"/>
                <w:sz w:val="22"/>
                <w:szCs w:val="22"/>
              </w:rPr>
              <w:br/>
              <w:t>(wt%)</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D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Std.</w:t>
            </w:r>
            <w:r>
              <w:rPr>
                <w:rFonts w:ascii="Arial" w:eastAsia="Arial" w:hAnsi="Arial" w:cs="Arial"/>
                <w:b/>
                <w:color w:val="000000"/>
                <w:sz w:val="22"/>
                <w:szCs w:val="22"/>
              </w:rPr>
              <w:br/>
              <w:t>Deviation</w:t>
            </w:r>
            <w:r>
              <w:rPr>
                <w:rFonts w:ascii="Arial" w:eastAsia="Arial" w:hAnsi="Arial" w:cs="Arial"/>
                <w:b/>
                <w:color w:val="000000"/>
                <w:sz w:val="22"/>
                <w:szCs w:val="22"/>
              </w:rPr>
              <w:br/>
              <w:t>(wt%)</w:t>
            </w:r>
          </w:p>
        </w:tc>
      </w:tr>
      <w:tr w:rsidR="00A07465" w14:paraId="776686E5" w14:textId="77777777" w:rsidTr="00A07465">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JT-01</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r>
      <w:tr w:rsidR="00A07465" w14:paraId="776686EB"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E6"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E7"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E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E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E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r>
      <w:tr w:rsidR="00A07465" w14:paraId="776686F1"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C"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D"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E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F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r>
      <w:tr w:rsidR="00A07465" w14:paraId="776686F7" w14:textId="77777777" w:rsidTr="00A07465">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JT-02</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0.205</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r>
      <w:tr w:rsidR="00A07465" w14:paraId="776686FD"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F8"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F9"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F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F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6F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r>
      <w:tr w:rsidR="00A07465" w14:paraId="77668703"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E"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F"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r>
      <w:tr w:rsidR="00A07465" w14:paraId="77668709" w14:textId="77777777" w:rsidTr="00A07465">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0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JT-05</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0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0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0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0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r>
      <w:tr w:rsidR="00A07465" w14:paraId="7766870F"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A"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B"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1.106</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0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r>
      <w:tr w:rsidR="00A07465" w14:paraId="77668715"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0"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1"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r>
      <w:tr w:rsidR="00A07465" w14:paraId="7766871B" w14:textId="77777777" w:rsidTr="00A07465">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1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JT-07</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1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1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1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0.205</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1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r>
      <w:tr w:rsidR="00A07465" w14:paraId="77668721"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C"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D"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1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2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r>
      <w:tr w:rsidR="00A07465" w14:paraId="77668727"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2"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3"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r>
      <w:tr w:rsidR="00A07465" w14:paraId="7766872D" w14:textId="77777777" w:rsidTr="00A07465">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2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JT-08</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2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2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2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0.211</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2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r>
      <w:tr w:rsidR="00A07465" w14:paraId="77668733"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E"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2F"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3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3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3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r>
      <w:tr w:rsidR="00A07465" w14:paraId="77668739" w14:textId="77777777" w:rsidTr="00A07465">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34"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35" w14:textId="77777777" w:rsidR="00A07465" w:rsidRDefault="00A07465">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3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3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3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r>
    </w:tbl>
    <w:p w14:paraId="7766873A" w14:textId="77777777" w:rsidR="00A07465" w:rsidRDefault="00000000">
      <w:pPr>
        <w:pStyle w:val="Heading1"/>
      </w:pPr>
      <w:bookmarkStart w:id="13" w:name="model-results"/>
      <w:bookmarkStart w:id="14" w:name="_Toc128987058"/>
      <w:bookmarkEnd w:id="9"/>
      <w:r>
        <w:t>3. Model Results</w:t>
      </w:r>
      <w:bookmarkEnd w:id="14"/>
    </w:p>
    <w:p w14:paraId="7766873B" w14:textId="77777777" w:rsidR="00A07465" w:rsidRDefault="00000000">
      <w:pPr>
        <w:pStyle w:val="Heading2"/>
      </w:pPr>
      <w:bookmarkStart w:id="15" w:name="mean-probabilities"/>
      <w:bookmarkStart w:id="16" w:name="_Toc128987059"/>
      <w:r>
        <w:t>3.1 Mean Probabilities</w:t>
      </w:r>
      <w:bookmarkEnd w:id="16"/>
    </w:p>
    <w:p w14:paraId="7766873C" w14:textId="3D521222" w:rsidR="00A07465" w:rsidRDefault="00000000">
      <w:pPr>
        <w:pStyle w:val="FirstParagraph"/>
      </w:pPr>
      <w:r>
        <w:t xml:space="preserve">The machine learning model produces a probability for each grade based on each of the 5,000 cases supplied to it. After running all the cases the probability for each grade was averaged for each joint. The most probable grade is the one with the highest predicted probability. </w:t>
      </w:r>
      <w:hyperlink w:anchor="fig-meanpreds">
        <w:r>
          <w:rPr>
            <w:rStyle w:val="Hyperlink"/>
          </w:rPr>
          <w:t>Figure 2</w:t>
        </w:r>
      </w:hyperlink>
      <w:r>
        <w:t xml:space="preserve"> shows the mean probability for each grade. The 95% confidence </w:t>
      </w:r>
      <w:r>
        <w:lastRenderedPageBreak/>
        <w:t>intervals of the mean were not shown on the plots due to their small size.</w:t>
      </w:r>
      <w:r>
        <w:rPr>
          <w:rStyle w:val="FootnoteReference"/>
        </w:rPr>
        <w:footnoteReference w:id="3"/>
      </w:r>
      <w:r>
        <w:t xml:space="preserve"> Grade X42 has the highest mean probability, for all joints.</w:t>
      </w:r>
    </w:p>
    <w:tbl>
      <w:tblPr>
        <w:tblStyle w:val="Table"/>
        <w:tblW w:w="5000" w:type="pct"/>
        <w:tblLook w:val="0000" w:firstRow="0" w:lastRow="0" w:firstColumn="0" w:lastColumn="0" w:noHBand="0" w:noVBand="0"/>
      </w:tblPr>
      <w:tblGrid>
        <w:gridCol w:w="9576"/>
      </w:tblGrid>
      <w:tr w:rsidR="00A07465" w14:paraId="7766873F" w14:textId="77777777">
        <w:tc>
          <w:tcPr>
            <w:tcW w:w="0" w:type="auto"/>
          </w:tcPr>
          <w:p w14:paraId="7766873D" w14:textId="77777777" w:rsidR="00A07465" w:rsidRDefault="00000000">
            <w:pPr>
              <w:pStyle w:val="Figure"/>
              <w:jc w:val="center"/>
            </w:pPr>
            <w:bookmarkStart w:id="17" w:name="fig-meanpreds"/>
            <w:r>
              <w:rPr>
                <w:noProof/>
              </w:rPr>
              <w:drawing>
                <wp:inline distT="0" distB="0" distL="0" distR="0" wp14:anchorId="776687E7" wp14:editId="776687E8">
                  <wp:extent cx="5334000" cy="410307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gosferd_files/figure-docx/fig-meanpreds-1.png"/>
                          <pic:cNvPicPr>
                            <a:picLocks noChangeAspect="1" noChangeArrowheads="1"/>
                          </pic:cNvPicPr>
                        </pic:nvPicPr>
                        <pic:blipFill>
                          <a:blip r:embed="rId8"/>
                          <a:stretch>
                            <a:fillRect/>
                          </a:stretch>
                        </pic:blipFill>
                        <pic:spPr bwMode="auto">
                          <a:xfrm>
                            <a:off x="0" y="0"/>
                            <a:ext cx="5334000" cy="4103076"/>
                          </a:xfrm>
                          <a:prstGeom prst="rect">
                            <a:avLst/>
                          </a:prstGeom>
                          <a:noFill/>
                          <a:ln w="9525">
                            <a:noFill/>
                            <a:headEnd/>
                            <a:tailEnd/>
                          </a:ln>
                        </pic:spPr>
                      </pic:pic>
                    </a:graphicData>
                  </a:graphic>
                </wp:inline>
              </w:drawing>
            </w:r>
          </w:p>
          <w:p w14:paraId="7766873E" w14:textId="77777777" w:rsidR="00A07465" w:rsidRDefault="00000000">
            <w:pPr>
              <w:pStyle w:val="ImageCaption"/>
              <w:spacing w:before="200"/>
            </w:pPr>
            <w:r>
              <w:t>Figure 2: Mean Probabilities</w:t>
            </w:r>
          </w:p>
        </w:tc>
        <w:bookmarkEnd w:id="17"/>
      </w:tr>
    </w:tbl>
    <w:p w14:paraId="77668740" w14:textId="77777777" w:rsidR="00A07465" w:rsidRDefault="00000000">
      <w:pPr>
        <w:pStyle w:val="Heading2"/>
      </w:pPr>
      <w:bookmarkStart w:id="18" w:name="tabulated-results"/>
      <w:bookmarkStart w:id="19" w:name="_Toc128987060"/>
      <w:bookmarkEnd w:id="15"/>
      <w:r>
        <w:t>Tabulated Results</w:t>
      </w:r>
      <w:bookmarkEnd w:id="19"/>
    </w:p>
    <w:p w14:paraId="77668741" w14:textId="77777777" w:rsidR="00A07465" w:rsidRDefault="00000000">
      <w:pPr>
        <w:pStyle w:val="FirstParagraph"/>
      </w:pPr>
      <w:r>
        <w:t xml:space="preserve">Using the compositional data, Grade X42 was the highest predicted probability for the joint as shown in </w:t>
      </w:r>
      <w:r>
        <w:rPr>
          <w:b/>
          <w:bCs/>
        </w:rPr>
        <w:t>?@tbl-predstable</w:t>
      </w:r>
      <w:r>
        <w:t>.</w:t>
      </w:r>
    </w:p>
    <w:p w14:paraId="77668742" w14:textId="02A43E59" w:rsidR="00A07465" w:rsidRDefault="00000000">
      <w:pPr>
        <w:pStyle w:val="TableCaption"/>
        <w:jc w:val="center"/>
      </w:pPr>
      <w:r>
        <w:rPr>
          <w:b/>
        </w:rPr>
        <w:t xml:space="preserve">Table </w:t>
      </w:r>
      <w:bookmarkStart w:id="20" w:name="tbl-predstable"/>
      <w:r>
        <w:rPr>
          <w:b/>
        </w:rPr>
        <w:fldChar w:fldCharType="begin"/>
      </w:r>
      <w:r>
        <w:rPr>
          <w:b/>
        </w:rPr>
        <w:instrText>SEQ tab \* Arabic</w:instrText>
      </w:r>
      <w:r w:rsidR="00B229ED">
        <w:rPr>
          <w:b/>
        </w:rPr>
        <w:fldChar w:fldCharType="separate"/>
      </w:r>
      <w:r w:rsidR="00B229ED">
        <w:rPr>
          <w:b/>
          <w:noProof/>
        </w:rPr>
        <w:t>5</w:t>
      </w:r>
      <w:r>
        <w:rPr>
          <w:b/>
        </w:rPr>
        <w:fldChar w:fldCharType="end"/>
      </w:r>
      <w:bookmarkEnd w:id="20"/>
      <w:r>
        <w:rPr>
          <w:b/>
        </w:rPr>
        <w:t xml:space="preserve">: </w:t>
      </w:r>
      <w:r>
        <w:t>Mean Probabilities</w:t>
      </w:r>
    </w:p>
    <w:tbl>
      <w:tblPr>
        <w:tblStyle w:val="Table"/>
        <w:tblW w:w="0" w:type="auto"/>
        <w:jc w:val="center"/>
        <w:tblLayout w:type="fixed"/>
        <w:tblLook w:val="0420" w:firstRow="1" w:lastRow="0" w:firstColumn="0" w:lastColumn="0" w:noHBand="0" w:noVBand="1"/>
      </w:tblPr>
      <w:tblGrid>
        <w:gridCol w:w="973"/>
        <w:gridCol w:w="961"/>
        <w:gridCol w:w="961"/>
        <w:gridCol w:w="961"/>
        <w:gridCol w:w="961"/>
        <w:gridCol w:w="961"/>
        <w:gridCol w:w="961"/>
        <w:gridCol w:w="802"/>
        <w:gridCol w:w="802"/>
      </w:tblGrid>
      <w:tr w:rsidR="00A07465" w14:paraId="7766874C"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Joint</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LTB</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B</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X42</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X46</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X52</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X60</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X65</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4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X70</w:t>
            </w:r>
          </w:p>
        </w:tc>
      </w:tr>
      <w:tr w:rsidR="00A07465" w14:paraId="77668756"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4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4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4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0.099</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5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0.884</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5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5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5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5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5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r>
      <w:tr w:rsidR="00A07465" w14:paraId="77668760"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JT-02</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0.068</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5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0.910</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5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r>
      <w:tr w:rsidR="00A07465" w14:paraId="7766876A"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JT-05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0.056</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6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0.923</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6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r>
      <w:tr w:rsidR="00A07465" w14:paraId="77668774"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6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6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6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6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6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0.011</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7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7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7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7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r>
      <w:tr w:rsidR="00A07465" w14:paraId="7766877E"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JT-08</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0.067</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7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0.909</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0.009</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7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w:t>
            </w:r>
          </w:p>
        </w:tc>
      </w:tr>
    </w:tbl>
    <w:p w14:paraId="7766877F" w14:textId="77777777" w:rsidR="00A07465" w:rsidRDefault="00000000">
      <w:pPr>
        <w:pStyle w:val="Heading2"/>
      </w:pPr>
      <w:bookmarkStart w:id="21" w:name="percentage-of-cases"/>
      <w:bookmarkStart w:id="22" w:name="_Toc128987061"/>
      <w:bookmarkEnd w:id="18"/>
      <w:r>
        <w:t>3.2 Percentage of Cases</w:t>
      </w:r>
      <w:bookmarkEnd w:id="22"/>
    </w:p>
    <w:p w14:paraId="77668780" w14:textId="69F0B002" w:rsidR="00A07465" w:rsidRDefault="00000000">
      <w:pPr>
        <w:pStyle w:val="FirstParagraph"/>
      </w:pPr>
      <w:r>
        <w:t xml:space="preserve">For each case analyzed by the model, it producers a probability is produced for each grade and the one with the highest probability is the chosen grade for that case. </w:t>
      </w:r>
      <w:r>
        <w:rPr>
          <w:b/>
          <w:bCs/>
        </w:rPr>
        <w:t>?@tbl-pctclass</w:t>
      </w:r>
      <w:r>
        <w:t xml:space="preserve"> and </w:t>
      </w:r>
      <w:hyperlink w:anchor="fig-maxgrade">
        <w:r>
          <w:rPr>
            <w:rStyle w:val="Hyperlink"/>
          </w:rPr>
          <w:t>Figure 3</w:t>
        </w:r>
      </w:hyperlink>
      <w:r>
        <w:t xml:space="preserve"> display the percentage of cases that each grade was selected as the most probable. Grade X42 was the highest percentage of cases for for all features.</w:t>
      </w:r>
    </w:p>
    <w:tbl>
      <w:tblPr>
        <w:tblStyle w:val="Table"/>
        <w:tblW w:w="5000" w:type="pct"/>
        <w:tblLook w:val="0000" w:firstRow="0" w:lastRow="0" w:firstColumn="0" w:lastColumn="0" w:noHBand="0" w:noVBand="0"/>
      </w:tblPr>
      <w:tblGrid>
        <w:gridCol w:w="9576"/>
      </w:tblGrid>
      <w:tr w:rsidR="00A07465" w14:paraId="77668783" w14:textId="77777777">
        <w:tc>
          <w:tcPr>
            <w:tcW w:w="0" w:type="auto"/>
          </w:tcPr>
          <w:p w14:paraId="77668781" w14:textId="77777777" w:rsidR="00A07465" w:rsidRDefault="00000000">
            <w:pPr>
              <w:pStyle w:val="Figure"/>
              <w:jc w:val="center"/>
            </w:pPr>
            <w:bookmarkStart w:id="23" w:name="fig-maxgrade"/>
            <w:r>
              <w:rPr>
                <w:noProof/>
              </w:rPr>
              <w:drawing>
                <wp:inline distT="0" distB="0" distL="0" distR="0" wp14:anchorId="776687E9" wp14:editId="776687EA">
                  <wp:extent cx="5334000" cy="4103076"/>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gosferd_files/figure-docx/fig-maxgrade-1.png"/>
                          <pic:cNvPicPr>
                            <a:picLocks noChangeAspect="1" noChangeArrowheads="1"/>
                          </pic:cNvPicPr>
                        </pic:nvPicPr>
                        <pic:blipFill>
                          <a:blip r:embed="rId9"/>
                          <a:stretch>
                            <a:fillRect/>
                          </a:stretch>
                        </pic:blipFill>
                        <pic:spPr bwMode="auto">
                          <a:xfrm>
                            <a:off x="0" y="0"/>
                            <a:ext cx="5334000" cy="4103076"/>
                          </a:xfrm>
                          <a:prstGeom prst="rect">
                            <a:avLst/>
                          </a:prstGeom>
                          <a:noFill/>
                          <a:ln w="9525">
                            <a:noFill/>
                            <a:headEnd/>
                            <a:tailEnd/>
                          </a:ln>
                        </pic:spPr>
                      </pic:pic>
                    </a:graphicData>
                  </a:graphic>
                </wp:inline>
              </w:drawing>
            </w:r>
          </w:p>
          <w:p w14:paraId="77668782" w14:textId="77777777" w:rsidR="00A07465" w:rsidRDefault="00000000">
            <w:pPr>
              <w:pStyle w:val="ImageCaption"/>
              <w:spacing w:before="200"/>
            </w:pPr>
            <w:r>
              <w:t>Figure 3: Percentage of Cases Grade was Selected</w:t>
            </w:r>
          </w:p>
        </w:tc>
        <w:bookmarkEnd w:id="23"/>
      </w:tr>
    </w:tbl>
    <w:p w14:paraId="77668784" w14:textId="3F7BDF62" w:rsidR="00A07465" w:rsidRDefault="00000000">
      <w:pPr>
        <w:pStyle w:val="TableCaption"/>
        <w:jc w:val="center"/>
      </w:pPr>
      <w:r>
        <w:rPr>
          <w:b/>
        </w:rPr>
        <w:t xml:space="preserve">Table </w:t>
      </w:r>
      <w:bookmarkStart w:id="24" w:name="tbl-pctclass"/>
      <w:r>
        <w:rPr>
          <w:b/>
        </w:rPr>
        <w:fldChar w:fldCharType="begin"/>
      </w:r>
      <w:r>
        <w:rPr>
          <w:b/>
        </w:rPr>
        <w:instrText>SEQ tab \* Arabic</w:instrText>
      </w:r>
      <w:r w:rsidR="00B229ED">
        <w:rPr>
          <w:b/>
        </w:rPr>
        <w:fldChar w:fldCharType="separate"/>
      </w:r>
      <w:r w:rsidR="00B229ED">
        <w:rPr>
          <w:b/>
          <w:noProof/>
        </w:rPr>
        <w:t>6</w:t>
      </w:r>
      <w:r>
        <w:rPr>
          <w:b/>
        </w:rPr>
        <w:fldChar w:fldCharType="end"/>
      </w:r>
      <w:bookmarkEnd w:id="24"/>
      <w:r>
        <w:rPr>
          <w:b/>
        </w:rPr>
        <w:t xml:space="preserve">: </w:t>
      </w:r>
      <w:r>
        <w:t>Percentage of Cases</w:t>
      </w:r>
    </w:p>
    <w:tbl>
      <w:tblPr>
        <w:tblStyle w:val="Table"/>
        <w:tblW w:w="0" w:type="auto"/>
        <w:jc w:val="center"/>
        <w:tblLayout w:type="fixed"/>
        <w:tblLook w:val="0420" w:firstRow="1" w:lastRow="0" w:firstColumn="0" w:lastColumn="0" w:noHBand="0" w:noVBand="1"/>
      </w:tblPr>
      <w:tblGrid>
        <w:gridCol w:w="973"/>
        <w:gridCol w:w="1242"/>
        <w:gridCol w:w="973"/>
        <w:gridCol w:w="1205"/>
        <w:gridCol w:w="1205"/>
        <w:gridCol w:w="1205"/>
        <w:gridCol w:w="1205"/>
        <w:gridCol w:w="1205"/>
        <w:gridCol w:w="1205"/>
      </w:tblGrid>
      <w:tr w:rsidR="00A07465" w14:paraId="7766878E"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Joint</w:t>
            </w:r>
          </w:p>
        </w:tc>
        <w:tc>
          <w:tcPr>
            <w:tcW w:w="124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LTB (%)</w:t>
            </w:r>
          </w:p>
        </w:tc>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B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X42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X46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X52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X60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X65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8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X70 (%)</w:t>
            </w:r>
          </w:p>
        </w:tc>
      </w:tr>
      <w:tr w:rsidR="00A07465" w14:paraId="77668798"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8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JT-01</w:t>
            </w:r>
          </w:p>
        </w:tc>
        <w:tc>
          <w:tcPr>
            <w:tcW w:w="124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4.64</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9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95.36</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9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07465" w14:paraId="776687A2"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9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JT-02</w:t>
            </w:r>
          </w:p>
        </w:tc>
        <w:tc>
          <w:tcPr>
            <w:tcW w:w="124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9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9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9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98.12</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9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9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9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A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A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07465" w14:paraId="776687AC"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JT-05</w:t>
            </w:r>
          </w:p>
        </w:tc>
        <w:tc>
          <w:tcPr>
            <w:tcW w:w="124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A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98.32</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A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07465" w14:paraId="776687B6"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A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JT-07</w:t>
            </w:r>
          </w:p>
        </w:tc>
        <w:tc>
          <w:tcPr>
            <w:tcW w:w="124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A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A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B0"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98.78</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B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B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B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B4"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B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07465" w14:paraId="776687C0"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JT-08</w:t>
            </w:r>
          </w:p>
        </w:tc>
        <w:tc>
          <w:tcPr>
            <w:tcW w:w="124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8"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1.74</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776687B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98.26</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C"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B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bl>
    <w:p w14:paraId="776687C1" w14:textId="77777777" w:rsidR="00A07465" w:rsidRDefault="00000000">
      <w:pPr>
        <w:pStyle w:val="Heading2"/>
      </w:pPr>
      <w:bookmarkStart w:id="25" w:name="boxplots-of-probabilities"/>
      <w:bookmarkStart w:id="26" w:name="_Toc128987062"/>
      <w:bookmarkEnd w:id="21"/>
      <w:r>
        <w:t>3.3 Boxplots of Probabilities</w:t>
      </w:r>
      <w:bookmarkEnd w:id="26"/>
    </w:p>
    <w:p w14:paraId="776687C2" w14:textId="357C7231" w:rsidR="00A07465" w:rsidRDefault="00000000">
      <w:pPr>
        <w:pStyle w:val="FirstParagraph"/>
      </w:pPr>
      <w:r>
        <w:t xml:space="preserve">Boxplots are a visual aid that demonstrates not just the range of values but where the majority of the data is concentrated. Boxplots consist of four parts. The “box” portion is called the inner quartile range (IQR), which starts at the end of the first through the third quartile of the data where the most of the data resides. The line through the middle of the box is the median value. The lines extending out from the box continue to the last data point that is less than or equal to 1.5 times the IQR from the box. Anything that is further than 1.5 times the IQR is considered an outlier and each of the data points that meet that criteria are plotted as a single point. As shown in </w:t>
      </w:r>
      <w:hyperlink w:anchor="fig-boxplots">
        <w:r>
          <w:rPr>
            <w:rStyle w:val="Hyperlink"/>
          </w:rPr>
          <w:t>Figure 4</w:t>
        </w:r>
      </w:hyperlink>
      <w:r>
        <w:t>, all of the grade predictions were overlapping between Grade B and X42 no other grades had significant probabilities relative to those two.</w:t>
      </w:r>
    </w:p>
    <w:tbl>
      <w:tblPr>
        <w:tblStyle w:val="Table"/>
        <w:tblW w:w="5000" w:type="pct"/>
        <w:tblLook w:val="0000" w:firstRow="0" w:lastRow="0" w:firstColumn="0" w:lastColumn="0" w:noHBand="0" w:noVBand="0"/>
      </w:tblPr>
      <w:tblGrid>
        <w:gridCol w:w="9576"/>
      </w:tblGrid>
      <w:tr w:rsidR="00A07465" w14:paraId="776687C5" w14:textId="77777777">
        <w:tc>
          <w:tcPr>
            <w:tcW w:w="0" w:type="auto"/>
          </w:tcPr>
          <w:p w14:paraId="776687C3" w14:textId="77777777" w:rsidR="00A07465" w:rsidRDefault="00000000">
            <w:pPr>
              <w:pStyle w:val="Figure"/>
              <w:jc w:val="center"/>
            </w:pPr>
            <w:bookmarkStart w:id="27" w:name="fig-boxplots"/>
            <w:r>
              <w:rPr>
                <w:noProof/>
              </w:rPr>
              <w:drawing>
                <wp:inline distT="0" distB="0" distL="0" distR="0" wp14:anchorId="776687EB" wp14:editId="776687EC">
                  <wp:extent cx="5334000" cy="4103076"/>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gosferd_files/figure-docx/fig-boxplots-1.png"/>
                          <pic:cNvPicPr>
                            <a:picLocks noChangeAspect="1" noChangeArrowheads="1"/>
                          </pic:cNvPicPr>
                        </pic:nvPicPr>
                        <pic:blipFill>
                          <a:blip r:embed="rId10"/>
                          <a:stretch>
                            <a:fillRect/>
                          </a:stretch>
                        </pic:blipFill>
                        <pic:spPr bwMode="auto">
                          <a:xfrm>
                            <a:off x="0" y="0"/>
                            <a:ext cx="5334000" cy="4103076"/>
                          </a:xfrm>
                          <a:prstGeom prst="rect">
                            <a:avLst/>
                          </a:prstGeom>
                          <a:noFill/>
                          <a:ln w="9525">
                            <a:noFill/>
                            <a:headEnd/>
                            <a:tailEnd/>
                          </a:ln>
                        </pic:spPr>
                      </pic:pic>
                    </a:graphicData>
                  </a:graphic>
                </wp:inline>
              </w:drawing>
            </w:r>
          </w:p>
          <w:p w14:paraId="776687C4" w14:textId="77777777" w:rsidR="00A07465" w:rsidRDefault="00000000">
            <w:pPr>
              <w:pStyle w:val="ImageCaption"/>
              <w:spacing w:before="200"/>
            </w:pPr>
            <w:r>
              <w:t>Figure 4: Boxplot of Probabilities</w:t>
            </w:r>
          </w:p>
        </w:tc>
        <w:bookmarkEnd w:id="27"/>
      </w:tr>
    </w:tbl>
    <w:p w14:paraId="776687C6" w14:textId="77777777" w:rsidR="00A07465" w:rsidRDefault="00000000">
      <w:pPr>
        <w:pStyle w:val="Heading1"/>
      </w:pPr>
      <w:bookmarkStart w:id="28" w:name="conclusion"/>
      <w:bookmarkStart w:id="29" w:name="_Toc128987063"/>
      <w:bookmarkEnd w:id="13"/>
      <w:bookmarkEnd w:id="25"/>
      <w:r>
        <w:lastRenderedPageBreak/>
        <w:t>4. Conclusion</w:t>
      </w:r>
      <w:bookmarkEnd w:id="29"/>
    </w:p>
    <w:p w14:paraId="776687C7" w14:textId="77777777" w:rsidR="00A07465" w:rsidRDefault="00000000">
      <w:pPr>
        <w:pStyle w:val="FirstParagraph"/>
      </w:pPr>
      <w:r>
        <w:t>For the 5 joints analyzed at the Gosferd Station, the predicted grade for all the joints is Grade X42 based on mean probability or percentage of cases.</w:t>
      </w:r>
    </w:p>
    <w:p w14:paraId="776687C8" w14:textId="0B90AA28" w:rsidR="00A07465" w:rsidRDefault="00000000">
      <w:pPr>
        <w:pStyle w:val="TableCaption"/>
        <w:jc w:val="center"/>
      </w:pPr>
      <w:r>
        <w:rPr>
          <w:b/>
        </w:rPr>
        <w:t xml:space="preserve">Table </w:t>
      </w:r>
      <w:bookmarkStart w:id="30" w:name="tbl-results_con"/>
      <w:r>
        <w:rPr>
          <w:b/>
        </w:rPr>
        <w:fldChar w:fldCharType="begin"/>
      </w:r>
      <w:r>
        <w:rPr>
          <w:b/>
        </w:rPr>
        <w:instrText>SEQ tab \* Arabic</w:instrText>
      </w:r>
      <w:r w:rsidR="00B229ED">
        <w:rPr>
          <w:b/>
        </w:rPr>
        <w:fldChar w:fldCharType="separate"/>
      </w:r>
      <w:r w:rsidR="00B229ED">
        <w:rPr>
          <w:b/>
          <w:noProof/>
        </w:rPr>
        <w:t>7</w:t>
      </w:r>
      <w:r>
        <w:rPr>
          <w:b/>
        </w:rPr>
        <w:fldChar w:fldCharType="end"/>
      </w:r>
      <w:bookmarkEnd w:id="30"/>
      <w:r>
        <w:rPr>
          <w:b/>
        </w:rPr>
        <w:t xml:space="preserve">: </w:t>
      </w:r>
      <w:r>
        <w:t>Grade Prediction Results Summary</w:t>
      </w:r>
    </w:p>
    <w:tbl>
      <w:tblPr>
        <w:tblStyle w:val="Table"/>
        <w:tblW w:w="0" w:type="auto"/>
        <w:jc w:val="center"/>
        <w:tblLayout w:type="fixed"/>
        <w:tblLook w:val="0420" w:firstRow="1" w:lastRow="0" w:firstColumn="0" w:lastColumn="0" w:noHBand="0" w:noVBand="1"/>
      </w:tblPr>
      <w:tblGrid>
        <w:gridCol w:w="973"/>
        <w:gridCol w:w="2147"/>
        <w:gridCol w:w="2343"/>
      </w:tblGrid>
      <w:tr w:rsidR="00A07465" w14:paraId="776687CC" w14:textId="77777777" w:rsidTr="00A0746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C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Joint</w:t>
            </w:r>
          </w:p>
        </w:tc>
        <w:tc>
          <w:tcPr>
            <w:tcW w:w="21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C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Highest Predicted</w:t>
            </w:r>
            <w:r>
              <w:rPr>
                <w:rFonts w:ascii="Arial" w:eastAsia="Arial" w:hAnsi="Arial" w:cs="Arial"/>
                <w:b/>
                <w:color w:val="000000"/>
                <w:sz w:val="22"/>
                <w:szCs w:val="22"/>
              </w:rPr>
              <w:br/>
              <w:t>Mean Probability</w:t>
            </w:r>
          </w:p>
        </w:tc>
        <w:tc>
          <w:tcPr>
            <w:tcW w:w="23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C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Highest Percentage</w:t>
            </w:r>
            <w:r>
              <w:rPr>
                <w:rFonts w:ascii="Arial" w:eastAsia="Arial" w:hAnsi="Arial" w:cs="Arial"/>
                <w:b/>
                <w:color w:val="000000"/>
                <w:sz w:val="22"/>
                <w:szCs w:val="22"/>
              </w:rPr>
              <w:br/>
              <w:t>of Cases</w:t>
            </w:r>
          </w:p>
        </w:tc>
      </w:tr>
      <w:tr w:rsidR="00A07465" w14:paraId="776687D0"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C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JT-01</w:t>
            </w:r>
          </w:p>
        </w:tc>
        <w:tc>
          <w:tcPr>
            <w:tcW w:w="214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C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C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7D4"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D1"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JT-02</w:t>
            </w:r>
          </w:p>
        </w:tc>
        <w:tc>
          <w:tcPr>
            <w:tcW w:w="21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D2"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D3"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7D8"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D5"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JT-05</w:t>
            </w:r>
          </w:p>
        </w:tc>
        <w:tc>
          <w:tcPr>
            <w:tcW w:w="214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D6"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D7"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7DC"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D9"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JT-07</w:t>
            </w:r>
          </w:p>
        </w:tc>
        <w:tc>
          <w:tcPr>
            <w:tcW w:w="21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DA"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7DB"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r w:rsidR="00A07465" w14:paraId="776687E0" w14:textId="77777777" w:rsidTr="00A0746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DD"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JT-08</w:t>
            </w:r>
          </w:p>
        </w:tc>
        <w:tc>
          <w:tcPr>
            <w:tcW w:w="214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DE"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76687DF" w14:textId="77777777" w:rsidR="00A074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X42</w:t>
            </w:r>
          </w:p>
        </w:tc>
      </w:tr>
    </w:tbl>
    <w:p w14:paraId="776687E1" w14:textId="77777777" w:rsidR="00A07465" w:rsidRDefault="00000000">
      <w:pPr>
        <w:pStyle w:val="BodyText"/>
      </w:pPr>
      <w:r>
        <w:t>PG&amp;E will make the final determination of the pipe grade to use in downstream analyses. Any disagreement between the highest predicted mean probability and highest percentage of cases will be resolved during PG&amp;E’s grade determination process.</w:t>
      </w:r>
    </w:p>
    <w:p w14:paraId="776687E2" w14:textId="77777777" w:rsidR="00A07465" w:rsidRDefault="00000000">
      <w:pPr>
        <w:pStyle w:val="Heading1"/>
      </w:pPr>
      <w:bookmarkStart w:id="31" w:name="references"/>
      <w:bookmarkStart w:id="32" w:name="_Toc128987064"/>
      <w:bookmarkEnd w:id="28"/>
      <w:r>
        <w:t>5. References</w:t>
      </w:r>
      <w:bookmarkEnd w:id="32"/>
    </w:p>
    <w:p w14:paraId="776687E3" w14:textId="05A8CEC9" w:rsidR="00A07465" w:rsidRDefault="00000000">
      <w:pPr>
        <w:numPr>
          <w:ilvl w:val="0"/>
          <w:numId w:val="3"/>
        </w:numPr>
      </w:pPr>
      <w:r>
        <w:t>Pacific Gas &amp; Electric Co. (PG&amp;E) Facility Integrity Management Program (FIMP) Risk, “Pipe Nominal Wall Thickness Report: Gosferd</w:t>
      </w:r>
      <w:r w:rsidR="00B229ED">
        <w:t xml:space="preserve"> Rd</w:t>
      </w:r>
      <w:r>
        <w:t xml:space="preserve"> Meter and Regulator Station,” </w:t>
      </w:r>
      <w:r w:rsidR="002B6522">
        <w:t>November</w:t>
      </w:r>
      <w:r>
        <w:t xml:space="preserve"> </w:t>
      </w:r>
      <w:r w:rsidR="002B6522">
        <w:t>7</w:t>
      </w:r>
      <w:r>
        <w:t>, 2022.</w:t>
      </w:r>
    </w:p>
    <w:p w14:paraId="776687E4" w14:textId="77777777" w:rsidR="00A07465" w:rsidRDefault="00000000">
      <w:pPr>
        <w:numPr>
          <w:ilvl w:val="0"/>
          <w:numId w:val="3"/>
        </w:numPr>
      </w:pPr>
      <w:r>
        <w:t>Exponent, Inc., “Gosferd Chemical Composition Results and Analysis,” XXXXXX XX, 2022 (Report No. 2202872.000-XXXX).</w:t>
      </w:r>
      <w:bookmarkEnd w:id="31"/>
    </w:p>
    <w:sectPr w:rsidR="00A074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3C36" w14:textId="77777777" w:rsidR="0060200D" w:rsidRDefault="0060200D">
      <w:pPr>
        <w:spacing w:after="0"/>
      </w:pPr>
      <w:r>
        <w:separator/>
      </w:r>
    </w:p>
  </w:endnote>
  <w:endnote w:type="continuationSeparator" w:id="0">
    <w:p w14:paraId="7B91A6FB" w14:textId="77777777" w:rsidR="0060200D" w:rsidRDefault="00602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057B" w14:textId="77777777" w:rsidR="0060200D" w:rsidRDefault="0060200D">
      <w:r>
        <w:separator/>
      </w:r>
    </w:p>
  </w:footnote>
  <w:footnote w:type="continuationSeparator" w:id="0">
    <w:p w14:paraId="5BF644EC" w14:textId="77777777" w:rsidR="0060200D" w:rsidRDefault="0060200D">
      <w:r>
        <w:continuationSeparator/>
      </w:r>
    </w:p>
  </w:footnote>
  <w:footnote w:id="1">
    <w:p w14:paraId="776687EF" w14:textId="77777777" w:rsidR="00A07465" w:rsidRDefault="00000000">
      <w:pPr>
        <w:pStyle w:val="FootnoteText"/>
      </w:pPr>
      <w:r>
        <w:rPr>
          <w:rStyle w:val="FootnoteReference"/>
        </w:rPr>
        <w:footnoteRef/>
      </w:r>
      <w:r>
        <w:t xml:space="preserve"> A Monte Carlo analysis consists of running numerous simulations by repeatedly sampling a model’s inputs based on each input variable’s probability distribution. In this way, the resulting uncertainty of a deterministic model’s output can be explored based on the likely distribution of the model’s input.</w:t>
      </w:r>
    </w:p>
  </w:footnote>
  <w:footnote w:id="2">
    <w:p w14:paraId="776687F0" w14:textId="77777777" w:rsidR="00A07465" w:rsidRDefault="00000000">
      <w:pPr>
        <w:pStyle w:val="FootnoteText"/>
      </w:pPr>
      <w:r>
        <w:rPr>
          <w:rStyle w:val="FootnoteReference"/>
        </w:rPr>
        <w:footnoteRef/>
      </w:r>
      <w:r>
        <w:t xml:space="preserve"> The resulting sampled input variables were constrained to ensure that no spuriously generated values were used. Specifically, the following constraints were utilized when sampling the input quantities: 0.02 </w:t>
      </w:r>
      <m:oMath>
        <m:r>
          <m:rPr>
            <m:sty m:val="p"/>
          </m:rPr>
          <w:rPr>
            <w:rFonts w:ascii="Cambria Math" w:hAnsi="Cambria Math"/>
          </w:rPr>
          <m:t>≤</m:t>
        </m:r>
      </m:oMath>
      <w:r>
        <w:t xml:space="preserve">C </w:t>
      </w:r>
      <m:oMath>
        <m:r>
          <m:rPr>
            <m:sty m:val="p"/>
          </m:rPr>
          <w:rPr>
            <w:rFonts w:ascii="Cambria Math" w:hAnsi="Cambria Math"/>
          </w:rPr>
          <m:t>≤</m:t>
        </m:r>
      </m:oMath>
      <w:r>
        <w:t xml:space="preserve"> 0.4, 0.23 </w:t>
      </w:r>
      <m:oMath>
        <m:r>
          <m:rPr>
            <m:sty m:val="p"/>
          </m:rPr>
          <w:rPr>
            <w:rFonts w:ascii="Cambria Math" w:hAnsi="Cambria Math"/>
          </w:rPr>
          <m:t>≤</m:t>
        </m:r>
      </m:oMath>
      <w:r>
        <w:t xml:space="preserve"> Mn </w:t>
      </w:r>
      <m:oMath>
        <m:r>
          <m:rPr>
            <m:sty m:val="p"/>
          </m:rPr>
          <w:rPr>
            <w:rFonts w:ascii="Cambria Math" w:hAnsi="Cambria Math"/>
          </w:rPr>
          <m:t>≤</m:t>
        </m:r>
      </m:oMath>
      <w:r>
        <w:t xml:space="preserve"> 1.8, 0 </w:t>
      </w:r>
      <m:oMath>
        <m:r>
          <m:rPr>
            <m:sty m:val="p"/>
          </m:rPr>
          <w:rPr>
            <w:rFonts w:ascii="Cambria Math" w:hAnsi="Cambria Math"/>
          </w:rPr>
          <m:t>≤</m:t>
        </m:r>
      </m:oMath>
      <w:r>
        <w:t xml:space="preserve"> S </w:t>
      </w:r>
      <m:oMath>
        <m:r>
          <m:rPr>
            <m:sty m:val="p"/>
          </m:rPr>
          <w:rPr>
            <w:rFonts w:ascii="Cambria Math" w:hAnsi="Cambria Math"/>
          </w:rPr>
          <m:t>≤</m:t>
        </m:r>
      </m:oMath>
      <w:r>
        <w:t xml:space="preserve"> 0.1, and 1 </w:t>
      </w:r>
      <m:oMath>
        <m:r>
          <m:rPr>
            <m:sty m:val="p"/>
          </m:rPr>
          <w:rPr>
            <w:rFonts w:ascii="Cambria Math" w:hAnsi="Cambria Math"/>
          </w:rPr>
          <m:t>≤</m:t>
        </m:r>
      </m:oMath>
      <w:r>
        <w:t xml:space="preserve"> Mn/C </w:t>
      </w:r>
      <m:oMath>
        <m:r>
          <m:rPr>
            <m:sty m:val="p"/>
          </m:rPr>
          <w:rPr>
            <w:rFonts w:ascii="Cambria Math" w:hAnsi="Cambria Math"/>
          </w:rPr>
          <m:t>≤</m:t>
        </m:r>
      </m:oMath>
      <w:r>
        <w:t xml:space="preserve"> 70. Reported values of S less than the NDE instrument’s limit of detection (LOD) were sampled assuming a uniform distribution between zero and the LOD.</w:t>
      </w:r>
    </w:p>
  </w:footnote>
  <w:footnote w:id="3">
    <w:p w14:paraId="776687F1" w14:textId="77777777" w:rsidR="00A07465" w:rsidRDefault="00000000">
      <w:pPr>
        <w:pStyle w:val="FootnoteText"/>
      </w:pPr>
      <w:r>
        <w:rPr>
          <w:rStyle w:val="FootnoteReference"/>
        </w:rPr>
        <w:footnoteRef/>
      </w:r>
      <w:r>
        <w:t xml:space="preserve"> Since the confidence interval shrinks in proportion to the square root of the number samples, the length of the confidence interval for 5,000 samples is imperceptible at this 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7E8F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A3412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29380292">
    <w:abstractNumId w:val="0"/>
  </w:num>
  <w:num w:numId="2" w16cid:durableId="827212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2941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7465"/>
    <w:rsid w:val="002B6522"/>
    <w:rsid w:val="0060200D"/>
    <w:rsid w:val="00A07465"/>
    <w:rsid w:val="00B229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8670"/>
  <w15:docId w15:val="{4A098A0B-F3E3-4ACE-BFA3-8B173E6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B229ED"/>
    <w:pPr>
      <w:spacing w:after="100"/>
    </w:pPr>
  </w:style>
  <w:style w:type="paragraph" w:styleId="TOC2">
    <w:name w:val="toc 2"/>
    <w:basedOn w:val="Normal"/>
    <w:next w:val="Normal"/>
    <w:autoRedefine/>
    <w:uiPriority w:val="39"/>
    <w:unhideWhenUsed/>
    <w:rsid w:val="00B229E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Prediction Report: Gosferd Meter &amp; Regulator Station</dc:title>
  <dc:creator/>
  <cp:keywords/>
  <cp:lastModifiedBy>Joel Anderson</cp:lastModifiedBy>
  <cp:revision>3</cp:revision>
  <dcterms:created xsi:type="dcterms:W3CDTF">2023-03-03T19:24:00Z</dcterms:created>
  <dcterms:modified xsi:type="dcterms:W3CDTF">2023-03-06T15:29:00Z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3/3/23</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