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40"/>
      </w:pPr>
      <w:r>
        <w:rPr>
          <w:rFonts w:ascii="Arial" w:cs="Arial" w:eastAsia="Arial" w:hAnsi="Arial"/>
          <w:b/>
          <w:bCs/>
          <w:color w:val="1E3A5F"/>
          <w:sz w:val="36"/>
          <w:szCs w:val="36"/>
        </w:rPr>
        <w:t xml:space="preserve">PIPELEDGER AI</w:t>
      </w:r>
    </w:p>
    <w:p>
      <w:pPr>
        <w:spacing w:after="80"/>
      </w:pPr>
      <w:r>
        <w:rPr>
          <w:rFonts w:ascii="Arial" w:cs="Arial" w:eastAsia="Arial" w:hAnsi="Arial"/>
          <w:color w:val="111827"/>
          <w:sz w:val="28"/>
          <w:szCs w:val="28"/>
        </w:rPr>
        <w:t xml:space="preserve">Commercial, Usage &amp; Subscription Framework</w:t>
      </w:r>
    </w:p>
    <w:p>
      <w:pPr>
        <w:spacing w:after="360"/>
      </w:pPr>
      <w:r>
        <w:rPr>
          <w:rFonts w:ascii="Arial" w:cs="Arial" w:eastAsia="Arial" w:hAnsi="Arial"/>
          <w:i/>
          <w:iCs/>
          <w:color w:val="4B5563"/>
          <w:sz w:val="20"/>
          <w:szCs w:val="20"/>
        </w:rPr>
        <w:t xml:space="preserve">Audience: Internal strategy, finance, legal, investors • NOT customer-facing • March 2026</w:t>
      </w:r>
    </w:p>
    <w:p>
      <w:pPr>
        <w:pStyle w:val="Heading1"/>
      </w:pPr>
      <w:r>
        <w:t xml:space="preserve">1. Executive Overview</w:t>
      </w:r>
    </w:p>
    <w:p>
      <w:pPr>
        <w:spacing w:after="160"/>
      </w:pPr>
      <w:r>
        <w:rPr>
          <w:rFonts w:ascii="Arial" w:cs="Arial" w:eastAsia="Arial" w:hAnsi="Arial"/>
          <w:color w:val="111827"/>
          <w:sz w:val="22"/>
          <w:szCs w:val="22"/>
        </w:rPr>
        <w:t xml:space="preserve">PipeLedger AI operates on a subscription-plus-usage revenue model. Every customer pays a monthly subscription that includes a base allocation of processing capacity (FCU) and query capacity (FIQ). Usage above the base allocation is billed as monthly overage. This structure delivers predictable recurring revenue from subscriptions while capturing upside as customers process more financial data and as AI agents increase query volume.</w:t>
      </w:r>
    </w:p>
    <w:p>
      <w:pPr>
        <w:spacing w:after="160"/>
      </w:pPr>
      <w:r>
        <w:rPr>
          <w:rFonts w:ascii="Arial" w:cs="Arial" w:eastAsia="Arial" w:hAnsi="Arial"/>
          <w:b/>
          <w:bCs/>
          <w:color w:val="111827"/>
          <w:sz w:val="22"/>
          <w:szCs w:val="22"/>
        </w:rPr>
        <w:t xml:space="preserve">Revenue has three components: </w:t>
      </w:r>
      <w:r>
        <w:rPr>
          <w:rFonts w:ascii="Arial" w:cs="Arial" w:eastAsia="Arial" w:hAnsi="Arial"/>
          <w:color w:val="111827"/>
          <w:sz w:val="22"/>
          <w:szCs w:val="22"/>
        </w:rPr>
        <w:t xml:space="preserve">(1) Subscription — monthly platform fee based on plan tier, covering platform access, users, connectors, and base usage allocations. (2) FCU Overage — Financial Compute Units consumed beyond the plan’s included allocation, metered by rows extracted, transformed, and stored. (3) FIQ Overage — Financial Intelligence Query units consumed beyond the plan’s included allocation, metered by weighted human and agent interactions with financial data.</w:t>
      </w:r>
    </w:p>
    <w:p>
      <w:pPr>
        <w:spacing w:after="160"/>
      </w:pPr>
      <w:r>
        <w:rPr>
          <w:rFonts w:ascii="Arial" w:cs="Arial" w:eastAsia="Arial" w:hAnsi="Arial"/>
          <w:b/>
          <w:bCs/>
          <w:color w:val="111827"/>
          <w:sz w:val="22"/>
          <w:szCs w:val="22"/>
        </w:rPr>
        <w:t xml:space="preserve">Strategic thesis: </w:t>
      </w:r>
      <w:r>
        <w:rPr>
          <w:rFonts w:ascii="Arial" w:cs="Arial" w:eastAsia="Arial" w:hAnsi="Arial"/>
          <w:color w:val="111827"/>
          <w:sz w:val="22"/>
          <w:szCs w:val="22"/>
        </w:rPr>
        <w:t xml:space="preserve">The subscription floor grows linearly with customer count. The usage component grows exponentially as AI agent adoption accelerates — a single customer may have 5 human users but 50 AI agents querying PipeLedger. FIQ overage is the primary revenue scaling mechanism in Year 2+. PipeLedger is positioned as the metered infrastructure layer for autonomous finance systems.</w:t>
      </w:r>
    </w:p>
    <w:p>
      <w:pPr>
        <w:pStyle w:val="Heading1"/>
      </w:pPr>
      <w:r>
        <w:t xml:space="preserve">2. Subscription Plans</w:t>
      </w:r>
    </w:p>
    <w:p>
      <w:pPr>
        <w:pStyle w:val="Heading2"/>
      </w:pPr>
      <w:r>
        <w:t xml:space="preserve">2.1 Plan Comparison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600"/>
        <w:gridCol w:w="2200"/>
        <w:gridCol w:w="2200"/>
        <w:gridCol w:w="2360"/>
      </w:tblGrid>
      <w:tr>
        <w:tc>
          <w:tcPr>
            <w:tcW w:type="dxa" w:w="2600"/>
            <w:tcBorders>
              <w:top w:val="single" w:color="D1D5DB" w:sz="1"/>
              <w:left w:val="single" w:color="D1D5DB" w:sz="1"/>
              <w:bottom w:val="single" w:color="D1D5DB" w:sz="1"/>
              <w:right w:val="single" w:color="D1D5DB" w:sz="1"/>
            </w:tcBorders>
            <w:shd w:fill="1E3A5F" w:val="clear"/>
            <w:tcMar>
              <w:top w:type="dxa" w:w="80"/>
              <w:left w:type="dxa" w:w="120"/>
              <w:bottom w:type="dxa" w:w="80"/>
              <w:right w:type="dxa" w:w="120"/>
            </w:tcMar>
          </w:tcPr>
          <w:p>
            <w:r>
              <w:rPr>
                <w:rFonts w:ascii="Arial" w:cs="Arial" w:eastAsia="Arial" w:hAnsi="Arial"/>
                <w:b/>
                <w:bCs/>
                <w:color w:val="FFFFFF"/>
                <w:sz w:val="17"/>
                <w:szCs w:val="17"/>
              </w:rPr>
              <w:t xml:space="preserve">Feature</w:t>
            </w:r>
          </w:p>
        </w:tc>
        <w:tc>
          <w:tcPr>
            <w:tcW w:type="dxa" w:w="2200"/>
            <w:tcBorders>
              <w:top w:val="single" w:color="D1D5DB" w:sz="1"/>
              <w:left w:val="single" w:color="D1D5DB" w:sz="1"/>
              <w:bottom w:val="single" w:color="D1D5DB" w:sz="1"/>
              <w:right w:val="single" w:color="D1D5DB" w:sz="1"/>
            </w:tcBorders>
            <w:shd w:fill="1E3A5F" w:val="clear"/>
            <w:tcMar>
              <w:top w:type="dxa" w:w="80"/>
              <w:left w:type="dxa" w:w="120"/>
              <w:bottom w:type="dxa" w:w="80"/>
              <w:right w:type="dxa" w:w="120"/>
            </w:tcMar>
          </w:tcPr>
          <w:p>
            <w:r>
              <w:rPr>
                <w:rFonts w:ascii="Arial" w:cs="Arial" w:eastAsia="Arial" w:hAnsi="Arial"/>
                <w:b/>
                <w:bCs/>
                <w:color w:val="FFFFFF"/>
                <w:sz w:val="17"/>
                <w:szCs w:val="17"/>
              </w:rPr>
              <w:t xml:space="preserve">Premium</w:t>
            </w:r>
          </w:p>
        </w:tc>
        <w:tc>
          <w:tcPr>
            <w:tcW w:type="dxa" w:w="2200"/>
            <w:tcBorders>
              <w:top w:val="single" w:color="D1D5DB" w:sz="1"/>
              <w:left w:val="single" w:color="D1D5DB" w:sz="1"/>
              <w:bottom w:val="single" w:color="D1D5DB" w:sz="1"/>
              <w:right w:val="single" w:color="D1D5DB" w:sz="1"/>
            </w:tcBorders>
            <w:shd w:fill="1E3A5F" w:val="clear"/>
            <w:tcMar>
              <w:top w:type="dxa" w:w="80"/>
              <w:left w:type="dxa" w:w="120"/>
              <w:bottom w:type="dxa" w:w="80"/>
              <w:right w:type="dxa" w:w="120"/>
            </w:tcMar>
          </w:tcPr>
          <w:p>
            <w:r>
              <w:rPr>
                <w:rFonts w:ascii="Arial" w:cs="Arial" w:eastAsia="Arial" w:hAnsi="Arial"/>
                <w:b/>
                <w:bCs/>
                <w:color w:val="FFFFFF"/>
                <w:sz w:val="17"/>
                <w:szCs w:val="17"/>
              </w:rPr>
              <w:t xml:space="preserve">Pro</w:t>
            </w:r>
          </w:p>
        </w:tc>
        <w:tc>
          <w:tcPr>
            <w:tcW w:type="dxa" w:w="2360"/>
            <w:tcBorders>
              <w:top w:val="single" w:color="D1D5DB" w:sz="1"/>
              <w:left w:val="single" w:color="D1D5DB" w:sz="1"/>
              <w:bottom w:val="single" w:color="D1D5DB" w:sz="1"/>
              <w:right w:val="single" w:color="D1D5DB" w:sz="1"/>
            </w:tcBorders>
            <w:shd w:fill="1E3A5F" w:val="clear"/>
            <w:tcMar>
              <w:top w:type="dxa" w:w="80"/>
              <w:left w:type="dxa" w:w="120"/>
              <w:bottom w:type="dxa" w:w="80"/>
              <w:right w:type="dxa" w:w="120"/>
            </w:tcMar>
          </w:tcPr>
          <w:p>
            <w:r>
              <w:rPr>
                <w:rFonts w:ascii="Arial" w:cs="Arial" w:eastAsia="Arial" w:hAnsi="Arial"/>
                <w:b/>
                <w:bCs/>
                <w:color w:val="FFFFFF"/>
                <w:sz w:val="17"/>
                <w:szCs w:val="17"/>
              </w:rPr>
              <w:t xml:space="preserve">Enterprise</w:t>
            </w:r>
          </w:p>
        </w:tc>
      </w:tr>
      <w:tr>
        <w:tc>
          <w:tcPr>
            <w:tcW w:type="dxa" w:w="2600"/>
            <w:tcBorders>
              <w:top w:val="single" w:color="D1D5DB" w:sz="1"/>
              <w:left w:val="single" w:color="D1D5DB" w:sz="1"/>
              <w:bottom w:val="single" w:color="D1D5DB" w:sz="1"/>
              <w:right w:val="single" w:color="D1D5DB" w:sz="1"/>
            </w:tcBorders>
            <w:shd w:fill="EFF6FF" w:val="clear"/>
            <w:tcMar>
              <w:top w:type="dxa" w:w="80"/>
              <w:left w:type="dxa" w:w="120"/>
              <w:bottom w:type="dxa" w:w="80"/>
              <w:right w:type="dxa" w:w="120"/>
            </w:tcMar>
          </w:tcPr>
          <w:p>
            <w:r>
              <w:rPr>
                <w:rFonts w:ascii="Arial" w:cs="Arial" w:eastAsia="Arial" w:hAnsi="Arial"/>
                <w:b w:val="false"/>
                <w:bCs w:val="false"/>
                <w:color w:val="111827"/>
                <w:sz w:val="18"/>
                <w:szCs w:val="18"/>
              </w:rPr>
              <w:t xml:space="preserve">Monthly price</w:t>
            </w:r>
          </w:p>
        </w:tc>
        <w:tc>
          <w:tcPr>
            <w:tcW w:type="dxa" w:w="2200"/>
            <w:tcBorders>
              <w:top w:val="single" w:color="D1D5DB" w:sz="1"/>
              <w:left w:val="single" w:color="D1D5DB" w:sz="1"/>
              <w:bottom w:val="single" w:color="D1D5DB" w:sz="1"/>
              <w:right w:val="single" w:color="D1D5DB" w:sz="1"/>
            </w:tcBorders>
            <w:shd w:fill="EFF6FF" w:val="clear"/>
            <w:tcMar>
              <w:top w:type="dxa" w:w="80"/>
              <w:left w:type="dxa" w:w="120"/>
              <w:bottom w:type="dxa" w:w="80"/>
              <w:right w:type="dxa" w:w="120"/>
            </w:tcMar>
          </w:tcPr>
          <w:p>
            <w:r>
              <w:rPr>
                <w:rFonts w:ascii="Arial" w:cs="Arial" w:eastAsia="Arial" w:hAnsi="Arial"/>
                <w:b w:val="false"/>
                <w:bCs w:val="false"/>
                <w:color w:val="111827"/>
                <w:sz w:val="18"/>
                <w:szCs w:val="18"/>
              </w:rPr>
              <w:t xml:space="preserve">$2,000/mo</w:t>
            </w:r>
          </w:p>
        </w:tc>
        <w:tc>
          <w:tcPr>
            <w:tcW w:type="dxa" w:w="2200"/>
            <w:tcBorders>
              <w:top w:val="single" w:color="D1D5DB" w:sz="1"/>
              <w:left w:val="single" w:color="D1D5DB" w:sz="1"/>
              <w:bottom w:val="single" w:color="D1D5DB" w:sz="1"/>
              <w:right w:val="single" w:color="D1D5DB" w:sz="1"/>
            </w:tcBorders>
            <w:shd w:fill="EFF6FF" w:val="clear"/>
            <w:tcMar>
              <w:top w:type="dxa" w:w="80"/>
              <w:left w:type="dxa" w:w="120"/>
              <w:bottom w:type="dxa" w:w="80"/>
              <w:right w:type="dxa" w:w="120"/>
            </w:tcMar>
          </w:tcPr>
          <w:p>
            <w:r>
              <w:rPr>
                <w:rFonts w:ascii="Arial" w:cs="Arial" w:eastAsia="Arial" w:hAnsi="Arial"/>
                <w:b w:val="false"/>
                <w:bCs w:val="false"/>
                <w:color w:val="111827"/>
                <w:sz w:val="18"/>
                <w:szCs w:val="18"/>
              </w:rPr>
              <w:t xml:space="preserve">$5,000/mo</w:t>
            </w:r>
          </w:p>
        </w:tc>
        <w:tc>
          <w:tcPr>
            <w:tcW w:type="dxa" w:w="2360"/>
            <w:tcBorders>
              <w:top w:val="single" w:color="D1D5DB" w:sz="1"/>
              <w:left w:val="single" w:color="D1D5DB" w:sz="1"/>
              <w:bottom w:val="single" w:color="D1D5DB" w:sz="1"/>
              <w:right w:val="single" w:color="D1D5DB" w:sz="1"/>
            </w:tcBorders>
            <w:shd w:fill="EFF6FF" w:val="clear"/>
            <w:tcMar>
              <w:top w:type="dxa" w:w="80"/>
              <w:left w:type="dxa" w:w="120"/>
              <w:bottom w:type="dxa" w:w="80"/>
              <w:right w:type="dxa" w:w="120"/>
            </w:tcMar>
          </w:tcPr>
          <w:p>
            <w:r>
              <w:rPr>
                <w:rFonts w:ascii="Arial" w:cs="Arial" w:eastAsia="Arial" w:hAnsi="Arial"/>
                <w:b w:val="false"/>
                <w:bCs w:val="false"/>
                <w:color w:val="111827"/>
                <w:sz w:val="18"/>
                <w:szCs w:val="18"/>
              </w:rPr>
              <w:t xml:space="preserve">$10,000+/mo (custom)</w:t>
            </w:r>
          </w:p>
        </w:tc>
      </w:tr>
      <w:tr>
        <w:tc>
          <w:tcPr>
            <w:tcW w:type="dxa" w:w="2600"/>
            <w:tcBorders>
              <w:top w:val="single" w:color="D1D5DB" w:sz="1"/>
              <w:left w:val="single" w:color="D1D5DB" w:sz="1"/>
              <w:bottom w:val="single" w:color="D1D5DB" w:sz="1"/>
              <w:right w:val="single" w:color="D1D5DB" w:sz="1"/>
            </w:tcBorders>
            <w:tcMar>
              <w:top w:type="dxa" w:w="80"/>
              <w:left w:type="dxa" w:w="120"/>
              <w:bottom w:type="dxa" w:w="80"/>
              <w:right w:type="dxa" w:w="120"/>
            </w:tcMar>
          </w:tcPr>
          <w:p>
            <w:r>
              <w:rPr>
                <w:rFonts w:ascii="Arial" w:cs="Arial" w:eastAsia="Arial" w:hAnsi="Arial"/>
                <w:b w:val="false"/>
                <w:bCs w:val="false"/>
                <w:color w:val="111827"/>
                <w:sz w:val="18"/>
                <w:szCs w:val="18"/>
              </w:rPr>
              <w:t xml:space="preserve">Users</w:t>
            </w:r>
          </w:p>
        </w:tc>
        <w:tc>
          <w:tcPr>
            <w:tcW w:type="dxa" w:w="2200"/>
            <w:tcBorders>
              <w:top w:val="single" w:color="D1D5DB" w:sz="1"/>
              <w:left w:val="single" w:color="D1D5DB" w:sz="1"/>
              <w:bottom w:val="single" w:color="D1D5DB" w:sz="1"/>
              <w:right w:val="single" w:color="D1D5DB" w:sz="1"/>
            </w:tcBorders>
            <w:tcMar>
              <w:top w:type="dxa" w:w="80"/>
              <w:left w:type="dxa" w:w="120"/>
              <w:bottom w:type="dxa" w:w="80"/>
              <w:right w:type="dxa" w:w="120"/>
            </w:tcMar>
          </w:tcPr>
          <w:p>
            <w:r>
              <w:rPr>
                <w:rFonts w:ascii="Arial" w:cs="Arial" w:eastAsia="Arial" w:hAnsi="Arial"/>
                <w:b w:val="false"/>
                <w:bCs w:val="false"/>
                <w:color w:val="111827"/>
                <w:sz w:val="18"/>
                <w:szCs w:val="18"/>
              </w:rPr>
              <w:t xml:space="preserve">Up to 3</w:t>
            </w:r>
          </w:p>
        </w:tc>
        <w:tc>
          <w:tcPr>
            <w:tcW w:type="dxa" w:w="2200"/>
            <w:tcBorders>
              <w:top w:val="single" w:color="D1D5DB" w:sz="1"/>
              <w:left w:val="single" w:color="D1D5DB" w:sz="1"/>
              <w:bottom w:val="single" w:color="D1D5DB" w:sz="1"/>
              <w:right w:val="single" w:color="D1D5DB" w:sz="1"/>
            </w:tcBorders>
            <w:tcMar>
              <w:top w:type="dxa" w:w="80"/>
              <w:left w:type="dxa" w:w="120"/>
              <w:bottom w:type="dxa" w:w="80"/>
              <w:right w:type="dxa" w:w="120"/>
            </w:tcMar>
          </w:tcPr>
          <w:p>
            <w:r>
              <w:rPr>
                <w:rFonts w:ascii="Arial" w:cs="Arial" w:eastAsia="Arial" w:hAnsi="Arial"/>
                <w:b w:val="false"/>
                <w:bCs w:val="false"/>
                <w:color w:val="111827"/>
                <w:sz w:val="18"/>
                <w:szCs w:val="18"/>
              </w:rPr>
              <w:t xml:space="preserve">Up to 5</w:t>
            </w:r>
          </w:p>
        </w:tc>
        <w:tc>
          <w:tcPr>
            <w:tcW w:type="dxa" w:w="2360"/>
            <w:tcBorders>
              <w:top w:val="single" w:color="D1D5DB" w:sz="1"/>
              <w:left w:val="single" w:color="D1D5DB" w:sz="1"/>
              <w:bottom w:val="single" w:color="D1D5DB" w:sz="1"/>
              <w:right w:val="single" w:color="D1D5DB" w:sz="1"/>
            </w:tcBorders>
            <w:tcMar>
              <w:top w:type="dxa" w:w="80"/>
              <w:left w:type="dxa" w:w="120"/>
              <w:bottom w:type="dxa" w:w="80"/>
              <w:right w:type="dxa" w:w="120"/>
            </w:tcMar>
          </w:tcPr>
          <w:p>
            <w:r>
              <w:rPr>
                <w:rFonts w:ascii="Arial" w:cs="Arial" w:eastAsia="Arial" w:hAnsi="Arial"/>
                <w:b w:val="false"/>
                <w:bCs w:val="false"/>
                <w:color w:val="111827"/>
                <w:sz w:val="18"/>
                <w:szCs w:val="18"/>
              </w:rPr>
              <w:t xml:space="preserve">Unlimited</w:t>
            </w:r>
          </w:p>
        </w:tc>
      </w:tr>
      <w:tr>
        <w:tc>
          <w:tcPr>
            <w:tcW w:type="dxa" w:w="2600"/>
            <w:tcBorders>
              <w:top w:val="single" w:color="D1D5DB" w:sz="1"/>
              <w:left w:val="single" w:color="D1D5DB" w:sz="1"/>
              <w:bottom w:val="single" w:color="D1D5DB" w:sz="1"/>
              <w:right w:val="single" w:color="D1D5DB" w:sz="1"/>
            </w:tcBorders>
            <w:shd w:fill="EFF6FF" w:val="clear"/>
            <w:tcMar>
              <w:top w:type="dxa" w:w="80"/>
              <w:left w:type="dxa" w:w="120"/>
              <w:bottom w:type="dxa" w:w="80"/>
              <w:right w:type="dxa" w:w="120"/>
            </w:tcMar>
          </w:tcPr>
          <w:p>
            <w:r>
              <w:rPr>
                <w:rFonts w:ascii="Arial" w:cs="Arial" w:eastAsia="Arial" w:hAnsi="Arial"/>
                <w:b w:val="false"/>
                <w:bCs w:val="false"/>
                <w:color w:val="111827"/>
                <w:sz w:val="18"/>
                <w:szCs w:val="18"/>
              </w:rPr>
              <w:t xml:space="preserve">Entities (orgs)</w:t>
            </w:r>
          </w:p>
        </w:tc>
        <w:tc>
          <w:tcPr>
            <w:tcW w:type="dxa" w:w="2200"/>
            <w:tcBorders>
              <w:top w:val="single" w:color="D1D5DB" w:sz="1"/>
              <w:left w:val="single" w:color="D1D5DB" w:sz="1"/>
              <w:bottom w:val="single" w:color="D1D5DB" w:sz="1"/>
              <w:right w:val="single" w:color="D1D5DB" w:sz="1"/>
            </w:tcBorders>
            <w:shd w:fill="EFF6FF" w:val="clear"/>
            <w:tcMar>
              <w:top w:type="dxa" w:w="80"/>
              <w:left w:type="dxa" w:w="120"/>
              <w:bottom w:type="dxa" w:w="80"/>
              <w:right w:type="dxa" w:w="120"/>
            </w:tcMar>
          </w:tcPr>
          <w:p>
            <w:r>
              <w:rPr>
                <w:rFonts w:ascii="Arial" w:cs="Arial" w:eastAsia="Arial" w:hAnsi="Arial"/>
                <w:b w:val="false"/>
                <w:bCs w:val="false"/>
                <w:color w:val="111827"/>
                <w:sz w:val="18"/>
                <w:szCs w:val="18"/>
              </w:rPr>
              <w:t xml:space="preserve">1</w:t>
            </w:r>
          </w:p>
        </w:tc>
        <w:tc>
          <w:tcPr>
            <w:tcW w:type="dxa" w:w="2200"/>
            <w:tcBorders>
              <w:top w:val="single" w:color="D1D5DB" w:sz="1"/>
              <w:left w:val="single" w:color="D1D5DB" w:sz="1"/>
              <w:bottom w:val="single" w:color="D1D5DB" w:sz="1"/>
              <w:right w:val="single" w:color="D1D5DB" w:sz="1"/>
            </w:tcBorders>
            <w:shd w:fill="EFF6FF" w:val="clear"/>
            <w:tcMar>
              <w:top w:type="dxa" w:w="80"/>
              <w:left w:type="dxa" w:w="120"/>
              <w:bottom w:type="dxa" w:w="80"/>
              <w:right w:type="dxa" w:w="120"/>
            </w:tcMar>
          </w:tcPr>
          <w:p>
            <w:r>
              <w:rPr>
                <w:rFonts w:ascii="Arial" w:cs="Arial" w:eastAsia="Arial" w:hAnsi="Arial"/>
                <w:b w:val="false"/>
                <w:bCs w:val="false"/>
                <w:color w:val="111827"/>
                <w:sz w:val="18"/>
                <w:szCs w:val="18"/>
              </w:rPr>
              <w:t xml:space="preserve">1</w:t>
            </w:r>
          </w:p>
        </w:tc>
        <w:tc>
          <w:tcPr>
            <w:tcW w:type="dxa" w:w="2360"/>
            <w:tcBorders>
              <w:top w:val="single" w:color="D1D5DB" w:sz="1"/>
              <w:left w:val="single" w:color="D1D5DB" w:sz="1"/>
              <w:bottom w:val="single" w:color="D1D5DB" w:sz="1"/>
              <w:right w:val="single" w:color="D1D5DB" w:sz="1"/>
            </w:tcBorders>
            <w:shd w:fill="EFF6FF" w:val="clear"/>
            <w:tcMar>
              <w:top w:type="dxa" w:w="80"/>
              <w:left w:type="dxa" w:w="120"/>
              <w:bottom w:type="dxa" w:w="80"/>
              <w:right w:type="dxa" w:w="120"/>
            </w:tcMar>
          </w:tcPr>
          <w:p>
            <w:r>
              <w:rPr>
                <w:rFonts w:ascii="Arial" w:cs="Arial" w:eastAsia="Arial" w:hAnsi="Arial"/>
                <w:b w:val="false"/>
                <w:bCs w:val="false"/>
                <w:color w:val="111827"/>
                <w:sz w:val="18"/>
                <w:szCs w:val="18"/>
              </w:rPr>
              <w:t xml:space="preserve">Multi-entity</w:t>
            </w:r>
          </w:p>
        </w:tc>
      </w:tr>
      <w:tr>
        <w:tc>
          <w:tcPr>
            <w:tcW w:type="dxa" w:w="2600"/>
            <w:tcBorders>
              <w:top w:val="single" w:color="D1D5DB" w:sz="1"/>
              <w:left w:val="single" w:color="D1D5DB" w:sz="1"/>
              <w:bottom w:val="single" w:color="D1D5DB" w:sz="1"/>
              <w:right w:val="single" w:color="D1D5DB" w:sz="1"/>
            </w:tcBorders>
            <w:tcMar>
              <w:top w:type="dxa" w:w="80"/>
              <w:left w:type="dxa" w:w="120"/>
              <w:bottom w:type="dxa" w:w="80"/>
              <w:right w:type="dxa" w:w="120"/>
            </w:tcMar>
          </w:tcPr>
          <w:p>
            <w:r>
              <w:rPr>
                <w:rFonts w:ascii="Arial" w:cs="Arial" w:eastAsia="Arial" w:hAnsi="Arial"/>
                <w:b w:val="false"/>
                <w:bCs w:val="false"/>
                <w:color w:val="111827"/>
                <w:sz w:val="18"/>
                <w:szCs w:val="18"/>
              </w:rPr>
              <w:t xml:space="preserve">ERP connectors</w:t>
            </w:r>
          </w:p>
        </w:tc>
        <w:tc>
          <w:tcPr>
            <w:tcW w:type="dxa" w:w="2200"/>
            <w:tcBorders>
              <w:top w:val="single" w:color="D1D5DB" w:sz="1"/>
              <w:left w:val="single" w:color="D1D5DB" w:sz="1"/>
              <w:bottom w:val="single" w:color="D1D5DB" w:sz="1"/>
              <w:right w:val="single" w:color="D1D5DB" w:sz="1"/>
            </w:tcBorders>
            <w:tcMar>
              <w:top w:type="dxa" w:w="80"/>
              <w:left w:type="dxa" w:w="120"/>
              <w:bottom w:type="dxa" w:w="80"/>
              <w:right w:type="dxa" w:w="120"/>
            </w:tcMar>
          </w:tcPr>
          <w:p>
            <w:r>
              <w:rPr>
                <w:rFonts w:ascii="Arial" w:cs="Arial" w:eastAsia="Arial" w:hAnsi="Arial"/>
                <w:b w:val="false"/>
                <w:bCs w:val="false"/>
                <w:color w:val="111827"/>
                <w:sz w:val="18"/>
                <w:szCs w:val="18"/>
              </w:rPr>
              <w:t xml:space="preserve">1 connector</w:t>
            </w:r>
          </w:p>
        </w:tc>
        <w:tc>
          <w:tcPr>
            <w:tcW w:type="dxa" w:w="2200"/>
            <w:tcBorders>
              <w:top w:val="single" w:color="D1D5DB" w:sz="1"/>
              <w:left w:val="single" w:color="D1D5DB" w:sz="1"/>
              <w:bottom w:val="single" w:color="D1D5DB" w:sz="1"/>
              <w:right w:val="single" w:color="D1D5DB" w:sz="1"/>
            </w:tcBorders>
            <w:tcMar>
              <w:top w:type="dxa" w:w="80"/>
              <w:left w:type="dxa" w:w="120"/>
              <w:bottom w:type="dxa" w:w="80"/>
              <w:right w:type="dxa" w:w="120"/>
            </w:tcMar>
          </w:tcPr>
          <w:p>
            <w:r>
              <w:rPr>
                <w:rFonts w:ascii="Arial" w:cs="Arial" w:eastAsia="Arial" w:hAnsi="Arial"/>
                <w:b w:val="false"/>
                <w:bCs w:val="false"/>
                <w:color w:val="111827"/>
                <w:sz w:val="18"/>
                <w:szCs w:val="18"/>
              </w:rPr>
              <w:t xml:space="preserve">2 connectors</w:t>
            </w:r>
          </w:p>
        </w:tc>
        <w:tc>
          <w:tcPr>
            <w:tcW w:type="dxa" w:w="2360"/>
            <w:tcBorders>
              <w:top w:val="single" w:color="D1D5DB" w:sz="1"/>
              <w:left w:val="single" w:color="D1D5DB" w:sz="1"/>
              <w:bottom w:val="single" w:color="D1D5DB" w:sz="1"/>
              <w:right w:val="single" w:color="D1D5DB" w:sz="1"/>
            </w:tcBorders>
            <w:tcMar>
              <w:top w:type="dxa" w:w="80"/>
              <w:left w:type="dxa" w:w="120"/>
              <w:bottom w:type="dxa" w:w="80"/>
              <w:right w:type="dxa" w:w="120"/>
            </w:tcMar>
          </w:tcPr>
          <w:p>
            <w:r>
              <w:rPr>
                <w:rFonts w:ascii="Arial" w:cs="Arial" w:eastAsia="Arial" w:hAnsi="Arial"/>
                <w:b w:val="false"/>
                <w:bCs w:val="false"/>
                <w:color w:val="111827"/>
                <w:sz w:val="18"/>
                <w:szCs w:val="18"/>
              </w:rPr>
              <w:t xml:space="preserve">Unlimited connectors</w:t>
            </w:r>
          </w:p>
        </w:tc>
      </w:tr>
      <w:tr>
        <w:tc>
          <w:tcPr>
            <w:tcW w:type="dxa" w:w="2600"/>
            <w:tcBorders>
              <w:top w:val="single" w:color="D1D5DB" w:sz="1"/>
              <w:left w:val="single" w:color="D1D5DB" w:sz="1"/>
              <w:bottom w:val="single" w:color="D1D5DB" w:sz="1"/>
              <w:right w:val="single" w:color="D1D5DB" w:sz="1"/>
            </w:tcBorders>
            <w:shd w:fill="EFF6FF" w:val="clear"/>
            <w:tcMar>
              <w:top w:type="dxa" w:w="80"/>
              <w:left w:type="dxa" w:w="120"/>
              <w:bottom w:type="dxa" w:w="80"/>
              <w:right w:type="dxa" w:w="120"/>
            </w:tcMar>
          </w:tcPr>
          <w:p>
            <w:r>
              <w:rPr>
                <w:rFonts w:ascii="Arial" w:cs="Arial" w:eastAsia="Arial" w:hAnsi="Arial"/>
                <w:b w:val="false"/>
                <w:bCs w:val="false"/>
                <w:color w:val="111827"/>
                <w:sz w:val="18"/>
                <w:szCs w:val="18"/>
              </w:rPr>
              <w:t xml:space="preserve">FCU included (rows/mo)</w:t>
            </w:r>
          </w:p>
        </w:tc>
        <w:tc>
          <w:tcPr>
            <w:tcW w:type="dxa" w:w="2200"/>
            <w:tcBorders>
              <w:top w:val="single" w:color="D1D5DB" w:sz="1"/>
              <w:left w:val="single" w:color="D1D5DB" w:sz="1"/>
              <w:bottom w:val="single" w:color="D1D5DB" w:sz="1"/>
              <w:right w:val="single" w:color="D1D5DB" w:sz="1"/>
            </w:tcBorders>
            <w:shd w:fill="EFF6FF" w:val="clear"/>
            <w:tcMar>
              <w:top w:type="dxa" w:w="80"/>
              <w:left w:type="dxa" w:w="120"/>
              <w:bottom w:type="dxa" w:w="80"/>
              <w:right w:type="dxa" w:w="120"/>
            </w:tcMar>
          </w:tcPr>
          <w:p>
            <w:r>
              <w:rPr>
                <w:rFonts w:ascii="Arial" w:cs="Arial" w:eastAsia="Arial" w:hAnsi="Arial"/>
                <w:b w:val="false"/>
                <w:bCs w:val="false"/>
                <w:color w:val="111827"/>
                <w:sz w:val="18"/>
                <w:szCs w:val="18"/>
              </w:rPr>
              <w:t xml:space="preserve">500,000</w:t>
            </w:r>
          </w:p>
        </w:tc>
        <w:tc>
          <w:tcPr>
            <w:tcW w:type="dxa" w:w="2200"/>
            <w:tcBorders>
              <w:top w:val="single" w:color="D1D5DB" w:sz="1"/>
              <w:left w:val="single" w:color="D1D5DB" w:sz="1"/>
              <w:bottom w:val="single" w:color="D1D5DB" w:sz="1"/>
              <w:right w:val="single" w:color="D1D5DB" w:sz="1"/>
            </w:tcBorders>
            <w:shd w:fill="EFF6FF" w:val="clear"/>
            <w:tcMar>
              <w:top w:type="dxa" w:w="80"/>
              <w:left w:type="dxa" w:w="120"/>
              <w:bottom w:type="dxa" w:w="80"/>
              <w:right w:type="dxa" w:w="120"/>
            </w:tcMar>
          </w:tcPr>
          <w:p>
            <w:r>
              <w:rPr>
                <w:rFonts w:ascii="Arial" w:cs="Arial" w:eastAsia="Arial" w:hAnsi="Arial"/>
                <w:b w:val="false"/>
                <w:bCs w:val="false"/>
                <w:color w:val="111827"/>
                <w:sz w:val="18"/>
                <w:szCs w:val="18"/>
              </w:rPr>
              <w:t xml:space="preserve">2,000,000</w:t>
            </w:r>
          </w:p>
        </w:tc>
        <w:tc>
          <w:tcPr>
            <w:tcW w:type="dxa" w:w="2360"/>
            <w:tcBorders>
              <w:top w:val="single" w:color="D1D5DB" w:sz="1"/>
              <w:left w:val="single" w:color="D1D5DB" w:sz="1"/>
              <w:bottom w:val="single" w:color="D1D5DB" w:sz="1"/>
              <w:right w:val="single" w:color="D1D5DB" w:sz="1"/>
            </w:tcBorders>
            <w:shd w:fill="EFF6FF" w:val="clear"/>
            <w:tcMar>
              <w:top w:type="dxa" w:w="80"/>
              <w:left w:type="dxa" w:w="120"/>
              <w:bottom w:type="dxa" w:w="80"/>
              <w:right w:type="dxa" w:w="120"/>
            </w:tcMar>
          </w:tcPr>
          <w:p>
            <w:r>
              <w:rPr>
                <w:rFonts w:ascii="Arial" w:cs="Arial" w:eastAsia="Arial" w:hAnsi="Arial"/>
                <w:b w:val="false"/>
                <w:bCs w:val="false"/>
                <w:color w:val="111827"/>
                <w:sz w:val="18"/>
                <w:szCs w:val="18"/>
              </w:rPr>
              <w:t xml:space="preserve">Custom (negotiated)</w:t>
            </w:r>
          </w:p>
        </w:tc>
      </w:tr>
      <w:tr>
        <w:tc>
          <w:tcPr>
            <w:tcW w:type="dxa" w:w="2600"/>
            <w:tcBorders>
              <w:top w:val="single" w:color="D1D5DB" w:sz="1"/>
              <w:left w:val="single" w:color="D1D5DB" w:sz="1"/>
              <w:bottom w:val="single" w:color="D1D5DB" w:sz="1"/>
              <w:right w:val="single" w:color="D1D5DB" w:sz="1"/>
            </w:tcBorders>
            <w:tcMar>
              <w:top w:type="dxa" w:w="80"/>
              <w:left w:type="dxa" w:w="120"/>
              <w:bottom w:type="dxa" w:w="80"/>
              <w:right w:type="dxa" w:w="120"/>
            </w:tcMar>
          </w:tcPr>
          <w:p>
            <w:r>
              <w:rPr>
                <w:rFonts w:ascii="Arial" w:cs="Arial" w:eastAsia="Arial" w:hAnsi="Arial"/>
                <w:b w:val="false"/>
                <w:bCs w:val="false"/>
                <w:color w:val="111827"/>
                <w:sz w:val="18"/>
                <w:szCs w:val="18"/>
              </w:rPr>
              <w:t xml:space="preserve">FIQ included (queries/mo)</w:t>
            </w:r>
          </w:p>
        </w:tc>
        <w:tc>
          <w:tcPr>
            <w:tcW w:type="dxa" w:w="2200"/>
            <w:tcBorders>
              <w:top w:val="single" w:color="D1D5DB" w:sz="1"/>
              <w:left w:val="single" w:color="D1D5DB" w:sz="1"/>
              <w:bottom w:val="single" w:color="D1D5DB" w:sz="1"/>
              <w:right w:val="single" w:color="D1D5DB" w:sz="1"/>
            </w:tcBorders>
            <w:tcMar>
              <w:top w:type="dxa" w:w="80"/>
              <w:left w:type="dxa" w:w="120"/>
              <w:bottom w:type="dxa" w:w="80"/>
              <w:right w:type="dxa" w:w="120"/>
            </w:tcMar>
          </w:tcPr>
          <w:p>
            <w:r>
              <w:rPr>
                <w:rFonts w:ascii="Arial" w:cs="Arial" w:eastAsia="Arial" w:hAnsi="Arial"/>
                <w:b w:val="false"/>
                <w:bCs w:val="false"/>
                <w:color w:val="111827"/>
                <w:sz w:val="18"/>
                <w:szCs w:val="18"/>
              </w:rPr>
              <w:t xml:space="preserve">2,000</w:t>
            </w:r>
          </w:p>
        </w:tc>
        <w:tc>
          <w:tcPr>
            <w:tcW w:type="dxa" w:w="2200"/>
            <w:tcBorders>
              <w:top w:val="single" w:color="D1D5DB" w:sz="1"/>
              <w:left w:val="single" w:color="D1D5DB" w:sz="1"/>
              <w:bottom w:val="single" w:color="D1D5DB" w:sz="1"/>
              <w:right w:val="single" w:color="D1D5DB" w:sz="1"/>
            </w:tcBorders>
            <w:tcMar>
              <w:top w:type="dxa" w:w="80"/>
              <w:left w:type="dxa" w:w="120"/>
              <w:bottom w:type="dxa" w:w="80"/>
              <w:right w:type="dxa" w:w="120"/>
            </w:tcMar>
          </w:tcPr>
          <w:p>
            <w:r>
              <w:rPr>
                <w:rFonts w:ascii="Arial" w:cs="Arial" w:eastAsia="Arial" w:hAnsi="Arial"/>
                <w:b w:val="false"/>
                <w:bCs w:val="false"/>
                <w:color w:val="111827"/>
                <w:sz w:val="18"/>
                <w:szCs w:val="18"/>
              </w:rPr>
              <w:t xml:space="preserve">10,000</w:t>
            </w:r>
          </w:p>
        </w:tc>
        <w:tc>
          <w:tcPr>
            <w:tcW w:type="dxa" w:w="2360"/>
            <w:tcBorders>
              <w:top w:val="single" w:color="D1D5DB" w:sz="1"/>
              <w:left w:val="single" w:color="D1D5DB" w:sz="1"/>
              <w:bottom w:val="single" w:color="D1D5DB" w:sz="1"/>
              <w:right w:val="single" w:color="D1D5DB" w:sz="1"/>
            </w:tcBorders>
            <w:tcMar>
              <w:top w:type="dxa" w:w="80"/>
              <w:left w:type="dxa" w:w="120"/>
              <w:bottom w:type="dxa" w:w="80"/>
              <w:right w:type="dxa" w:w="120"/>
            </w:tcMar>
          </w:tcPr>
          <w:p>
            <w:r>
              <w:rPr>
                <w:rFonts w:ascii="Arial" w:cs="Arial" w:eastAsia="Arial" w:hAnsi="Arial"/>
                <w:b w:val="false"/>
                <w:bCs w:val="false"/>
                <w:color w:val="111827"/>
                <w:sz w:val="18"/>
                <w:szCs w:val="18"/>
              </w:rPr>
              <w:t xml:space="preserve">Custom (negotiated)</w:t>
            </w:r>
          </w:p>
        </w:tc>
      </w:tr>
      <w:tr>
        <w:tc>
          <w:tcPr>
            <w:tcW w:type="dxa" w:w="2600"/>
            <w:tcBorders>
              <w:top w:val="single" w:color="D1D5DB" w:sz="1"/>
              <w:left w:val="single" w:color="D1D5DB" w:sz="1"/>
              <w:bottom w:val="single" w:color="D1D5DB" w:sz="1"/>
              <w:right w:val="single" w:color="D1D5DB" w:sz="1"/>
            </w:tcBorders>
            <w:shd w:fill="EFF6FF" w:val="clear"/>
            <w:tcMar>
              <w:top w:type="dxa" w:w="80"/>
              <w:left w:type="dxa" w:w="120"/>
              <w:bottom w:type="dxa" w:w="80"/>
              <w:right w:type="dxa" w:w="120"/>
            </w:tcMar>
          </w:tcPr>
          <w:p>
            <w:r>
              <w:rPr>
                <w:rFonts w:ascii="Arial" w:cs="Arial" w:eastAsia="Arial" w:hAnsi="Arial"/>
                <w:b w:val="false"/>
                <w:bCs w:val="false"/>
                <w:color w:val="111827"/>
                <w:sz w:val="18"/>
                <w:szCs w:val="18"/>
              </w:rPr>
              <w:t xml:space="preserve">API keys (for AI agents)</w:t>
            </w:r>
          </w:p>
        </w:tc>
        <w:tc>
          <w:tcPr>
            <w:tcW w:type="dxa" w:w="2200"/>
            <w:tcBorders>
              <w:top w:val="single" w:color="D1D5DB" w:sz="1"/>
              <w:left w:val="single" w:color="D1D5DB" w:sz="1"/>
              <w:bottom w:val="single" w:color="D1D5DB" w:sz="1"/>
              <w:right w:val="single" w:color="D1D5DB" w:sz="1"/>
            </w:tcBorders>
            <w:shd w:fill="EFF6FF" w:val="clear"/>
            <w:tcMar>
              <w:top w:type="dxa" w:w="80"/>
              <w:left w:type="dxa" w:w="120"/>
              <w:bottom w:type="dxa" w:w="80"/>
              <w:right w:type="dxa" w:w="120"/>
            </w:tcMar>
          </w:tcPr>
          <w:p>
            <w:r>
              <w:rPr>
                <w:rFonts w:ascii="Arial" w:cs="Arial" w:eastAsia="Arial" w:hAnsi="Arial"/>
                <w:b w:val="false"/>
                <w:bCs w:val="false"/>
                <w:color w:val="111827"/>
                <w:sz w:val="18"/>
                <w:szCs w:val="18"/>
              </w:rPr>
              <w:t xml:space="preserve">2</w:t>
            </w:r>
          </w:p>
        </w:tc>
        <w:tc>
          <w:tcPr>
            <w:tcW w:type="dxa" w:w="2200"/>
            <w:tcBorders>
              <w:top w:val="single" w:color="D1D5DB" w:sz="1"/>
              <w:left w:val="single" w:color="D1D5DB" w:sz="1"/>
              <w:bottom w:val="single" w:color="D1D5DB" w:sz="1"/>
              <w:right w:val="single" w:color="D1D5DB" w:sz="1"/>
            </w:tcBorders>
            <w:shd w:fill="EFF6FF" w:val="clear"/>
            <w:tcMar>
              <w:top w:type="dxa" w:w="80"/>
              <w:left w:type="dxa" w:w="120"/>
              <w:bottom w:type="dxa" w:w="80"/>
              <w:right w:type="dxa" w:w="120"/>
            </w:tcMar>
          </w:tcPr>
          <w:p>
            <w:r>
              <w:rPr>
                <w:rFonts w:ascii="Arial" w:cs="Arial" w:eastAsia="Arial" w:hAnsi="Arial"/>
                <w:b w:val="false"/>
                <w:bCs w:val="false"/>
                <w:color w:val="111827"/>
                <w:sz w:val="18"/>
                <w:szCs w:val="18"/>
              </w:rPr>
              <w:t xml:space="preserve">10</w:t>
            </w:r>
          </w:p>
        </w:tc>
        <w:tc>
          <w:tcPr>
            <w:tcW w:type="dxa" w:w="2360"/>
            <w:tcBorders>
              <w:top w:val="single" w:color="D1D5DB" w:sz="1"/>
              <w:left w:val="single" w:color="D1D5DB" w:sz="1"/>
              <w:bottom w:val="single" w:color="D1D5DB" w:sz="1"/>
              <w:right w:val="single" w:color="D1D5DB" w:sz="1"/>
            </w:tcBorders>
            <w:shd w:fill="EFF6FF" w:val="clear"/>
            <w:tcMar>
              <w:top w:type="dxa" w:w="80"/>
              <w:left w:type="dxa" w:w="120"/>
              <w:bottom w:type="dxa" w:w="80"/>
              <w:right w:type="dxa" w:w="120"/>
            </w:tcMar>
          </w:tcPr>
          <w:p>
            <w:r>
              <w:rPr>
                <w:rFonts w:ascii="Arial" w:cs="Arial" w:eastAsia="Arial" w:hAnsi="Arial"/>
                <w:b w:val="false"/>
                <w:bCs w:val="false"/>
                <w:color w:val="111827"/>
                <w:sz w:val="18"/>
                <w:szCs w:val="18"/>
              </w:rPr>
              <w:t xml:space="preserve">Unlimited</w:t>
            </w:r>
          </w:p>
        </w:tc>
      </w:tr>
      <w:tr>
        <w:tc>
          <w:tcPr>
            <w:tcW w:type="dxa" w:w="2600"/>
            <w:tcBorders>
              <w:top w:val="single" w:color="D1D5DB" w:sz="1"/>
              <w:left w:val="single" w:color="D1D5DB" w:sz="1"/>
              <w:bottom w:val="single" w:color="D1D5DB" w:sz="1"/>
              <w:right w:val="single" w:color="D1D5DB" w:sz="1"/>
            </w:tcBorders>
            <w:tcMar>
              <w:top w:type="dxa" w:w="80"/>
              <w:left w:type="dxa" w:w="120"/>
              <w:bottom w:type="dxa" w:w="80"/>
              <w:right w:type="dxa" w:w="120"/>
            </w:tcMar>
          </w:tcPr>
          <w:p>
            <w:r>
              <w:rPr>
                <w:rFonts w:ascii="Arial" w:cs="Arial" w:eastAsia="Arial" w:hAnsi="Arial"/>
                <w:b w:val="false"/>
                <w:bCs w:val="false"/>
                <w:color w:val="111827"/>
                <w:sz w:val="18"/>
                <w:szCs w:val="18"/>
              </w:rPr>
              <w:t xml:space="preserve">Review workflow</w:t>
            </w:r>
          </w:p>
        </w:tc>
        <w:tc>
          <w:tcPr>
            <w:tcW w:type="dxa" w:w="2200"/>
            <w:tcBorders>
              <w:top w:val="single" w:color="D1D5DB" w:sz="1"/>
              <w:left w:val="single" w:color="D1D5DB" w:sz="1"/>
              <w:bottom w:val="single" w:color="D1D5DB" w:sz="1"/>
              <w:right w:val="single" w:color="D1D5DB" w:sz="1"/>
            </w:tcBorders>
            <w:tcMar>
              <w:top w:type="dxa" w:w="80"/>
              <w:left w:type="dxa" w:w="120"/>
              <w:bottom w:type="dxa" w:w="80"/>
              <w:right w:type="dxa" w:w="120"/>
            </w:tcMar>
          </w:tcPr>
          <w:p>
            <w:r>
              <w:rPr>
                <w:rFonts w:ascii="Arial" w:cs="Arial" w:eastAsia="Arial" w:hAnsi="Arial"/>
                <w:b w:val="false"/>
                <w:bCs w:val="false"/>
                <w:color w:val="111827"/>
                <w:sz w:val="18"/>
                <w:szCs w:val="18"/>
              </w:rPr>
              <w:t xml:space="preserve">Output review only</w:t>
            </w:r>
          </w:p>
        </w:tc>
        <w:tc>
          <w:tcPr>
            <w:tcW w:type="dxa" w:w="2200"/>
            <w:tcBorders>
              <w:top w:val="single" w:color="D1D5DB" w:sz="1"/>
              <w:left w:val="single" w:color="D1D5DB" w:sz="1"/>
              <w:bottom w:val="single" w:color="D1D5DB" w:sz="1"/>
              <w:right w:val="single" w:color="D1D5DB" w:sz="1"/>
            </w:tcBorders>
            <w:tcMar>
              <w:top w:type="dxa" w:w="80"/>
              <w:left w:type="dxa" w:w="120"/>
              <w:bottom w:type="dxa" w:w="80"/>
              <w:right w:type="dxa" w:w="120"/>
            </w:tcMar>
          </w:tcPr>
          <w:p>
            <w:r>
              <w:rPr>
                <w:rFonts w:ascii="Arial" w:cs="Arial" w:eastAsia="Arial" w:hAnsi="Arial"/>
                <w:b w:val="false"/>
                <w:bCs w:val="false"/>
                <w:color w:val="111827"/>
                <w:sz w:val="18"/>
                <w:szCs w:val="18"/>
              </w:rPr>
              <w:t xml:space="preserve">Dual checkpoint (input + output)</w:t>
            </w:r>
          </w:p>
        </w:tc>
        <w:tc>
          <w:tcPr>
            <w:tcW w:type="dxa" w:w="2360"/>
            <w:tcBorders>
              <w:top w:val="single" w:color="D1D5DB" w:sz="1"/>
              <w:left w:val="single" w:color="D1D5DB" w:sz="1"/>
              <w:bottom w:val="single" w:color="D1D5DB" w:sz="1"/>
              <w:right w:val="single" w:color="D1D5DB" w:sz="1"/>
            </w:tcBorders>
            <w:tcMar>
              <w:top w:type="dxa" w:w="80"/>
              <w:left w:type="dxa" w:w="120"/>
              <w:bottom w:type="dxa" w:w="80"/>
              <w:right w:type="dxa" w:w="120"/>
            </w:tcMar>
          </w:tcPr>
          <w:p>
            <w:r>
              <w:rPr>
                <w:rFonts w:ascii="Arial" w:cs="Arial" w:eastAsia="Arial" w:hAnsi="Arial"/>
                <w:b w:val="false"/>
                <w:bCs w:val="false"/>
                <w:color w:val="111827"/>
                <w:sz w:val="18"/>
                <w:szCs w:val="18"/>
              </w:rPr>
              <w:t xml:space="preserve">Dual checkpoint (input + output)</w:t>
            </w:r>
          </w:p>
        </w:tc>
      </w:tr>
      <w:tr>
        <w:tc>
          <w:tcPr>
            <w:tcW w:type="dxa" w:w="2600"/>
            <w:tcBorders>
              <w:top w:val="single" w:color="D1D5DB" w:sz="1"/>
              <w:left w:val="single" w:color="D1D5DB" w:sz="1"/>
              <w:bottom w:val="single" w:color="D1D5DB" w:sz="1"/>
              <w:right w:val="single" w:color="D1D5DB" w:sz="1"/>
            </w:tcBorders>
            <w:shd w:fill="EFF6FF" w:val="clear"/>
            <w:tcMar>
              <w:top w:type="dxa" w:w="80"/>
              <w:left w:type="dxa" w:w="120"/>
              <w:bottom w:type="dxa" w:w="80"/>
              <w:right w:type="dxa" w:w="120"/>
            </w:tcMar>
          </w:tcPr>
          <w:p>
            <w:r>
              <w:rPr>
                <w:rFonts w:ascii="Arial" w:cs="Arial" w:eastAsia="Arial" w:hAnsi="Arial"/>
                <w:b w:val="false"/>
                <w:bCs w:val="false"/>
                <w:color w:val="111827"/>
                <w:sz w:val="18"/>
                <w:szCs w:val="18"/>
              </w:rPr>
              <w:t xml:space="preserve">Security rules</w:t>
            </w:r>
          </w:p>
        </w:tc>
        <w:tc>
          <w:tcPr>
            <w:tcW w:type="dxa" w:w="2200"/>
            <w:tcBorders>
              <w:top w:val="single" w:color="D1D5DB" w:sz="1"/>
              <w:left w:val="single" w:color="D1D5DB" w:sz="1"/>
              <w:bottom w:val="single" w:color="D1D5DB" w:sz="1"/>
              <w:right w:val="single" w:color="D1D5DB" w:sz="1"/>
            </w:tcBorders>
            <w:shd w:fill="EFF6FF" w:val="clear"/>
            <w:tcMar>
              <w:top w:type="dxa" w:w="80"/>
              <w:left w:type="dxa" w:w="120"/>
              <w:bottom w:type="dxa" w:w="80"/>
              <w:right w:type="dxa" w:w="120"/>
            </w:tcMar>
          </w:tcPr>
          <w:p>
            <w:r>
              <w:rPr>
                <w:rFonts w:ascii="Arial" w:cs="Arial" w:eastAsia="Arial" w:hAnsi="Arial"/>
                <w:b w:val="false"/>
                <w:bCs w:val="false"/>
                <w:color w:val="111827"/>
                <w:sz w:val="18"/>
                <w:szCs w:val="18"/>
              </w:rPr>
              <w:t xml:space="preserve">Basic RLS (account-level)</w:t>
            </w:r>
          </w:p>
        </w:tc>
        <w:tc>
          <w:tcPr>
            <w:tcW w:type="dxa" w:w="2200"/>
            <w:tcBorders>
              <w:top w:val="single" w:color="D1D5DB" w:sz="1"/>
              <w:left w:val="single" w:color="D1D5DB" w:sz="1"/>
              <w:bottom w:val="single" w:color="D1D5DB" w:sz="1"/>
              <w:right w:val="single" w:color="D1D5DB" w:sz="1"/>
            </w:tcBorders>
            <w:shd w:fill="EFF6FF" w:val="clear"/>
            <w:tcMar>
              <w:top w:type="dxa" w:w="80"/>
              <w:left w:type="dxa" w:w="120"/>
              <w:bottom w:type="dxa" w:w="80"/>
              <w:right w:type="dxa" w:w="120"/>
            </w:tcMar>
          </w:tcPr>
          <w:p>
            <w:r>
              <w:rPr>
                <w:rFonts w:ascii="Arial" w:cs="Arial" w:eastAsia="Arial" w:hAnsi="Arial"/>
                <w:b w:val="false"/>
                <w:bCs w:val="false"/>
                <w:color w:val="111827"/>
                <w:sz w:val="18"/>
                <w:szCs w:val="18"/>
              </w:rPr>
              <w:t xml:space="preserve">Full RLS (account + dimension + project)</w:t>
            </w:r>
          </w:p>
        </w:tc>
        <w:tc>
          <w:tcPr>
            <w:tcW w:type="dxa" w:w="2360"/>
            <w:tcBorders>
              <w:top w:val="single" w:color="D1D5DB" w:sz="1"/>
              <w:left w:val="single" w:color="D1D5DB" w:sz="1"/>
              <w:bottom w:val="single" w:color="D1D5DB" w:sz="1"/>
              <w:right w:val="single" w:color="D1D5DB" w:sz="1"/>
            </w:tcBorders>
            <w:shd w:fill="EFF6FF" w:val="clear"/>
            <w:tcMar>
              <w:top w:type="dxa" w:w="80"/>
              <w:left w:type="dxa" w:w="120"/>
              <w:bottom w:type="dxa" w:w="80"/>
              <w:right w:type="dxa" w:w="120"/>
            </w:tcMar>
          </w:tcPr>
          <w:p>
            <w:r>
              <w:rPr>
                <w:rFonts w:ascii="Arial" w:cs="Arial" w:eastAsia="Arial" w:hAnsi="Arial"/>
                <w:b w:val="false"/>
                <w:bCs w:val="false"/>
                <w:color w:val="111827"/>
                <w:sz w:val="18"/>
                <w:szCs w:val="18"/>
              </w:rPr>
              <w:t xml:space="preserve">Full RLS + custom policies</w:t>
            </w:r>
          </w:p>
        </w:tc>
      </w:tr>
      <w:tr>
        <w:tc>
          <w:tcPr>
            <w:tcW w:type="dxa" w:w="2600"/>
            <w:tcBorders>
              <w:top w:val="single" w:color="D1D5DB" w:sz="1"/>
              <w:left w:val="single" w:color="D1D5DB" w:sz="1"/>
              <w:bottom w:val="single" w:color="D1D5DB" w:sz="1"/>
              <w:right w:val="single" w:color="D1D5DB" w:sz="1"/>
            </w:tcBorders>
            <w:tcMar>
              <w:top w:type="dxa" w:w="80"/>
              <w:left w:type="dxa" w:w="120"/>
              <w:bottom w:type="dxa" w:w="80"/>
              <w:right w:type="dxa" w:w="120"/>
            </w:tcMar>
          </w:tcPr>
          <w:p>
            <w:r>
              <w:rPr>
                <w:rFonts w:ascii="Arial" w:cs="Arial" w:eastAsia="Arial" w:hAnsi="Arial"/>
                <w:b w:val="false"/>
                <w:bCs w:val="false"/>
                <w:color w:val="111827"/>
                <w:sz w:val="18"/>
                <w:szCs w:val="18"/>
              </w:rPr>
              <w:t xml:space="preserve">Support</w:t>
            </w:r>
          </w:p>
        </w:tc>
        <w:tc>
          <w:tcPr>
            <w:tcW w:type="dxa" w:w="2200"/>
            <w:tcBorders>
              <w:top w:val="single" w:color="D1D5DB" w:sz="1"/>
              <w:left w:val="single" w:color="D1D5DB" w:sz="1"/>
              <w:bottom w:val="single" w:color="D1D5DB" w:sz="1"/>
              <w:right w:val="single" w:color="D1D5DB" w:sz="1"/>
            </w:tcBorders>
            <w:tcMar>
              <w:top w:type="dxa" w:w="80"/>
              <w:left w:type="dxa" w:w="120"/>
              <w:bottom w:type="dxa" w:w="80"/>
              <w:right w:type="dxa" w:w="120"/>
            </w:tcMar>
          </w:tcPr>
          <w:p>
            <w:r>
              <w:rPr>
                <w:rFonts w:ascii="Arial" w:cs="Arial" w:eastAsia="Arial" w:hAnsi="Arial"/>
                <w:b w:val="false"/>
                <w:bCs w:val="false"/>
                <w:color w:val="111827"/>
                <w:sz w:val="18"/>
                <w:szCs w:val="18"/>
              </w:rPr>
              <w:t xml:space="preserve">Email (48hr response)</w:t>
            </w:r>
          </w:p>
        </w:tc>
        <w:tc>
          <w:tcPr>
            <w:tcW w:type="dxa" w:w="2200"/>
            <w:tcBorders>
              <w:top w:val="single" w:color="D1D5DB" w:sz="1"/>
              <w:left w:val="single" w:color="D1D5DB" w:sz="1"/>
              <w:bottom w:val="single" w:color="D1D5DB" w:sz="1"/>
              <w:right w:val="single" w:color="D1D5DB" w:sz="1"/>
            </w:tcBorders>
            <w:tcMar>
              <w:top w:type="dxa" w:w="80"/>
              <w:left w:type="dxa" w:w="120"/>
              <w:bottom w:type="dxa" w:w="80"/>
              <w:right w:type="dxa" w:w="120"/>
            </w:tcMar>
          </w:tcPr>
          <w:p>
            <w:r>
              <w:rPr>
                <w:rFonts w:ascii="Arial" w:cs="Arial" w:eastAsia="Arial" w:hAnsi="Arial"/>
                <w:b w:val="false"/>
                <w:bCs w:val="false"/>
                <w:color w:val="111827"/>
                <w:sz w:val="18"/>
                <w:szCs w:val="18"/>
              </w:rPr>
              <w:t xml:space="preserve">Priority email (24hr response)</w:t>
            </w:r>
          </w:p>
        </w:tc>
        <w:tc>
          <w:tcPr>
            <w:tcW w:type="dxa" w:w="2360"/>
            <w:tcBorders>
              <w:top w:val="single" w:color="D1D5DB" w:sz="1"/>
              <w:left w:val="single" w:color="D1D5DB" w:sz="1"/>
              <w:bottom w:val="single" w:color="D1D5DB" w:sz="1"/>
              <w:right w:val="single" w:color="D1D5DB" w:sz="1"/>
            </w:tcBorders>
            <w:tcMar>
              <w:top w:type="dxa" w:w="80"/>
              <w:left w:type="dxa" w:w="120"/>
              <w:bottom w:type="dxa" w:w="80"/>
              <w:right w:type="dxa" w:w="120"/>
            </w:tcMar>
          </w:tcPr>
          <w:p>
            <w:r>
              <w:rPr>
                <w:rFonts w:ascii="Arial" w:cs="Arial" w:eastAsia="Arial" w:hAnsi="Arial"/>
                <w:b w:val="false"/>
                <w:bCs w:val="false"/>
                <w:color w:val="111827"/>
                <w:sz w:val="18"/>
                <w:szCs w:val="18"/>
              </w:rPr>
              <w:t xml:space="preserve">Dedicated support + SLA</w:t>
            </w:r>
          </w:p>
        </w:tc>
      </w:tr>
      <w:tr>
        <w:tc>
          <w:tcPr>
            <w:tcW w:type="dxa" w:w="2600"/>
            <w:tcBorders>
              <w:top w:val="single" w:color="D1D5DB" w:sz="1"/>
              <w:left w:val="single" w:color="D1D5DB" w:sz="1"/>
              <w:bottom w:val="single" w:color="D1D5DB" w:sz="1"/>
              <w:right w:val="single" w:color="D1D5DB" w:sz="1"/>
            </w:tcBorders>
            <w:shd w:fill="EFF6FF" w:val="clear"/>
            <w:tcMar>
              <w:top w:type="dxa" w:w="80"/>
              <w:left w:type="dxa" w:w="120"/>
              <w:bottom w:type="dxa" w:w="80"/>
              <w:right w:type="dxa" w:w="120"/>
            </w:tcMar>
          </w:tcPr>
          <w:p>
            <w:r>
              <w:rPr>
                <w:rFonts w:ascii="Arial" w:cs="Arial" w:eastAsia="Arial" w:hAnsi="Arial"/>
                <w:b w:val="false"/>
                <w:bCs w:val="false"/>
                <w:color w:val="111827"/>
                <w:sz w:val="18"/>
                <w:szCs w:val="18"/>
              </w:rPr>
              <w:t xml:space="preserve">SSO / SAML</w:t>
            </w:r>
          </w:p>
        </w:tc>
        <w:tc>
          <w:tcPr>
            <w:tcW w:type="dxa" w:w="2200"/>
            <w:tcBorders>
              <w:top w:val="single" w:color="D1D5DB" w:sz="1"/>
              <w:left w:val="single" w:color="D1D5DB" w:sz="1"/>
              <w:bottom w:val="single" w:color="D1D5DB" w:sz="1"/>
              <w:right w:val="single" w:color="D1D5DB" w:sz="1"/>
            </w:tcBorders>
            <w:shd w:fill="EFF6FF" w:val="clear"/>
            <w:tcMar>
              <w:top w:type="dxa" w:w="80"/>
              <w:left w:type="dxa" w:w="120"/>
              <w:bottom w:type="dxa" w:w="80"/>
              <w:right w:type="dxa" w:w="120"/>
            </w:tcMar>
          </w:tcPr>
          <w:p>
            <w:r>
              <w:rPr>
                <w:rFonts w:ascii="Arial" w:cs="Arial" w:eastAsia="Arial" w:hAnsi="Arial"/>
                <w:b w:val="false"/>
                <w:bCs w:val="false"/>
                <w:color w:val="111827"/>
                <w:sz w:val="18"/>
                <w:szCs w:val="18"/>
              </w:rPr>
              <w:t xml:space="preserve">Not available</w:t>
            </w:r>
          </w:p>
        </w:tc>
        <w:tc>
          <w:tcPr>
            <w:tcW w:type="dxa" w:w="2200"/>
            <w:tcBorders>
              <w:top w:val="single" w:color="D1D5DB" w:sz="1"/>
              <w:left w:val="single" w:color="D1D5DB" w:sz="1"/>
              <w:bottom w:val="single" w:color="D1D5DB" w:sz="1"/>
              <w:right w:val="single" w:color="D1D5DB" w:sz="1"/>
            </w:tcBorders>
            <w:shd w:fill="EFF6FF" w:val="clear"/>
            <w:tcMar>
              <w:top w:type="dxa" w:w="80"/>
              <w:left w:type="dxa" w:w="120"/>
              <w:bottom w:type="dxa" w:w="80"/>
              <w:right w:type="dxa" w:w="120"/>
            </w:tcMar>
          </w:tcPr>
          <w:p>
            <w:r>
              <w:rPr>
                <w:rFonts w:ascii="Arial" w:cs="Arial" w:eastAsia="Arial" w:hAnsi="Arial"/>
                <w:b w:val="false"/>
                <w:bCs w:val="false"/>
                <w:color w:val="111827"/>
                <w:sz w:val="18"/>
                <w:szCs w:val="18"/>
              </w:rPr>
              <w:t xml:space="preserve">Not available</w:t>
            </w:r>
          </w:p>
        </w:tc>
        <w:tc>
          <w:tcPr>
            <w:tcW w:type="dxa" w:w="2360"/>
            <w:tcBorders>
              <w:top w:val="single" w:color="D1D5DB" w:sz="1"/>
              <w:left w:val="single" w:color="D1D5DB" w:sz="1"/>
              <w:bottom w:val="single" w:color="D1D5DB" w:sz="1"/>
              <w:right w:val="single" w:color="D1D5DB" w:sz="1"/>
            </w:tcBorders>
            <w:shd w:fill="EFF6FF" w:val="clear"/>
            <w:tcMar>
              <w:top w:type="dxa" w:w="80"/>
              <w:left w:type="dxa" w:w="120"/>
              <w:bottom w:type="dxa" w:w="80"/>
              <w:right w:type="dxa" w:w="120"/>
            </w:tcMar>
          </w:tcPr>
          <w:p>
            <w:r>
              <w:rPr>
                <w:rFonts w:ascii="Arial" w:cs="Arial" w:eastAsia="Arial" w:hAnsi="Arial"/>
                <w:b w:val="false"/>
                <w:bCs w:val="false"/>
                <w:color w:val="111827"/>
                <w:sz w:val="18"/>
                <w:szCs w:val="18"/>
              </w:rPr>
              <w:t xml:space="preserve">Included</w:t>
            </w:r>
          </w:p>
        </w:tc>
      </w:tr>
      <w:tr>
        <w:tc>
          <w:tcPr>
            <w:tcW w:type="dxa" w:w="2600"/>
            <w:tcBorders>
              <w:top w:val="single" w:color="D1D5DB" w:sz="1"/>
              <w:left w:val="single" w:color="D1D5DB" w:sz="1"/>
              <w:bottom w:val="single" w:color="D1D5DB" w:sz="1"/>
              <w:right w:val="single" w:color="D1D5DB" w:sz="1"/>
            </w:tcBorders>
            <w:tcMar>
              <w:top w:type="dxa" w:w="80"/>
              <w:left w:type="dxa" w:w="120"/>
              <w:bottom w:type="dxa" w:w="80"/>
              <w:right w:type="dxa" w:w="120"/>
            </w:tcMar>
          </w:tcPr>
          <w:p>
            <w:r>
              <w:rPr>
                <w:rFonts w:ascii="Arial" w:cs="Arial" w:eastAsia="Arial" w:hAnsi="Arial"/>
                <w:b w:val="false"/>
                <w:bCs w:val="false"/>
                <w:color w:val="111827"/>
                <w:sz w:val="18"/>
                <w:szCs w:val="18"/>
              </w:rPr>
              <w:t xml:space="preserve">SOC 2 report access</w:t>
            </w:r>
          </w:p>
        </w:tc>
        <w:tc>
          <w:tcPr>
            <w:tcW w:type="dxa" w:w="2200"/>
            <w:tcBorders>
              <w:top w:val="single" w:color="D1D5DB" w:sz="1"/>
              <w:left w:val="single" w:color="D1D5DB" w:sz="1"/>
              <w:bottom w:val="single" w:color="D1D5DB" w:sz="1"/>
              <w:right w:val="single" w:color="D1D5DB" w:sz="1"/>
            </w:tcBorders>
            <w:tcMar>
              <w:top w:type="dxa" w:w="80"/>
              <w:left w:type="dxa" w:w="120"/>
              <w:bottom w:type="dxa" w:w="80"/>
              <w:right w:type="dxa" w:w="120"/>
            </w:tcMar>
          </w:tcPr>
          <w:p>
            <w:r>
              <w:rPr>
                <w:rFonts w:ascii="Arial" w:cs="Arial" w:eastAsia="Arial" w:hAnsi="Arial"/>
                <w:b w:val="false"/>
                <w:bCs w:val="false"/>
                <w:color w:val="111827"/>
                <w:sz w:val="18"/>
                <w:szCs w:val="18"/>
              </w:rPr>
              <w:t xml:space="preserve">Not available</w:t>
            </w:r>
          </w:p>
        </w:tc>
        <w:tc>
          <w:tcPr>
            <w:tcW w:type="dxa" w:w="2200"/>
            <w:tcBorders>
              <w:top w:val="single" w:color="D1D5DB" w:sz="1"/>
              <w:left w:val="single" w:color="D1D5DB" w:sz="1"/>
              <w:bottom w:val="single" w:color="D1D5DB" w:sz="1"/>
              <w:right w:val="single" w:color="D1D5DB" w:sz="1"/>
            </w:tcBorders>
            <w:tcMar>
              <w:top w:type="dxa" w:w="80"/>
              <w:left w:type="dxa" w:w="120"/>
              <w:bottom w:type="dxa" w:w="80"/>
              <w:right w:type="dxa" w:w="120"/>
            </w:tcMar>
          </w:tcPr>
          <w:p>
            <w:r>
              <w:rPr>
                <w:rFonts w:ascii="Arial" w:cs="Arial" w:eastAsia="Arial" w:hAnsi="Arial"/>
                <w:b w:val="false"/>
                <w:bCs w:val="false"/>
                <w:color w:val="111827"/>
                <w:sz w:val="18"/>
                <w:szCs w:val="18"/>
              </w:rPr>
              <w:t xml:space="preserve">Available under NDA</w:t>
            </w:r>
          </w:p>
        </w:tc>
        <w:tc>
          <w:tcPr>
            <w:tcW w:type="dxa" w:w="2360"/>
            <w:tcBorders>
              <w:top w:val="single" w:color="D1D5DB" w:sz="1"/>
              <w:left w:val="single" w:color="D1D5DB" w:sz="1"/>
              <w:bottom w:val="single" w:color="D1D5DB" w:sz="1"/>
              <w:right w:val="single" w:color="D1D5DB" w:sz="1"/>
            </w:tcBorders>
            <w:tcMar>
              <w:top w:type="dxa" w:w="80"/>
              <w:left w:type="dxa" w:w="120"/>
              <w:bottom w:type="dxa" w:w="80"/>
              <w:right w:type="dxa" w:w="120"/>
            </w:tcMar>
          </w:tcPr>
          <w:p>
            <w:r>
              <w:rPr>
                <w:rFonts w:ascii="Arial" w:cs="Arial" w:eastAsia="Arial" w:hAnsi="Arial"/>
                <w:b w:val="false"/>
                <w:bCs w:val="false"/>
                <w:color w:val="111827"/>
                <w:sz w:val="18"/>
                <w:szCs w:val="18"/>
              </w:rPr>
              <w:t xml:space="preserve">Included</w:t>
            </w:r>
          </w:p>
        </w:tc>
      </w:tr>
      <w:tr>
        <w:tc>
          <w:tcPr>
            <w:tcW w:type="dxa" w:w="2600"/>
            <w:tcBorders>
              <w:top w:val="single" w:color="D1D5DB" w:sz="1"/>
              <w:left w:val="single" w:color="D1D5DB" w:sz="1"/>
              <w:bottom w:val="single" w:color="D1D5DB" w:sz="1"/>
              <w:right w:val="single" w:color="D1D5DB" w:sz="1"/>
            </w:tcBorders>
            <w:shd w:fill="EFF6FF" w:val="clear"/>
            <w:tcMar>
              <w:top w:type="dxa" w:w="80"/>
              <w:left w:type="dxa" w:w="120"/>
              <w:bottom w:type="dxa" w:w="80"/>
              <w:right w:type="dxa" w:w="120"/>
            </w:tcMar>
          </w:tcPr>
          <w:p>
            <w:r>
              <w:rPr>
                <w:rFonts w:ascii="Arial" w:cs="Arial" w:eastAsia="Arial" w:hAnsi="Arial"/>
                <w:b w:val="false"/>
                <w:bCs w:val="false"/>
                <w:color w:val="111827"/>
                <w:sz w:val="18"/>
                <w:szCs w:val="18"/>
              </w:rPr>
              <w:t xml:space="preserve">Custom transformation templates</w:t>
            </w:r>
          </w:p>
        </w:tc>
        <w:tc>
          <w:tcPr>
            <w:tcW w:type="dxa" w:w="2200"/>
            <w:tcBorders>
              <w:top w:val="single" w:color="D1D5DB" w:sz="1"/>
              <w:left w:val="single" w:color="D1D5DB" w:sz="1"/>
              <w:bottom w:val="single" w:color="D1D5DB" w:sz="1"/>
              <w:right w:val="single" w:color="D1D5DB" w:sz="1"/>
            </w:tcBorders>
            <w:shd w:fill="EFF6FF" w:val="clear"/>
            <w:tcMar>
              <w:top w:type="dxa" w:w="80"/>
              <w:left w:type="dxa" w:w="120"/>
              <w:bottom w:type="dxa" w:w="80"/>
              <w:right w:type="dxa" w:w="120"/>
            </w:tcMar>
          </w:tcPr>
          <w:p>
            <w:r>
              <w:rPr>
                <w:rFonts w:ascii="Arial" w:cs="Arial" w:eastAsia="Arial" w:hAnsi="Arial"/>
                <w:b w:val="false"/>
                <w:bCs w:val="false"/>
                <w:color w:val="111827"/>
                <w:sz w:val="18"/>
                <w:szCs w:val="18"/>
              </w:rPr>
              <w:t xml:space="preserve">Standard templates</w:t>
            </w:r>
          </w:p>
        </w:tc>
        <w:tc>
          <w:tcPr>
            <w:tcW w:type="dxa" w:w="2200"/>
            <w:tcBorders>
              <w:top w:val="single" w:color="D1D5DB" w:sz="1"/>
              <w:left w:val="single" w:color="D1D5DB" w:sz="1"/>
              <w:bottom w:val="single" w:color="D1D5DB" w:sz="1"/>
              <w:right w:val="single" w:color="D1D5DB" w:sz="1"/>
            </w:tcBorders>
            <w:shd w:fill="EFF6FF" w:val="clear"/>
            <w:tcMar>
              <w:top w:type="dxa" w:w="80"/>
              <w:left w:type="dxa" w:w="120"/>
              <w:bottom w:type="dxa" w:w="80"/>
              <w:right w:type="dxa" w:w="120"/>
            </w:tcMar>
          </w:tcPr>
          <w:p>
            <w:r>
              <w:rPr>
                <w:rFonts w:ascii="Arial" w:cs="Arial" w:eastAsia="Arial" w:hAnsi="Arial"/>
                <w:b w:val="false"/>
                <w:bCs w:val="false"/>
                <w:color w:val="111827"/>
                <w:sz w:val="18"/>
                <w:szCs w:val="18"/>
              </w:rPr>
              <w:t xml:space="preserve">Standard templates</w:t>
            </w:r>
          </w:p>
        </w:tc>
        <w:tc>
          <w:tcPr>
            <w:tcW w:type="dxa" w:w="2360"/>
            <w:tcBorders>
              <w:top w:val="single" w:color="D1D5DB" w:sz="1"/>
              <w:left w:val="single" w:color="D1D5DB" w:sz="1"/>
              <w:bottom w:val="single" w:color="D1D5DB" w:sz="1"/>
              <w:right w:val="single" w:color="D1D5DB" w:sz="1"/>
            </w:tcBorders>
            <w:shd w:fill="EFF6FF" w:val="clear"/>
            <w:tcMar>
              <w:top w:type="dxa" w:w="80"/>
              <w:left w:type="dxa" w:w="120"/>
              <w:bottom w:type="dxa" w:w="80"/>
              <w:right w:type="dxa" w:w="120"/>
            </w:tcMar>
          </w:tcPr>
          <w:p>
            <w:r>
              <w:rPr>
                <w:rFonts w:ascii="Arial" w:cs="Arial" w:eastAsia="Arial" w:hAnsi="Arial"/>
                <w:b w:val="false"/>
                <w:bCs w:val="false"/>
                <w:color w:val="111827"/>
                <w:sz w:val="18"/>
                <w:szCs w:val="18"/>
              </w:rPr>
              <w:t xml:space="preserve">Custom templates + consulting</w:t>
            </w:r>
          </w:p>
        </w:tc>
      </w:tr>
      <w:tr>
        <w:tc>
          <w:tcPr>
            <w:tcW w:type="dxa" w:w="2600"/>
            <w:tcBorders>
              <w:top w:val="single" w:color="D1D5DB" w:sz="1"/>
              <w:left w:val="single" w:color="D1D5DB" w:sz="1"/>
              <w:bottom w:val="single" w:color="D1D5DB" w:sz="1"/>
              <w:right w:val="single" w:color="D1D5DB" w:sz="1"/>
            </w:tcBorders>
            <w:tcMar>
              <w:top w:type="dxa" w:w="80"/>
              <w:left w:type="dxa" w:w="120"/>
              <w:bottom w:type="dxa" w:w="80"/>
              <w:right w:type="dxa" w:w="120"/>
            </w:tcMar>
          </w:tcPr>
          <w:p>
            <w:r>
              <w:rPr>
                <w:rFonts w:ascii="Arial" w:cs="Arial" w:eastAsia="Arial" w:hAnsi="Arial"/>
                <w:b w:val="false"/>
                <w:bCs w:val="false"/>
                <w:color w:val="111827"/>
                <w:sz w:val="18"/>
                <w:szCs w:val="18"/>
              </w:rPr>
              <w:t xml:space="preserve">Data retention</w:t>
            </w:r>
          </w:p>
        </w:tc>
        <w:tc>
          <w:tcPr>
            <w:tcW w:type="dxa" w:w="2200"/>
            <w:tcBorders>
              <w:top w:val="single" w:color="D1D5DB" w:sz="1"/>
              <w:left w:val="single" w:color="D1D5DB" w:sz="1"/>
              <w:bottom w:val="single" w:color="D1D5DB" w:sz="1"/>
              <w:right w:val="single" w:color="D1D5DB" w:sz="1"/>
            </w:tcBorders>
            <w:tcMar>
              <w:top w:type="dxa" w:w="80"/>
              <w:left w:type="dxa" w:w="120"/>
              <w:bottom w:type="dxa" w:w="80"/>
              <w:right w:type="dxa" w:w="120"/>
            </w:tcMar>
          </w:tcPr>
          <w:p>
            <w:r>
              <w:rPr>
                <w:rFonts w:ascii="Arial" w:cs="Arial" w:eastAsia="Arial" w:hAnsi="Arial"/>
                <w:b w:val="false"/>
                <w:bCs w:val="false"/>
                <w:color w:val="111827"/>
                <w:sz w:val="18"/>
                <w:szCs w:val="18"/>
              </w:rPr>
              <w:t xml:space="preserve">Standard (per policy)</w:t>
            </w:r>
          </w:p>
        </w:tc>
        <w:tc>
          <w:tcPr>
            <w:tcW w:type="dxa" w:w="2200"/>
            <w:tcBorders>
              <w:top w:val="single" w:color="D1D5DB" w:sz="1"/>
              <w:left w:val="single" w:color="D1D5DB" w:sz="1"/>
              <w:bottom w:val="single" w:color="D1D5DB" w:sz="1"/>
              <w:right w:val="single" w:color="D1D5DB" w:sz="1"/>
            </w:tcBorders>
            <w:tcMar>
              <w:top w:type="dxa" w:w="80"/>
              <w:left w:type="dxa" w:w="120"/>
              <w:bottom w:type="dxa" w:w="80"/>
              <w:right w:type="dxa" w:w="120"/>
            </w:tcMar>
          </w:tcPr>
          <w:p>
            <w:r>
              <w:rPr>
                <w:rFonts w:ascii="Arial" w:cs="Arial" w:eastAsia="Arial" w:hAnsi="Arial"/>
                <w:b w:val="false"/>
                <w:bCs w:val="false"/>
                <w:color w:val="111827"/>
                <w:sz w:val="18"/>
                <w:szCs w:val="18"/>
              </w:rPr>
              <w:t xml:space="preserve">Standard (per policy)</w:t>
            </w:r>
          </w:p>
        </w:tc>
        <w:tc>
          <w:tcPr>
            <w:tcW w:type="dxa" w:w="2360"/>
            <w:tcBorders>
              <w:top w:val="single" w:color="D1D5DB" w:sz="1"/>
              <w:left w:val="single" w:color="D1D5DB" w:sz="1"/>
              <w:bottom w:val="single" w:color="D1D5DB" w:sz="1"/>
              <w:right w:val="single" w:color="D1D5DB" w:sz="1"/>
            </w:tcBorders>
            <w:tcMar>
              <w:top w:type="dxa" w:w="80"/>
              <w:left w:type="dxa" w:w="120"/>
              <w:bottom w:type="dxa" w:w="80"/>
              <w:right w:type="dxa" w:w="120"/>
            </w:tcMar>
          </w:tcPr>
          <w:p>
            <w:r>
              <w:rPr>
                <w:rFonts w:ascii="Arial" w:cs="Arial" w:eastAsia="Arial" w:hAnsi="Arial"/>
                <w:b w:val="false"/>
                <w:bCs w:val="false"/>
                <w:color w:val="111827"/>
                <w:sz w:val="18"/>
                <w:szCs w:val="18"/>
              </w:rPr>
              <w:t xml:space="preserve">Custom retention terms</w:t>
            </w:r>
          </w:p>
        </w:tc>
      </w:tr>
      <w:tr>
        <w:tc>
          <w:tcPr>
            <w:tcW w:type="dxa" w:w="2600"/>
            <w:tcBorders>
              <w:top w:val="single" w:color="D1D5DB" w:sz="1"/>
              <w:left w:val="single" w:color="D1D5DB" w:sz="1"/>
              <w:bottom w:val="single" w:color="D1D5DB" w:sz="1"/>
              <w:right w:val="single" w:color="D1D5DB" w:sz="1"/>
            </w:tcBorders>
            <w:shd w:fill="EFF6FF" w:val="clear"/>
            <w:tcMar>
              <w:top w:type="dxa" w:w="80"/>
              <w:left w:type="dxa" w:w="120"/>
              <w:bottom w:type="dxa" w:w="80"/>
              <w:right w:type="dxa" w:w="120"/>
            </w:tcMar>
          </w:tcPr>
          <w:p>
            <w:r>
              <w:rPr>
                <w:rFonts w:ascii="Arial" w:cs="Arial" w:eastAsia="Arial" w:hAnsi="Arial"/>
                <w:b w:val="false"/>
                <w:bCs w:val="false"/>
                <w:color w:val="111827"/>
                <w:sz w:val="18"/>
                <w:szCs w:val="18"/>
              </w:rPr>
              <w:t xml:space="preserve">Billing method</w:t>
            </w:r>
          </w:p>
        </w:tc>
        <w:tc>
          <w:tcPr>
            <w:tcW w:type="dxa" w:w="2200"/>
            <w:tcBorders>
              <w:top w:val="single" w:color="D1D5DB" w:sz="1"/>
              <w:left w:val="single" w:color="D1D5DB" w:sz="1"/>
              <w:bottom w:val="single" w:color="D1D5DB" w:sz="1"/>
              <w:right w:val="single" w:color="D1D5DB" w:sz="1"/>
            </w:tcBorders>
            <w:shd w:fill="EFF6FF" w:val="clear"/>
            <w:tcMar>
              <w:top w:type="dxa" w:w="80"/>
              <w:left w:type="dxa" w:w="120"/>
              <w:bottom w:type="dxa" w:w="80"/>
              <w:right w:type="dxa" w:w="120"/>
            </w:tcMar>
          </w:tcPr>
          <w:p>
            <w:r>
              <w:rPr>
                <w:rFonts w:ascii="Arial" w:cs="Arial" w:eastAsia="Arial" w:hAnsi="Arial"/>
                <w:b w:val="false"/>
                <w:bCs w:val="false"/>
                <w:color w:val="111827"/>
                <w:sz w:val="18"/>
                <w:szCs w:val="18"/>
              </w:rPr>
              <w:t xml:space="preserve">Credit card</w:t>
            </w:r>
          </w:p>
        </w:tc>
        <w:tc>
          <w:tcPr>
            <w:tcW w:type="dxa" w:w="2200"/>
            <w:tcBorders>
              <w:top w:val="single" w:color="D1D5DB" w:sz="1"/>
              <w:left w:val="single" w:color="D1D5DB" w:sz="1"/>
              <w:bottom w:val="single" w:color="D1D5DB" w:sz="1"/>
              <w:right w:val="single" w:color="D1D5DB" w:sz="1"/>
            </w:tcBorders>
            <w:shd w:fill="EFF6FF" w:val="clear"/>
            <w:tcMar>
              <w:top w:type="dxa" w:w="80"/>
              <w:left w:type="dxa" w:w="120"/>
              <w:bottom w:type="dxa" w:w="80"/>
              <w:right w:type="dxa" w:w="120"/>
            </w:tcMar>
          </w:tcPr>
          <w:p>
            <w:r>
              <w:rPr>
                <w:rFonts w:ascii="Arial" w:cs="Arial" w:eastAsia="Arial" w:hAnsi="Arial"/>
                <w:b w:val="false"/>
                <w:bCs w:val="false"/>
                <w:color w:val="111827"/>
                <w:sz w:val="18"/>
                <w:szCs w:val="18"/>
              </w:rPr>
              <w:t xml:space="preserve">Credit card</w:t>
            </w:r>
          </w:p>
        </w:tc>
        <w:tc>
          <w:tcPr>
            <w:tcW w:type="dxa" w:w="2360"/>
            <w:tcBorders>
              <w:top w:val="single" w:color="D1D5DB" w:sz="1"/>
              <w:left w:val="single" w:color="D1D5DB" w:sz="1"/>
              <w:bottom w:val="single" w:color="D1D5DB" w:sz="1"/>
              <w:right w:val="single" w:color="D1D5DB" w:sz="1"/>
            </w:tcBorders>
            <w:shd w:fill="EFF6FF" w:val="clear"/>
            <w:tcMar>
              <w:top w:type="dxa" w:w="80"/>
              <w:left w:type="dxa" w:w="120"/>
              <w:bottom w:type="dxa" w:w="80"/>
              <w:right w:type="dxa" w:w="120"/>
            </w:tcMar>
          </w:tcPr>
          <w:p>
            <w:r>
              <w:rPr>
                <w:rFonts w:ascii="Arial" w:cs="Arial" w:eastAsia="Arial" w:hAnsi="Arial"/>
                <w:b w:val="false"/>
                <w:bCs w:val="false"/>
                <w:color w:val="111827"/>
                <w:sz w:val="18"/>
                <w:szCs w:val="18"/>
              </w:rPr>
              <w:t xml:space="preserve">Credit card or invoice</w:t>
            </w:r>
          </w:p>
        </w:tc>
      </w:tr>
    </w:tbl>
    <w:p>
      <w:pPr>
        <w:spacing w:after="80"/>
      </w:pPr>
    </w:p>
    <w:p>
      <w:pPr>
        <w:pStyle w:val="Heading2"/>
      </w:pPr>
      <w:r>
        <w:t xml:space="preserve">2.2 Billing Terms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6960"/>
      </w:tblGrid>
      <w:tr>
        <w:tc>
          <w:tcPr>
            <w:tcW w:type="dxa" w:w="2400"/>
            <w:tcBorders>
              <w:top w:val="single" w:color="D1D5DB" w:sz="1"/>
              <w:left w:val="single" w:color="D1D5DB" w:sz="1"/>
              <w:bottom w:val="single" w:color="D1D5DB" w:sz="1"/>
              <w:right w:val="single" w:color="D1D5DB" w:sz="1"/>
            </w:tcBorders>
            <w:shd w:fill="1E3A5F" w:val="clear"/>
            <w:tcMar>
              <w:top w:type="dxa" w:w="80"/>
              <w:left w:type="dxa" w:w="120"/>
              <w:bottom w:type="dxa" w:w="80"/>
              <w:right w:type="dxa" w:w="120"/>
            </w:tcMar>
          </w:tcPr>
          <w:p>
            <w:r>
              <w:rPr>
                <w:rFonts w:ascii="Arial" w:cs="Arial" w:eastAsia="Arial" w:hAnsi="Arial"/>
                <w:b/>
                <w:bCs/>
                <w:color w:val="FFFFFF"/>
                <w:sz w:val="17"/>
                <w:szCs w:val="17"/>
              </w:rPr>
              <w:t xml:space="preserve">Term</w:t>
            </w:r>
          </w:p>
        </w:tc>
        <w:tc>
          <w:tcPr>
            <w:tcW w:type="dxa" w:w="6960"/>
            <w:tcBorders>
              <w:top w:val="single" w:color="D1D5DB" w:sz="1"/>
              <w:left w:val="single" w:color="D1D5DB" w:sz="1"/>
              <w:bottom w:val="single" w:color="D1D5DB" w:sz="1"/>
              <w:right w:val="single" w:color="D1D5DB" w:sz="1"/>
            </w:tcBorders>
            <w:shd w:fill="1E3A5F" w:val="clear"/>
            <w:tcMar>
              <w:top w:type="dxa" w:w="80"/>
              <w:left w:type="dxa" w:w="120"/>
              <w:bottom w:type="dxa" w:w="80"/>
              <w:right w:type="dxa" w:w="120"/>
            </w:tcMar>
          </w:tcPr>
          <w:p>
            <w:r>
              <w:rPr>
                <w:rFonts w:ascii="Arial" w:cs="Arial" w:eastAsia="Arial" w:hAnsi="Arial"/>
                <w:b/>
                <w:bCs/>
                <w:color w:val="FFFFFF"/>
                <w:sz w:val="17"/>
                <w:szCs w:val="17"/>
              </w:rPr>
              <w:t xml:space="preserve">Detail</w:t>
            </w:r>
          </w:p>
        </w:tc>
      </w:tr>
      <w:tr>
        <w:tc>
          <w:tcPr>
            <w:tcW w:type="dxa" w:w="2400"/>
            <w:tcBorders>
              <w:top w:val="single" w:color="D1D5DB" w:sz="1"/>
              <w:left w:val="single" w:color="D1D5DB" w:sz="1"/>
              <w:bottom w:val="single" w:color="D1D5DB" w:sz="1"/>
              <w:right w:val="single" w:color="D1D5DB" w:sz="1"/>
            </w:tcBorders>
            <w:shd w:fill="EFF6FF" w:val="clear"/>
            <w:tcMar>
              <w:top w:type="dxa" w:w="80"/>
              <w:left w:type="dxa" w:w="120"/>
              <w:bottom w:type="dxa" w:w="80"/>
              <w:right w:type="dxa" w:w="120"/>
            </w:tcMar>
          </w:tcPr>
          <w:p>
            <w:r>
              <w:rPr>
                <w:rFonts w:ascii="Arial" w:cs="Arial" w:eastAsia="Arial" w:hAnsi="Arial"/>
                <w:b w:val="false"/>
                <w:bCs w:val="false"/>
                <w:color w:val="111827"/>
                <w:sz w:val="18"/>
                <w:szCs w:val="18"/>
              </w:rPr>
              <w:t xml:space="preserve">Commitment period</w:t>
            </w:r>
          </w:p>
        </w:tc>
        <w:tc>
          <w:tcPr>
            <w:tcW w:type="dxa" w:w="6960"/>
            <w:tcBorders>
              <w:top w:val="single" w:color="D1D5DB" w:sz="1"/>
              <w:left w:val="single" w:color="D1D5DB" w:sz="1"/>
              <w:bottom w:val="single" w:color="D1D5DB" w:sz="1"/>
              <w:right w:val="single" w:color="D1D5DB" w:sz="1"/>
            </w:tcBorders>
            <w:shd w:fill="EFF6FF" w:val="clear"/>
            <w:tcMar>
              <w:top w:type="dxa" w:w="80"/>
              <w:left w:type="dxa" w:w="120"/>
              <w:bottom w:type="dxa" w:w="80"/>
              <w:right w:type="dxa" w:w="120"/>
            </w:tcMar>
          </w:tcPr>
          <w:p>
            <w:r>
              <w:rPr>
                <w:rFonts w:ascii="Arial" w:cs="Arial" w:eastAsia="Arial" w:hAnsi="Arial"/>
                <w:b w:val="false"/>
                <w:bCs w:val="false"/>
                <w:color w:val="111827"/>
                <w:sz w:val="18"/>
                <w:szCs w:val="18"/>
              </w:rPr>
              <w:t xml:space="preserve">Monthly. No annual commitment required. Customers can cancel at the end of any billing cycle.</w:t>
            </w:r>
          </w:p>
        </w:tc>
      </w:tr>
      <w:tr>
        <w:tc>
          <w:tcPr>
            <w:tcW w:type="dxa" w:w="2400"/>
            <w:tcBorders>
              <w:top w:val="single" w:color="D1D5DB" w:sz="1"/>
              <w:left w:val="single" w:color="D1D5DB" w:sz="1"/>
              <w:bottom w:val="single" w:color="D1D5DB" w:sz="1"/>
              <w:right w:val="single" w:color="D1D5DB" w:sz="1"/>
            </w:tcBorders>
            <w:tcMar>
              <w:top w:type="dxa" w:w="80"/>
              <w:left w:type="dxa" w:w="120"/>
              <w:bottom w:type="dxa" w:w="80"/>
              <w:right w:type="dxa" w:w="120"/>
            </w:tcMar>
          </w:tcPr>
          <w:p>
            <w:r>
              <w:rPr>
                <w:rFonts w:ascii="Arial" w:cs="Arial" w:eastAsia="Arial" w:hAnsi="Arial"/>
                <w:b w:val="false"/>
                <w:bCs w:val="false"/>
                <w:color w:val="111827"/>
                <w:sz w:val="18"/>
                <w:szCs w:val="18"/>
              </w:rPr>
              <w:t xml:space="preserve">Payment methods</w:t>
            </w:r>
          </w:p>
        </w:tc>
        <w:tc>
          <w:tcPr>
            <w:tcW w:type="dxa" w:w="6960"/>
            <w:tcBorders>
              <w:top w:val="single" w:color="D1D5DB" w:sz="1"/>
              <w:left w:val="single" w:color="D1D5DB" w:sz="1"/>
              <w:bottom w:val="single" w:color="D1D5DB" w:sz="1"/>
              <w:right w:val="single" w:color="D1D5DB" w:sz="1"/>
            </w:tcBorders>
            <w:tcMar>
              <w:top w:type="dxa" w:w="80"/>
              <w:left w:type="dxa" w:w="120"/>
              <w:bottom w:type="dxa" w:w="80"/>
              <w:right w:type="dxa" w:w="120"/>
            </w:tcMar>
          </w:tcPr>
          <w:p>
            <w:r>
              <w:rPr>
                <w:rFonts w:ascii="Arial" w:cs="Arial" w:eastAsia="Arial" w:hAnsi="Arial"/>
                <w:b w:val="false"/>
                <w:bCs w:val="false"/>
                <w:color w:val="111827"/>
                <w:sz w:val="18"/>
                <w:szCs w:val="18"/>
              </w:rPr>
              <w:t xml:space="preserve">Premium and Pro: credit card via Chargebee-hosted checkout. Enterprise: credit card or NET-30 invoice.</w:t>
            </w:r>
          </w:p>
        </w:tc>
      </w:tr>
      <w:tr>
        <w:tc>
          <w:tcPr>
            <w:tcW w:type="dxa" w:w="2400"/>
            <w:tcBorders>
              <w:top w:val="single" w:color="D1D5DB" w:sz="1"/>
              <w:left w:val="single" w:color="D1D5DB" w:sz="1"/>
              <w:bottom w:val="single" w:color="D1D5DB" w:sz="1"/>
              <w:right w:val="single" w:color="D1D5DB" w:sz="1"/>
            </w:tcBorders>
            <w:shd w:fill="EFF6FF" w:val="clear"/>
            <w:tcMar>
              <w:top w:type="dxa" w:w="80"/>
              <w:left w:type="dxa" w:w="120"/>
              <w:bottom w:type="dxa" w:w="80"/>
              <w:right w:type="dxa" w:w="120"/>
            </w:tcMar>
          </w:tcPr>
          <w:p>
            <w:r>
              <w:rPr>
                <w:rFonts w:ascii="Arial" w:cs="Arial" w:eastAsia="Arial" w:hAnsi="Arial"/>
                <w:b w:val="false"/>
                <w:bCs w:val="false"/>
                <w:color w:val="111827"/>
                <w:sz w:val="18"/>
                <w:szCs w:val="18"/>
              </w:rPr>
              <w:t xml:space="preserve">Billing cycle</w:t>
            </w:r>
          </w:p>
        </w:tc>
        <w:tc>
          <w:tcPr>
            <w:tcW w:type="dxa" w:w="6960"/>
            <w:tcBorders>
              <w:top w:val="single" w:color="D1D5DB" w:sz="1"/>
              <w:left w:val="single" w:color="D1D5DB" w:sz="1"/>
              <w:bottom w:val="single" w:color="D1D5DB" w:sz="1"/>
              <w:right w:val="single" w:color="D1D5DB" w:sz="1"/>
            </w:tcBorders>
            <w:shd w:fill="EFF6FF" w:val="clear"/>
            <w:tcMar>
              <w:top w:type="dxa" w:w="80"/>
              <w:left w:type="dxa" w:w="120"/>
              <w:bottom w:type="dxa" w:w="80"/>
              <w:right w:type="dxa" w:w="120"/>
            </w:tcMar>
          </w:tcPr>
          <w:p>
            <w:r>
              <w:rPr>
                <w:rFonts w:ascii="Arial" w:cs="Arial" w:eastAsia="Arial" w:hAnsi="Arial"/>
                <w:b w:val="false"/>
                <w:bCs w:val="false"/>
                <w:color w:val="111827"/>
                <w:sz w:val="18"/>
                <w:szCs w:val="18"/>
              </w:rPr>
              <w:t xml:space="preserve">Subscription billed at the start of each month. Usage overages (FCU + FIQ) billed at the end of each month based on actual consumption.</w:t>
            </w:r>
          </w:p>
        </w:tc>
      </w:tr>
      <w:tr>
        <w:tc>
          <w:tcPr>
            <w:tcW w:type="dxa" w:w="2400"/>
            <w:tcBorders>
              <w:top w:val="single" w:color="D1D5DB" w:sz="1"/>
              <w:left w:val="single" w:color="D1D5DB" w:sz="1"/>
              <w:bottom w:val="single" w:color="D1D5DB" w:sz="1"/>
              <w:right w:val="single" w:color="D1D5DB" w:sz="1"/>
            </w:tcBorders>
            <w:tcMar>
              <w:top w:type="dxa" w:w="80"/>
              <w:left w:type="dxa" w:w="120"/>
              <w:bottom w:type="dxa" w:w="80"/>
              <w:right w:type="dxa" w:w="120"/>
            </w:tcMar>
          </w:tcPr>
          <w:p>
            <w:r>
              <w:rPr>
                <w:rFonts w:ascii="Arial" w:cs="Arial" w:eastAsia="Arial" w:hAnsi="Arial"/>
                <w:b w:val="false"/>
                <w:bCs w:val="false"/>
                <w:color w:val="111827"/>
                <w:sz w:val="18"/>
                <w:szCs w:val="18"/>
              </w:rPr>
              <w:t xml:space="preserve">Upgrades</w:t>
            </w:r>
          </w:p>
        </w:tc>
        <w:tc>
          <w:tcPr>
            <w:tcW w:type="dxa" w:w="6960"/>
            <w:tcBorders>
              <w:top w:val="single" w:color="D1D5DB" w:sz="1"/>
              <w:left w:val="single" w:color="D1D5DB" w:sz="1"/>
              <w:bottom w:val="single" w:color="D1D5DB" w:sz="1"/>
              <w:right w:val="single" w:color="D1D5DB" w:sz="1"/>
            </w:tcBorders>
            <w:tcMar>
              <w:top w:type="dxa" w:w="80"/>
              <w:left w:type="dxa" w:w="120"/>
              <w:bottom w:type="dxa" w:w="80"/>
              <w:right w:type="dxa" w:w="120"/>
            </w:tcMar>
          </w:tcPr>
          <w:p>
            <w:r>
              <w:rPr>
                <w:rFonts w:ascii="Arial" w:cs="Arial" w:eastAsia="Arial" w:hAnsi="Arial"/>
                <w:b w:val="false"/>
                <w:bCs w:val="false"/>
                <w:color w:val="111827"/>
                <w:sz w:val="18"/>
                <w:szCs w:val="18"/>
              </w:rPr>
              <w:t xml:space="preserve">Effective immediately. Prorated charge for the remainder of the current billing cycle. New plan’s base allocations apply immediately.</w:t>
            </w:r>
          </w:p>
        </w:tc>
      </w:tr>
      <w:tr>
        <w:tc>
          <w:tcPr>
            <w:tcW w:type="dxa" w:w="2400"/>
            <w:tcBorders>
              <w:top w:val="single" w:color="D1D5DB" w:sz="1"/>
              <w:left w:val="single" w:color="D1D5DB" w:sz="1"/>
              <w:bottom w:val="single" w:color="D1D5DB" w:sz="1"/>
              <w:right w:val="single" w:color="D1D5DB" w:sz="1"/>
            </w:tcBorders>
            <w:shd w:fill="EFF6FF" w:val="clear"/>
            <w:tcMar>
              <w:top w:type="dxa" w:w="80"/>
              <w:left w:type="dxa" w:w="120"/>
              <w:bottom w:type="dxa" w:w="80"/>
              <w:right w:type="dxa" w:w="120"/>
            </w:tcMar>
          </w:tcPr>
          <w:p>
            <w:r>
              <w:rPr>
                <w:rFonts w:ascii="Arial" w:cs="Arial" w:eastAsia="Arial" w:hAnsi="Arial"/>
                <w:b w:val="false"/>
                <w:bCs w:val="false"/>
                <w:color w:val="111827"/>
                <w:sz w:val="18"/>
                <w:szCs w:val="18"/>
              </w:rPr>
              <w:t xml:space="preserve">Downgrades</w:t>
            </w:r>
          </w:p>
        </w:tc>
        <w:tc>
          <w:tcPr>
            <w:tcW w:type="dxa" w:w="6960"/>
            <w:tcBorders>
              <w:top w:val="single" w:color="D1D5DB" w:sz="1"/>
              <w:left w:val="single" w:color="D1D5DB" w:sz="1"/>
              <w:bottom w:val="single" w:color="D1D5DB" w:sz="1"/>
              <w:right w:val="single" w:color="D1D5DB" w:sz="1"/>
            </w:tcBorders>
            <w:shd w:fill="EFF6FF" w:val="clear"/>
            <w:tcMar>
              <w:top w:type="dxa" w:w="80"/>
              <w:left w:type="dxa" w:w="120"/>
              <w:bottom w:type="dxa" w:w="80"/>
              <w:right w:type="dxa" w:w="120"/>
            </w:tcMar>
          </w:tcPr>
          <w:p>
            <w:r>
              <w:rPr>
                <w:rFonts w:ascii="Arial" w:cs="Arial" w:eastAsia="Arial" w:hAnsi="Arial"/>
                <w:b w:val="false"/>
                <w:bCs w:val="false"/>
                <w:color w:val="111827"/>
                <w:sz w:val="18"/>
                <w:szCs w:val="18"/>
              </w:rPr>
              <w:t xml:space="preserve">Effective at the start of the next billing cycle. No partial refund for the current cycle. If current usage exceeds the lower plan’s allocation, overage rates apply from the downgrade date.</w:t>
            </w:r>
          </w:p>
        </w:tc>
      </w:tr>
      <w:tr>
        <w:tc>
          <w:tcPr>
            <w:tcW w:type="dxa" w:w="2400"/>
            <w:tcBorders>
              <w:top w:val="single" w:color="D1D5DB" w:sz="1"/>
              <w:left w:val="single" w:color="D1D5DB" w:sz="1"/>
              <w:bottom w:val="single" w:color="D1D5DB" w:sz="1"/>
              <w:right w:val="single" w:color="D1D5DB" w:sz="1"/>
            </w:tcBorders>
            <w:tcMar>
              <w:top w:type="dxa" w:w="80"/>
              <w:left w:type="dxa" w:w="120"/>
              <w:bottom w:type="dxa" w:w="80"/>
              <w:right w:type="dxa" w:w="120"/>
            </w:tcMar>
          </w:tcPr>
          <w:p>
            <w:r>
              <w:rPr>
                <w:rFonts w:ascii="Arial" w:cs="Arial" w:eastAsia="Arial" w:hAnsi="Arial"/>
                <w:b w:val="false"/>
                <w:bCs w:val="false"/>
                <w:color w:val="111827"/>
                <w:sz w:val="18"/>
                <w:szCs w:val="18"/>
              </w:rPr>
              <w:t xml:space="preserve">Cancellation</w:t>
            </w:r>
          </w:p>
        </w:tc>
        <w:tc>
          <w:tcPr>
            <w:tcW w:type="dxa" w:w="6960"/>
            <w:tcBorders>
              <w:top w:val="single" w:color="D1D5DB" w:sz="1"/>
              <w:left w:val="single" w:color="D1D5DB" w:sz="1"/>
              <w:bottom w:val="single" w:color="D1D5DB" w:sz="1"/>
              <w:right w:val="single" w:color="D1D5DB" w:sz="1"/>
            </w:tcBorders>
            <w:tcMar>
              <w:top w:type="dxa" w:w="80"/>
              <w:left w:type="dxa" w:w="120"/>
              <w:bottom w:type="dxa" w:w="80"/>
              <w:right w:type="dxa" w:w="120"/>
            </w:tcMar>
          </w:tcPr>
          <w:p>
            <w:r>
              <w:rPr>
                <w:rFonts w:ascii="Arial" w:cs="Arial" w:eastAsia="Arial" w:hAnsi="Arial"/>
                <w:b w:val="false"/>
                <w:bCs w:val="false"/>
                <w:color w:val="111827"/>
                <w:sz w:val="18"/>
                <w:szCs w:val="18"/>
              </w:rPr>
              <w:t xml:space="preserve">Effective at end of current billing cycle. Data retained for 90 days post-cancellation (accessible read-only). After 90 days, data deleted per retention policy.</w:t>
            </w:r>
          </w:p>
        </w:tc>
      </w:tr>
      <w:tr>
        <w:tc>
          <w:tcPr>
            <w:tcW w:type="dxa" w:w="2400"/>
            <w:tcBorders>
              <w:top w:val="single" w:color="D1D5DB" w:sz="1"/>
              <w:left w:val="single" w:color="D1D5DB" w:sz="1"/>
              <w:bottom w:val="single" w:color="D1D5DB" w:sz="1"/>
              <w:right w:val="single" w:color="D1D5DB" w:sz="1"/>
            </w:tcBorders>
            <w:shd w:fill="EFF6FF" w:val="clear"/>
            <w:tcMar>
              <w:top w:type="dxa" w:w="80"/>
              <w:left w:type="dxa" w:w="120"/>
              <w:bottom w:type="dxa" w:w="80"/>
              <w:right w:type="dxa" w:w="120"/>
            </w:tcMar>
          </w:tcPr>
          <w:p>
            <w:r>
              <w:rPr>
                <w:rFonts w:ascii="Arial" w:cs="Arial" w:eastAsia="Arial" w:hAnsi="Arial"/>
                <w:b w:val="false"/>
                <w:bCs w:val="false"/>
                <w:color w:val="111827"/>
                <w:sz w:val="18"/>
                <w:szCs w:val="18"/>
              </w:rPr>
              <w:t xml:space="preserve">Refund policy</w:t>
            </w:r>
          </w:p>
        </w:tc>
        <w:tc>
          <w:tcPr>
            <w:tcW w:type="dxa" w:w="6960"/>
            <w:tcBorders>
              <w:top w:val="single" w:color="D1D5DB" w:sz="1"/>
              <w:left w:val="single" w:color="D1D5DB" w:sz="1"/>
              <w:bottom w:val="single" w:color="D1D5DB" w:sz="1"/>
              <w:right w:val="single" w:color="D1D5DB" w:sz="1"/>
            </w:tcBorders>
            <w:shd w:fill="EFF6FF" w:val="clear"/>
            <w:tcMar>
              <w:top w:type="dxa" w:w="80"/>
              <w:left w:type="dxa" w:w="120"/>
              <w:bottom w:type="dxa" w:w="80"/>
              <w:right w:type="dxa" w:w="120"/>
            </w:tcMar>
          </w:tcPr>
          <w:p>
            <w:r>
              <w:rPr>
                <w:rFonts w:ascii="Arial" w:cs="Arial" w:eastAsia="Arial" w:hAnsi="Arial"/>
                <w:b w:val="false"/>
                <w:bCs w:val="false"/>
                <w:color w:val="111827"/>
                <w:sz w:val="18"/>
                <w:szCs w:val="18"/>
              </w:rPr>
              <w:t xml:space="preserve">No refunds. Usage charges are non-refundable. Subscription charges are non-refundable for the current billing cycle.</w:t>
            </w:r>
          </w:p>
        </w:tc>
      </w:tr>
      <w:tr>
        <w:tc>
          <w:tcPr>
            <w:tcW w:type="dxa" w:w="2400"/>
            <w:tcBorders>
              <w:top w:val="single" w:color="D1D5DB" w:sz="1"/>
              <w:left w:val="single" w:color="D1D5DB" w:sz="1"/>
              <w:bottom w:val="single" w:color="D1D5DB" w:sz="1"/>
              <w:right w:val="single" w:color="D1D5DB" w:sz="1"/>
            </w:tcBorders>
            <w:tcMar>
              <w:top w:type="dxa" w:w="80"/>
              <w:left w:type="dxa" w:w="120"/>
              <w:bottom w:type="dxa" w:w="80"/>
              <w:right w:type="dxa" w:w="120"/>
            </w:tcMar>
          </w:tcPr>
          <w:p>
            <w:r>
              <w:rPr>
                <w:rFonts w:ascii="Arial" w:cs="Arial" w:eastAsia="Arial" w:hAnsi="Arial"/>
                <w:b w:val="false"/>
                <w:bCs w:val="false"/>
                <w:color w:val="111827"/>
                <w:sz w:val="18"/>
                <w:szCs w:val="18"/>
              </w:rPr>
              <w:t xml:space="preserve">Taxes</w:t>
            </w:r>
          </w:p>
        </w:tc>
        <w:tc>
          <w:tcPr>
            <w:tcW w:type="dxa" w:w="6960"/>
            <w:tcBorders>
              <w:top w:val="single" w:color="D1D5DB" w:sz="1"/>
              <w:left w:val="single" w:color="D1D5DB" w:sz="1"/>
              <w:bottom w:val="single" w:color="D1D5DB" w:sz="1"/>
              <w:right w:val="single" w:color="D1D5DB" w:sz="1"/>
            </w:tcBorders>
            <w:tcMar>
              <w:top w:type="dxa" w:w="80"/>
              <w:left w:type="dxa" w:w="120"/>
              <w:bottom w:type="dxa" w:w="80"/>
              <w:right w:type="dxa" w:w="120"/>
            </w:tcMar>
          </w:tcPr>
          <w:p>
            <w:r>
              <w:rPr>
                <w:rFonts w:ascii="Arial" w:cs="Arial" w:eastAsia="Arial" w:hAnsi="Arial"/>
                <w:b w:val="false"/>
                <w:bCs w:val="false"/>
                <w:color w:val="111827"/>
                <w:sz w:val="18"/>
                <w:szCs w:val="18"/>
              </w:rPr>
              <w:t xml:space="preserve">All prices are exclusive of applicable taxes. Sales tax, VAT, or GST added based on customer’s billing jurisdiction via Chargebee tax integration.</w:t>
            </w:r>
          </w:p>
        </w:tc>
      </w:tr>
      <w:tr>
        <w:tc>
          <w:tcPr>
            <w:tcW w:type="dxa" w:w="2400"/>
            <w:tcBorders>
              <w:top w:val="single" w:color="D1D5DB" w:sz="1"/>
              <w:left w:val="single" w:color="D1D5DB" w:sz="1"/>
              <w:bottom w:val="single" w:color="D1D5DB" w:sz="1"/>
              <w:right w:val="single" w:color="D1D5DB" w:sz="1"/>
            </w:tcBorders>
            <w:shd w:fill="EFF6FF" w:val="clear"/>
            <w:tcMar>
              <w:top w:type="dxa" w:w="80"/>
              <w:left w:type="dxa" w:w="120"/>
              <w:bottom w:type="dxa" w:w="80"/>
              <w:right w:type="dxa" w:w="120"/>
            </w:tcMar>
          </w:tcPr>
          <w:p>
            <w:r>
              <w:rPr>
                <w:rFonts w:ascii="Arial" w:cs="Arial" w:eastAsia="Arial" w:hAnsi="Arial"/>
                <w:b w:val="false"/>
                <w:bCs w:val="false"/>
                <w:color w:val="111827"/>
                <w:sz w:val="18"/>
                <w:szCs w:val="18"/>
              </w:rPr>
              <w:t xml:space="preserve">Governing law</w:t>
            </w:r>
          </w:p>
        </w:tc>
        <w:tc>
          <w:tcPr>
            <w:tcW w:type="dxa" w:w="6960"/>
            <w:tcBorders>
              <w:top w:val="single" w:color="D1D5DB" w:sz="1"/>
              <w:left w:val="single" w:color="D1D5DB" w:sz="1"/>
              <w:bottom w:val="single" w:color="D1D5DB" w:sz="1"/>
              <w:right w:val="single" w:color="D1D5DB" w:sz="1"/>
            </w:tcBorders>
            <w:shd w:fill="EFF6FF" w:val="clear"/>
            <w:tcMar>
              <w:top w:type="dxa" w:w="80"/>
              <w:left w:type="dxa" w:w="120"/>
              <w:bottom w:type="dxa" w:w="80"/>
              <w:right w:type="dxa" w:w="120"/>
            </w:tcMar>
          </w:tcPr>
          <w:p>
            <w:r>
              <w:rPr>
                <w:rFonts w:ascii="Arial" w:cs="Arial" w:eastAsia="Arial" w:hAnsi="Arial"/>
                <w:b w:val="false"/>
                <w:bCs w:val="false"/>
                <w:color w:val="111827"/>
                <w:sz w:val="18"/>
                <w:szCs w:val="18"/>
              </w:rPr>
              <w:t xml:space="preserve">United States law. Standard SaaS terms of service.</w:t>
            </w:r>
          </w:p>
        </w:tc>
      </w:tr>
    </w:tbl>
    <w:p>
      <w:pPr>
        <w:spacing w:after="80"/>
      </w:pPr>
    </w:p>
    <w:p>
      <w:pPr>
        <w:pStyle w:val="Heading1"/>
      </w:pPr>
      <w:r>
        <w:t xml:space="preserve">3. Financial Compute Units (FCU)</w:t>
      </w:r>
    </w:p>
    <w:p>
      <w:pPr>
        <w:pStyle w:val="Heading2"/>
      </w:pPr>
      <w:r>
        <w:t xml:space="preserve">3.1 Definition</w:t>
      </w:r>
    </w:p>
    <w:p>
      <w:pPr>
        <w:spacing w:after="160"/>
      </w:pPr>
      <w:r>
        <w:rPr>
          <w:rFonts w:ascii="Arial" w:cs="Arial" w:eastAsia="Arial" w:hAnsi="Arial"/>
          <w:b/>
          <w:bCs/>
          <w:color w:val="111827"/>
          <w:sz w:val="22"/>
          <w:szCs w:val="22"/>
        </w:rPr>
        <w:t xml:space="preserve">1 FCU = 1 ERP row extracted, transformed, secured, and stored within a monthly billing cycle.</w:t>
      </w:r>
      <w:r>
        <w:rPr>
          <w:rFonts w:ascii="Arial" w:cs="Arial" w:eastAsia="Arial" w:hAnsi="Arial"/>
          <w:color w:val="111827"/>
          <w:sz w:val="22"/>
          <w:szCs w:val="22"/>
        </w:rPr>
        <w:t xml:space="preserve"> An FCU is consumed when a GL transaction, chart of accounts record, dimension record, or budget line is pulled from a customer’s ERP, passed through the full dbt transformation chain (staging, intermediate, security, marts), and stored in BigQuery for delivery via MCP. The FCU captures the full cost of processing: API calls to the ERP, BigQuery compute for transformation, dbt execution, and BigQuery storage.</w:t>
      </w:r>
    </w:p>
    <w:p>
      <w:pPr>
        <w:spacing w:after="160"/>
      </w:pPr>
      <w:r>
        <w:rPr>
          <w:rFonts w:ascii="Arial" w:cs="Arial" w:eastAsia="Arial" w:hAnsi="Arial"/>
          <w:color w:val="111827"/>
          <w:sz w:val="22"/>
          <w:szCs w:val="22"/>
        </w:rPr>
        <w:t xml:space="preserve">FCU is counted once per row per pipeline run within a billing cycle. Re-running the same pipeline on the same data in the same month does not double-count FCU — only the most recent successful run’s record count applies. Delta syncs (incremental extraction) count only the new and changed rows, not the full dataset.</w:t>
      </w:r>
    </w:p>
    <w:p>
      <w:pPr>
        <w:pStyle w:val="Heading2"/>
      </w:pPr>
      <w:r>
        <w:t xml:space="preserve">3.2 FCU Included Allocations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2400"/>
        <w:gridCol w:w="2400"/>
        <w:gridCol w:w="2160"/>
      </w:tblGrid>
      <w:tr>
        <w:tc>
          <w:tcPr>
            <w:tcW w:type="dxa" w:w="2400"/>
            <w:tcBorders>
              <w:top w:val="single" w:color="D1D5DB" w:sz="1"/>
              <w:left w:val="single" w:color="D1D5DB" w:sz="1"/>
              <w:bottom w:val="single" w:color="D1D5DB" w:sz="1"/>
              <w:right w:val="single" w:color="D1D5DB" w:sz="1"/>
            </w:tcBorders>
            <w:shd w:fill="1E3A5F" w:val="clear"/>
            <w:tcMar>
              <w:top w:type="dxa" w:w="80"/>
              <w:left w:type="dxa" w:w="120"/>
              <w:bottom w:type="dxa" w:w="80"/>
              <w:right w:type="dxa" w:w="120"/>
            </w:tcMar>
          </w:tcPr>
          <w:p>
            <w:r>
              <w:rPr>
                <w:rFonts w:ascii="Arial" w:cs="Arial" w:eastAsia="Arial" w:hAnsi="Arial"/>
                <w:b/>
                <w:bCs/>
                <w:color w:val="FFFFFF"/>
                <w:sz w:val="17"/>
                <w:szCs w:val="17"/>
              </w:rPr>
              <w:t xml:space="preserve">Plan</w:t>
            </w:r>
          </w:p>
        </w:tc>
        <w:tc>
          <w:tcPr>
            <w:tcW w:type="dxa" w:w="2400"/>
            <w:tcBorders>
              <w:top w:val="single" w:color="D1D5DB" w:sz="1"/>
              <w:left w:val="single" w:color="D1D5DB" w:sz="1"/>
              <w:bottom w:val="single" w:color="D1D5DB" w:sz="1"/>
              <w:right w:val="single" w:color="D1D5DB" w:sz="1"/>
            </w:tcBorders>
            <w:shd w:fill="1E3A5F" w:val="clear"/>
            <w:tcMar>
              <w:top w:type="dxa" w:w="80"/>
              <w:left w:type="dxa" w:w="120"/>
              <w:bottom w:type="dxa" w:w="80"/>
              <w:right w:type="dxa" w:w="120"/>
            </w:tcMar>
          </w:tcPr>
          <w:p>
            <w:r>
              <w:rPr>
                <w:rFonts w:ascii="Arial" w:cs="Arial" w:eastAsia="Arial" w:hAnsi="Arial"/>
                <w:b/>
                <w:bCs/>
                <w:color w:val="FFFFFF"/>
                <w:sz w:val="17"/>
                <w:szCs w:val="17"/>
              </w:rPr>
              <w:t xml:space="preserve">Included FCU/Month</w:t>
            </w:r>
          </w:p>
        </w:tc>
        <w:tc>
          <w:tcPr>
            <w:tcW w:type="dxa" w:w="2400"/>
            <w:tcBorders>
              <w:top w:val="single" w:color="D1D5DB" w:sz="1"/>
              <w:left w:val="single" w:color="D1D5DB" w:sz="1"/>
              <w:bottom w:val="single" w:color="D1D5DB" w:sz="1"/>
              <w:right w:val="single" w:color="D1D5DB" w:sz="1"/>
            </w:tcBorders>
            <w:shd w:fill="1E3A5F" w:val="clear"/>
            <w:tcMar>
              <w:top w:type="dxa" w:w="80"/>
              <w:left w:type="dxa" w:w="120"/>
              <w:bottom w:type="dxa" w:w="80"/>
              <w:right w:type="dxa" w:w="120"/>
            </w:tcMar>
          </w:tcPr>
          <w:p>
            <w:r>
              <w:rPr>
                <w:rFonts w:ascii="Arial" w:cs="Arial" w:eastAsia="Arial" w:hAnsi="Arial"/>
                <w:b/>
                <w:bCs/>
                <w:color w:val="FFFFFF"/>
                <w:sz w:val="17"/>
                <w:szCs w:val="17"/>
              </w:rPr>
              <w:t xml:space="preserve">Typical Customer Profile</w:t>
            </w:r>
          </w:p>
        </w:tc>
        <w:tc>
          <w:tcPr>
            <w:tcW w:type="dxa" w:w="2160"/>
            <w:tcBorders>
              <w:top w:val="single" w:color="D1D5DB" w:sz="1"/>
              <w:left w:val="single" w:color="D1D5DB" w:sz="1"/>
              <w:bottom w:val="single" w:color="D1D5DB" w:sz="1"/>
              <w:right w:val="single" w:color="D1D5DB" w:sz="1"/>
            </w:tcBorders>
            <w:shd w:fill="1E3A5F" w:val="clear"/>
            <w:tcMar>
              <w:top w:type="dxa" w:w="80"/>
              <w:left w:type="dxa" w:w="120"/>
              <w:bottom w:type="dxa" w:w="80"/>
              <w:right w:type="dxa" w:w="120"/>
            </w:tcMar>
          </w:tcPr>
          <w:p>
            <w:r>
              <w:rPr>
                <w:rFonts w:ascii="Arial" w:cs="Arial" w:eastAsia="Arial" w:hAnsi="Arial"/>
                <w:b/>
                <w:bCs/>
                <w:color w:val="FFFFFF"/>
                <w:sz w:val="17"/>
                <w:szCs w:val="17"/>
              </w:rPr>
              <w:t xml:space="preserve">Approx. GL Size</w:t>
            </w:r>
          </w:p>
        </w:tc>
      </w:tr>
      <w:tr>
        <w:tc>
          <w:tcPr>
            <w:tcW w:type="dxa" w:w="2400"/>
            <w:tcBorders>
              <w:top w:val="single" w:color="D1D5DB" w:sz="1"/>
              <w:left w:val="single" w:color="D1D5DB" w:sz="1"/>
              <w:bottom w:val="single" w:color="D1D5DB" w:sz="1"/>
              <w:right w:val="single" w:color="D1D5DB" w:sz="1"/>
            </w:tcBorders>
            <w:shd w:fill="EFF6FF" w:val="clear"/>
            <w:tcMar>
              <w:top w:type="dxa" w:w="80"/>
              <w:left w:type="dxa" w:w="120"/>
              <w:bottom w:type="dxa" w:w="80"/>
              <w:right w:type="dxa" w:w="120"/>
            </w:tcMar>
          </w:tcPr>
          <w:p>
            <w:r>
              <w:rPr>
                <w:rFonts w:ascii="Arial" w:cs="Arial" w:eastAsia="Arial" w:hAnsi="Arial"/>
                <w:b w:val="false"/>
                <w:bCs w:val="false"/>
                <w:color w:val="111827"/>
                <w:sz w:val="18"/>
                <w:szCs w:val="18"/>
              </w:rPr>
              <w:t xml:space="preserve">Premium</w:t>
            </w:r>
          </w:p>
        </w:tc>
        <w:tc>
          <w:tcPr>
            <w:tcW w:type="dxa" w:w="2400"/>
            <w:tcBorders>
              <w:top w:val="single" w:color="D1D5DB" w:sz="1"/>
              <w:left w:val="single" w:color="D1D5DB" w:sz="1"/>
              <w:bottom w:val="single" w:color="D1D5DB" w:sz="1"/>
              <w:right w:val="single" w:color="D1D5DB" w:sz="1"/>
            </w:tcBorders>
            <w:shd w:fill="EFF6FF" w:val="clear"/>
            <w:tcMar>
              <w:top w:type="dxa" w:w="80"/>
              <w:left w:type="dxa" w:w="120"/>
              <w:bottom w:type="dxa" w:w="80"/>
              <w:right w:type="dxa" w:w="120"/>
            </w:tcMar>
          </w:tcPr>
          <w:p>
            <w:r>
              <w:rPr>
                <w:rFonts w:ascii="Arial" w:cs="Arial" w:eastAsia="Arial" w:hAnsi="Arial"/>
                <w:b w:val="false"/>
                <w:bCs w:val="false"/>
                <w:color w:val="111827"/>
                <w:sz w:val="18"/>
                <w:szCs w:val="18"/>
              </w:rPr>
              <w:t xml:space="preserve">500,000 rows</w:t>
            </w:r>
          </w:p>
        </w:tc>
        <w:tc>
          <w:tcPr>
            <w:tcW w:type="dxa" w:w="2400"/>
            <w:tcBorders>
              <w:top w:val="single" w:color="D1D5DB" w:sz="1"/>
              <w:left w:val="single" w:color="D1D5DB" w:sz="1"/>
              <w:bottom w:val="single" w:color="D1D5DB" w:sz="1"/>
              <w:right w:val="single" w:color="D1D5DB" w:sz="1"/>
            </w:tcBorders>
            <w:shd w:fill="EFF6FF" w:val="clear"/>
            <w:tcMar>
              <w:top w:type="dxa" w:w="80"/>
              <w:left w:type="dxa" w:w="120"/>
              <w:bottom w:type="dxa" w:w="80"/>
              <w:right w:type="dxa" w:w="120"/>
            </w:tcMar>
          </w:tcPr>
          <w:p>
            <w:r>
              <w:rPr>
                <w:rFonts w:ascii="Arial" w:cs="Arial" w:eastAsia="Arial" w:hAnsi="Arial"/>
                <w:b w:val="false"/>
                <w:bCs w:val="false"/>
                <w:color w:val="111827"/>
                <w:sz w:val="18"/>
                <w:szCs w:val="18"/>
              </w:rPr>
              <w:t xml:space="preserve">Single entity, 1 ERP, basic GL + CoA + 2–3 dimensions</w:t>
            </w:r>
          </w:p>
        </w:tc>
        <w:tc>
          <w:tcPr>
            <w:tcW w:type="dxa" w:w="2160"/>
            <w:tcBorders>
              <w:top w:val="single" w:color="D1D5DB" w:sz="1"/>
              <w:left w:val="single" w:color="D1D5DB" w:sz="1"/>
              <w:bottom w:val="single" w:color="D1D5DB" w:sz="1"/>
              <w:right w:val="single" w:color="D1D5DB" w:sz="1"/>
            </w:tcBorders>
            <w:shd w:fill="EFF6FF" w:val="clear"/>
            <w:tcMar>
              <w:top w:type="dxa" w:w="80"/>
              <w:left w:type="dxa" w:w="120"/>
              <w:bottom w:type="dxa" w:w="80"/>
              <w:right w:type="dxa" w:w="120"/>
            </w:tcMar>
          </w:tcPr>
          <w:p>
            <w:r>
              <w:rPr>
                <w:rFonts w:ascii="Arial" w:cs="Arial" w:eastAsia="Arial" w:hAnsi="Arial"/>
                <w:b w:val="false"/>
                <w:bCs w:val="false"/>
                <w:color w:val="111827"/>
                <w:sz w:val="18"/>
                <w:szCs w:val="18"/>
              </w:rPr>
              <w:t xml:space="preserve">Small mid-market ($50M–$150M revenue)</w:t>
            </w:r>
          </w:p>
        </w:tc>
      </w:tr>
      <w:tr>
        <w:tc>
          <w:tcPr>
            <w:tcW w:type="dxa" w:w="2400"/>
            <w:tcBorders>
              <w:top w:val="single" w:color="D1D5DB" w:sz="1"/>
              <w:left w:val="single" w:color="D1D5DB" w:sz="1"/>
              <w:bottom w:val="single" w:color="D1D5DB" w:sz="1"/>
              <w:right w:val="single" w:color="D1D5DB" w:sz="1"/>
            </w:tcBorders>
            <w:tcMar>
              <w:top w:type="dxa" w:w="80"/>
              <w:left w:type="dxa" w:w="120"/>
              <w:bottom w:type="dxa" w:w="80"/>
              <w:right w:type="dxa" w:w="120"/>
            </w:tcMar>
          </w:tcPr>
          <w:p>
            <w:r>
              <w:rPr>
                <w:rFonts w:ascii="Arial" w:cs="Arial" w:eastAsia="Arial" w:hAnsi="Arial"/>
                <w:b w:val="false"/>
                <w:bCs w:val="false"/>
                <w:color w:val="111827"/>
                <w:sz w:val="18"/>
                <w:szCs w:val="18"/>
              </w:rPr>
              <w:t xml:space="preserve">Pro</w:t>
            </w:r>
          </w:p>
        </w:tc>
        <w:tc>
          <w:tcPr>
            <w:tcW w:type="dxa" w:w="2400"/>
            <w:tcBorders>
              <w:top w:val="single" w:color="D1D5DB" w:sz="1"/>
              <w:left w:val="single" w:color="D1D5DB" w:sz="1"/>
              <w:bottom w:val="single" w:color="D1D5DB" w:sz="1"/>
              <w:right w:val="single" w:color="D1D5DB" w:sz="1"/>
            </w:tcBorders>
            <w:tcMar>
              <w:top w:type="dxa" w:w="80"/>
              <w:left w:type="dxa" w:w="120"/>
              <w:bottom w:type="dxa" w:w="80"/>
              <w:right w:type="dxa" w:w="120"/>
            </w:tcMar>
          </w:tcPr>
          <w:p>
            <w:r>
              <w:rPr>
                <w:rFonts w:ascii="Arial" w:cs="Arial" w:eastAsia="Arial" w:hAnsi="Arial"/>
                <w:b w:val="false"/>
                <w:bCs w:val="false"/>
                <w:color w:val="111827"/>
                <w:sz w:val="18"/>
                <w:szCs w:val="18"/>
              </w:rPr>
              <w:t xml:space="preserve">2,000,000 rows</w:t>
            </w:r>
          </w:p>
        </w:tc>
        <w:tc>
          <w:tcPr>
            <w:tcW w:type="dxa" w:w="2400"/>
            <w:tcBorders>
              <w:top w:val="single" w:color="D1D5DB" w:sz="1"/>
              <w:left w:val="single" w:color="D1D5DB" w:sz="1"/>
              <w:bottom w:val="single" w:color="D1D5DB" w:sz="1"/>
              <w:right w:val="single" w:color="D1D5DB" w:sz="1"/>
            </w:tcBorders>
            <w:tcMar>
              <w:top w:type="dxa" w:w="80"/>
              <w:left w:type="dxa" w:w="120"/>
              <w:bottom w:type="dxa" w:w="80"/>
              <w:right w:type="dxa" w:w="120"/>
            </w:tcMar>
          </w:tcPr>
          <w:p>
            <w:r>
              <w:rPr>
                <w:rFonts w:ascii="Arial" w:cs="Arial" w:eastAsia="Arial" w:hAnsi="Arial"/>
                <w:b w:val="false"/>
                <w:bCs w:val="false"/>
                <w:color w:val="111827"/>
                <w:sz w:val="18"/>
                <w:szCs w:val="18"/>
              </w:rPr>
              <w:t xml:space="preserve">Single entity, 1–2 ERPs, full GL + CoA + all dimensions + budget data</w:t>
            </w:r>
          </w:p>
        </w:tc>
        <w:tc>
          <w:tcPr>
            <w:tcW w:type="dxa" w:w="2160"/>
            <w:tcBorders>
              <w:top w:val="single" w:color="D1D5DB" w:sz="1"/>
              <w:left w:val="single" w:color="D1D5DB" w:sz="1"/>
              <w:bottom w:val="single" w:color="D1D5DB" w:sz="1"/>
              <w:right w:val="single" w:color="D1D5DB" w:sz="1"/>
            </w:tcBorders>
            <w:tcMar>
              <w:top w:type="dxa" w:w="80"/>
              <w:left w:type="dxa" w:w="120"/>
              <w:bottom w:type="dxa" w:w="80"/>
              <w:right w:type="dxa" w:w="120"/>
            </w:tcMar>
          </w:tcPr>
          <w:p>
            <w:r>
              <w:rPr>
                <w:rFonts w:ascii="Arial" w:cs="Arial" w:eastAsia="Arial" w:hAnsi="Arial"/>
                <w:b w:val="false"/>
                <w:bCs w:val="false"/>
                <w:color w:val="111827"/>
                <w:sz w:val="18"/>
                <w:szCs w:val="18"/>
              </w:rPr>
              <w:t xml:space="preserve">Mid-market ($150M–$500M revenue)</w:t>
            </w:r>
          </w:p>
        </w:tc>
      </w:tr>
      <w:tr>
        <w:tc>
          <w:tcPr>
            <w:tcW w:type="dxa" w:w="2400"/>
            <w:tcBorders>
              <w:top w:val="single" w:color="D1D5DB" w:sz="1"/>
              <w:left w:val="single" w:color="D1D5DB" w:sz="1"/>
              <w:bottom w:val="single" w:color="D1D5DB" w:sz="1"/>
              <w:right w:val="single" w:color="D1D5DB" w:sz="1"/>
            </w:tcBorders>
            <w:shd w:fill="EFF6FF" w:val="clear"/>
            <w:tcMar>
              <w:top w:type="dxa" w:w="80"/>
              <w:left w:type="dxa" w:w="120"/>
              <w:bottom w:type="dxa" w:w="80"/>
              <w:right w:type="dxa" w:w="120"/>
            </w:tcMar>
          </w:tcPr>
          <w:p>
            <w:r>
              <w:rPr>
                <w:rFonts w:ascii="Arial" w:cs="Arial" w:eastAsia="Arial" w:hAnsi="Arial"/>
                <w:b w:val="false"/>
                <w:bCs w:val="false"/>
                <w:color w:val="111827"/>
                <w:sz w:val="18"/>
                <w:szCs w:val="18"/>
              </w:rPr>
              <w:t xml:space="preserve">Enterprise</w:t>
            </w:r>
          </w:p>
        </w:tc>
        <w:tc>
          <w:tcPr>
            <w:tcW w:type="dxa" w:w="2400"/>
            <w:tcBorders>
              <w:top w:val="single" w:color="D1D5DB" w:sz="1"/>
              <w:left w:val="single" w:color="D1D5DB" w:sz="1"/>
              <w:bottom w:val="single" w:color="D1D5DB" w:sz="1"/>
              <w:right w:val="single" w:color="D1D5DB" w:sz="1"/>
            </w:tcBorders>
            <w:shd w:fill="EFF6FF" w:val="clear"/>
            <w:tcMar>
              <w:top w:type="dxa" w:w="80"/>
              <w:left w:type="dxa" w:w="120"/>
              <w:bottom w:type="dxa" w:w="80"/>
              <w:right w:type="dxa" w:w="120"/>
            </w:tcMar>
          </w:tcPr>
          <w:p>
            <w:r>
              <w:rPr>
                <w:rFonts w:ascii="Arial" w:cs="Arial" w:eastAsia="Arial" w:hAnsi="Arial"/>
                <w:b w:val="false"/>
                <w:bCs w:val="false"/>
                <w:color w:val="111827"/>
                <w:sz w:val="18"/>
                <w:szCs w:val="18"/>
              </w:rPr>
              <w:t xml:space="preserve">Custom (negotiated)</w:t>
            </w:r>
          </w:p>
        </w:tc>
        <w:tc>
          <w:tcPr>
            <w:tcW w:type="dxa" w:w="2400"/>
            <w:tcBorders>
              <w:top w:val="single" w:color="D1D5DB" w:sz="1"/>
              <w:left w:val="single" w:color="D1D5DB" w:sz="1"/>
              <w:bottom w:val="single" w:color="D1D5DB" w:sz="1"/>
              <w:right w:val="single" w:color="D1D5DB" w:sz="1"/>
            </w:tcBorders>
            <w:shd w:fill="EFF6FF" w:val="clear"/>
            <w:tcMar>
              <w:top w:type="dxa" w:w="80"/>
              <w:left w:type="dxa" w:w="120"/>
              <w:bottom w:type="dxa" w:w="80"/>
              <w:right w:type="dxa" w:w="120"/>
            </w:tcMar>
          </w:tcPr>
          <w:p>
            <w:r>
              <w:rPr>
                <w:rFonts w:ascii="Arial" w:cs="Arial" w:eastAsia="Arial" w:hAnsi="Arial"/>
                <w:b w:val="false"/>
                <w:bCs w:val="false"/>
                <w:color w:val="111827"/>
                <w:sz w:val="18"/>
                <w:szCs w:val="18"/>
              </w:rPr>
              <w:t xml:space="preserve">Multi-entity, multiple ERPs, full data scope, high-frequency sync</w:t>
            </w:r>
          </w:p>
        </w:tc>
        <w:tc>
          <w:tcPr>
            <w:tcW w:type="dxa" w:w="2160"/>
            <w:tcBorders>
              <w:top w:val="single" w:color="D1D5DB" w:sz="1"/>
              <w:left w:val="single" w:color="D1D5DB" w:sz="1"/>
              <w:bottom w:val="single" w:color="D1D5DB" w:sz="1"/>
              <w:right w:val="single" w:color="D1D5DB" w:sz="1"/>
            </w:tcBorders>
            <w:shd w:fill="EFF6FF" w:val="clear"/>
            <w:tcMar>
              <w:top w:type="dxa" w:w="80"/>
              <w:left w:type="dxa" w:w="120"/>
              <w:bottom w:type="dxa" w:w="80"/>
              <w:right w:type="dxa" w:w="120"/>
            </w:tcMar>
          </w:tcPr>
          <w:p>
            <w:r>
              <w:rPr>
                <w:rFonts w:ascii="Arial" w:cs="Arial" w:eastAsia="Arial" w:hAnsi="Arial"/>
                <w:b w:val="false"/>
                <w:bCs w:val="false"/>
                <w:color w:val="111827"/>
                <w:sz w:val="18"/>
                <w:szCs w:val="18"/>
              </w:rPr>
              <w:t xml:space="preserve">Upper mid-market to enterprise ($500M+)</w:t>
            </w:r>
          </w:p>
        </w:tc>
      </w:tr>
    </w:tbl>
    <w:p>
      <w:pPr>
        <w:spacing w:after="80"/>
      </w:pPr>
    </w:p>
    <w:p>
      <w:pPr>
        <w:pStyle w:val="Heading2"/>
      </w:pPr>
      <w:r>
        <w:t xml:space="preserve">3.3 FCU Overage Pricing</w:t>
      </w:r>
    </w:p>
    <w:p>
      <w:pPr>
        <w:spacing w:after="160"/>
      </w:pPr>
      <w:r>
        <w:rPr>
          <w:rFonts w:ascii="Arial" w:cs="Arial" w:eastAsia="Arial" w:hAnsi="Arial"/>
          <w:color w:val="111827"/>
          <w:sz w:val="22"/>
          <w:szCs w:val="22"/>
        </w:rPr>
        <w:t xml:space="preserve">FCU consumed beyond the plan’s included allocation is billed monthly at tiered overage rates. Tiers are cumulative within a billing cycle (not per-pipeline).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2400"/>
        <w:gridCol w:w="2400"/>
        <w:gridCol w:w="2160"/>
      </w:tblGrid>
      <w:tr>
        <w:tc>
          <w:tcPr>
            <w:tcW w:type="dxa" w:w="2400"/>
            <w:tcBorders>
              <w:top w:val="single" w:color="D1D5DB" w:sz="1"/>
              <w:left w:val="single" w:color="D1D5DB" w:sz="1"/>
              <w:bottom w:val="single" w:color="D1D5DB" w:sz="1"/>
              <w:right w:val="single" w:color="D1D5DB" w:sz="1"/>
            </w:tcBorders>
            <w:shd w:fill="1E3A5F" w:val="clear"/>
            <w:tcMar>
              <w:top w:type="dxa" w:w="80"/>
              <w:left w:type="dxa" w:w="120"/>
              <w:bottom w:type="dxa" w:w="80"/>
              <w:right w:type="dxa" w:w="120"/>
            </w:tcMar>
          </w:tcPr>
          <w:p>
            <w:r>
              <w:rPr>
                <w:rFonts w:ascii="Arial" w:cs="Arial" w:eastAsia="Arial" w:hAnsi="Arial"/>
                <w:b/>
                <w:bCs/>
                <w:color w:val="FFFFFF"/>
                <w:sz w:val="17"/>
                <w:szCs w:val="17"/>
              </w:rPr>
              <w:t xml:space="preserve">Overage Tier</w:t>
            </w:r>
          </w:p>
        </w:tc>
        <w:tc>
          <w:tcPr>
            <w:tcW w:type="dxa" w:w="2400"/>
            <w:tcBorders>
              <w:top w:val="single" w:color="D1D5DB" w:sz="1"/>
              <w:left w:val="single" w:color="D1D5DB" w:sz="1"/>
              <w:bottom w:val="single" w:color="D1D5DB" w:sz="1"/>
              <w:right w:val="single" w:color="D1D5DB" w:sz="1"/>
            </w:tcBorders>
            <w:shd w:fill="1E3A5F" w:val="clear"/>
            <w:tcMar>
              <w:top w:type="dxa" w:w="80"/>
              <w:left w:type="dxa" w:w="120"/>
              <w:bottom w:type="dxa" w:w="80"/>
              <w:right w:type="dxa" w:w="120"/>
            </w:tcMar>
          </w:tcPr>
          <w:p>
            <w:r>
              <w:rPr>
                <w:rFonts w:ascii="Arial" w:cs="Arial" w:eastAsia="Arial" w:hAnsi="Arial"/>
                <w:b/>
                <w:bCs/>
                <w:color w:val="FFFFFF"/>
                <w:sz w:val="17"/>
                <w:szCs w:val="17"/>
              </w:rPr>
              <w:t xml:space="preserve">Rate (per 1,000 rows)</w:t>
            </w:r>
          </w:p>
        </w:tc>
        <w:tc>
          <w:tcPr>
            <w:tcW w:type="dxa" w:w="2400"/>
            <w:tcBorders>
              <w:top w:val="single" w:color="D1D5DB" w:sz="1"/>
              <w:left w:val="single" w:color="D1D5DB" w:sz="1"/>
              <w:bottom w:val="single" w:color="D1D5DB" w:sz="1"/>
              <w:right w:val="single" w:color="D1D5DB" w:sz="1"/>
            </w:tcBorders>
            <w:shd w:fill="1E3A5F" w:val="clear"/>
            <w:tcMar>
              <w:top w:type="dxa" w:w="80"/>
              <w:left w:type="dxa" w:w="120"/>
              <w:bottom w:type="dxa" w:w="80"/>
              <w:right w:type="dxa" w:w="120"/>
            </w:tcMar>
          </w:tcPr>
          <w:p>
            <w:r>
              <w:rPr>
                <w:rFonts w:ascii="Arial" w:cs="Arial" w:eastAsia="Arial" w:hAnsi="Arial"/>
                <w:b/>
                <w:bCs/>
                <w:color w:val="FFFFFF"/>
                <w:sz w:val="17"/>
                <w:szCs w:val="17"/>
              </w:rPr>
              <w:t xml:space="preserve">Example Monthly Overage</w:t>
            </w:r>
          </w:p>
        </w:tc>
        <w:tc>
          <w:tcPr>
            <w:tcW w:type="dxa" w:w="2160"/>
            <w:tcBorders>
              <w:top w:val="single" w:color="D1D5DB" w:sz="1"/>
              <w:left w:val="single" w:color="D1D5DB" w:sz="1"/>
              <w:bottom w:val="single" w:color="D1D5DB" w:sz="1"/>
              <w:right w:val="single" w:color="D1D5DB" w:sz="1"/>
            </w:tcBorders>
            <w:shd w:fill="1E3A5F" w:val="clear"/>
            <w:tcMar>
              <w:top w:type="dxa" w:w="80"/>
              <w:left w:type="dxa" w:w="120"/>
              <w:bottom w:type="dxa" w:w="80"/>
              <w:right w:type="dxa" w:w="120"/>
            </w:tcMar>
          </w:tcPr>
          <w:p>
            <w:r>
              <w:rPr>
                <w:rFonts w:ascii="Arial" w:cs="Arial" w:eastAsia="Arial" w:hAnsi="Arial"/>
                <w:b/>
                <w:bCs/>
                <w:color w:val="FFFFFF"/>
                <w:sz w:val="17"/>
                <w:szCs w:val="17"/>
              </w:rPr>
              <w:t xml:space="preserve">Overage Cost</w:t>
            </w:r>
          </w:p>
        </w:tc>
      </w:tr>
      <w:tr>
        <w:tc>
          <w:tcPr>
            <w:tcW w:type="dxa" w:w="2400"/>
            <w:tcBorders>
              <w:top w:val="single" w:color="D1D5DB" w:sz="1"/>
              <w:left w:val="single" w:color="D1D5DB" w:sz="1"/>
              <w:bottom w:val="single" w:color="D1D5DB" w:sz="1"/>
              <w:right w:val="single" w:color="D1D5DB" w:sz="1"/>
            </w:tcBorders>
            <w:shd w:fill="EFF6FF" w:val="clear"/>
            <w:tcMar>
              <w:top w:type="dxa" w:w="80"/>
              <w:left w:type="dxa" w:w="120"/>
              <w:bottom w:type="dxa" w:w="80"/>
              <w:right w:type="dxa" w:w="120"/>
            </w:tcMar>
          </w:tcPr>
          <w:p>
            <w:r>
              <w:rPr>
                <w:rFonts w:ascii="Arial" w:cs="Arial" w:eastAsia="Arial" w:hAnsi="Arial"/>
                <w:b w:val="false"/>
                <w:bCs w:val="false"/>
                <w:color w:val="111827"/>
                <w:sz w:val="18"/>
                <w:szCs w:val="18"/>
              </w:rPr>
              <w:t xml:space="preserve">0 – 1M rows over allocation</w:t>
            </w:r>
          </w:p>
        </w:tc>
        <w:tc>
          <w:tcPr>
            <w:tcW w:type="dxa" w:w="2400"/>
            <w:tcBorders>
              <w:top w:val="single" w:color="D1D5DB" w:sz="1"/>
              <w:left w:val="single" w:color="D1D5DB" w:sz="1"/>
              <w:bottom w:val="single" w:color="D1D5DB" w:sz="1"/>
              <w:right w:val="single" w:color="D1D5DB" w:sz="1"/>
            </w:tcBorders>
            <w:shd w:fill="EFF6FF" w:val="clear"/>
            <w:tcMar>
              <w:top w:type="dxa" w:w="80"/>
              <w:left w:type="dxa" w:w="120"/>
              <w:bottom w:type="dxa" w:w="80"/>
              <w:right w:type="dxa" w:w="120"/>
            </w:tcMar>
          </w:tcPr>
          <w:p>
            <w:r>
              <w:rPr>
                <w:rFonts w:ascii="Arial" w:cs="Arial" w:eastAsia="Arial" w:hAnsi="Arial"/>
                <w:b w:val="false"/>
                <w:bCs w:val="false"/>
                <w:color w:val="111827"/>
                <w:sz w:val="18"/>
                <w:szCs w:val="18"/>
              </w:rPr>
              <w:t xml:space="preserve">$2.00 / 1,000</w:t>
            </w:r>
          </w:p>
        </w:tc>
        <w:tc>
          <w:tcPr>
            <w:tcW w:type="dxa" w:w="2400"/>
            <w:tcBorders>
              <w:top w:val="single" w:color="D1D5DB" w:sz="1"/>
              <w:left w:val="single" w:color="D1D5DB" w:sz="1"/>
              <w:bottom w:val="single" w:color="D1D5DB" w:sz="1"/>
              <w:right w:val="single" w:color="D1D5DB" w:sz="1"/>
            </w:tcBorders>
            <w:shd w:fill="EFF6FF" w:val="clear"/>
            <w:tcMar>
              <w:top w:type="dxa" w:w="80"/>
              <w:left w:type="dxa" w:w="120"/>
              <w:bottom w:type="dxa" w:w="80"/>
              <w:right w:type="dxa" w:w="120"/>
            </w:tcMar>
          </w:tcPr>
          <w:p>
            <w:r>
              <w:rPr>
                <w:rFonts w:ascii="Arial" w:cs="Arial" w:eastAsia="Arial" w:hAnsi="Arial"/>
                <w:b w:val="false"/>
                <w:bCs w:val="false"/>
                <w:color w:val="111827"/>
                <w:sz w:val="18"/>
                <w:szCs w:val="18"/>
              </w:rPr>
              <w:t xml:space="preserve">Premium customer processes 1.2M rows (700K over)</w:t>
            </w:r>
          </w:p>
        </w:tc>
        <w:tc>
          <w:tcPr>
            <w:tcW w:type="dxa" w:w="2160"/>
            <w:tcBorders>
              <w:top w:val="single" w:color="D1D5DB" w:sz="1"/>
              <w:left w:val="single" w:color="D1D5DB" w:sz="1"/>
              <w:bottom w:val="single" w:color="D1D5DB" w:sz="1"/>
              <w:right w:val="single" w:color="D1D5DB" w:sz="1"/>
            </w:tcBorders>
            <w:shd w:fill="EFF6FF" w:val="clear"/>
            <w:tcMar>
              <w:top w:type="dxa" w:w="80"/>
              <w:left w:type="dxa" w:w="120"/>
              <w:bottom w:type="dxa" w:w="80"/>
              <w:right w:type="dxa" w:w="120"/>
            </w:tcMar>
          </w:tcPr>
          <w:p>
            <w:r>
              <w:rPr>
                <w:rFonts w:ascii="Arial" w:cs="Arial" w:eastAsia="Arial" w:hAnsi="Arial"/>
                <w:b w:val="false"/>
                <w:bCs w:val="false"/>
                <w:color w:val="111827"/>
                <w:sz w:val="18"/>
                <w:szCs w:val="18"/>
              </w:rPr>
              <w:t xml:space="preserve">$1,400</w:t>
            </w:r>
          </w:p>
        </w:tc>
      </w:tr>
      <w:tr>
        <w:tc>
          <w:tcPr>
            <w:tcW w:type="dxa" w:w="2400"/>
            <w:tcBorders>
              <w:top w:val="single" w:color="D1D5DB" w:sz="1"/>
              <w:left w:val="single" w:color="D1D5DB" w:sz="1"/>
              <w:bottom w:val="single" w:color="D1D5DB" w:sz="1"/>
              <w:right w:val="single" w:color="D1D5DB" w:sz="1"/>
            </w:tcBorders>
            <w:tcMar>
              <w:top w:type="dxa" w:w="80"/>
              <w:left w:type="dxa" w:w="120"/>
              <w:bottom w:type="dxa" w:w="80"/>
              <w:right w:type="dxa" w:w="120"/>
            </w:tcMar>
          </w:tcPr>
          <w:p>
            <w:r>
              <w:rPr>
                <w:rFonts w:ascii="Arial" w:cs="Arial" w:eastAsia="Arial" w:hAnsi="Arial"/>
                <w:b w:val="false"/>
                <w:bCs w:val="false"/>
                <w:color w:val="111827"/>
                <w:sz w:val="18"/>
                <w:szCs w:val="18"/>
              </w:rPr>
              <w:t xml:space="preserve">1M – 5M rows over allocation</w:t>
            </w:r>
          </w:p>
        </w:tc>
        <w:tc>
          <w:tcPr>
            <w:tcW w:type="dxa" w:w="2400"/>
            <w:tcBorders>
              <w:top w:val="single" w:color="D1D5DB" w:sz="1"/>
              <w:left w:val="single" w:color="D1D5DB" w:sz="1"/>
              <w:bottom w:val="single" w:color="D1D5DB" w:sz="1"/>
              <w:right w:val="single" w:color="D1D5DB" w:sz="1"/>
            </w:tcBorders>
            <w:tcMar>
              <w:top w:type="dxa" w:w="80"/>
              <w:left w:type="dxa" w:w="120"/>
              <w:bottom w:type="dxa" w:w="80"/>
              <w:right w:type="dxa" w:w="120"/>
            </w:tcMar>
          </w:tcPr>
          <w:p>
            <w:r>
              <w:rPr>
                <w:rFonts w:ascii="Arial" w:cs="Arial" w:eastAsia="Arial" w:hAnsi="Arial"/>
                <w:b w:val="false"/>
                <w:bCs w:val="false"/>
                <w:color w:val="111827"/>
                <w:sz w:val="18"/>
                <w:szCs w:val="18"/>
              </w:rPr>
              <w:t xml:space="preserve">$1.50 / 1,000</w:t>
            </w:r>
          </w:p>
        </w:tc>
        <w:tc>
          <w:tcPr>
            <w:tcW w:type="dxa" w:w="2400"/>
            <w:tcBorders>
              <w:top w:val="single" w:color="D1D5DB" w:sz="1"/>
              <w:left w:val="single" w:color="D1D5DB" w:sz="1"/>
              <w:bottom w:val="single" w:color="D1D5DB" w:sz="1"/>
              <w:right w:val="single" w:color="D1D5DB" w:sz="1"/>
            </w:tcBorders>
            <w:tcMar>
              <w:top w:type="dxa" w:w="80"/>
              <w:left w:type="dxa" w:w="120"/>
              <w:bottom w:type="dxa" w:w="80"/>
              <w:right w:type="dxa" w:w="120"/>
            </w:tcMar>
          </w:tcPr>
          <w:p>
            <w:r>
              <w:rPr>
                <w:rFonts w:ascii="Arial" w:cs="Arial" w:eastAsia="Arial" w:hAnsi="Arial"/>
                <w:b w:val="false"/>
                <w:bCs w:val="false"/>
                <w:color w:val="111827"/>
                <w:sz w:val="18"/>
                <w:szCs w:val="18"/>
              </w:rPr>
              <w:t xml:space="preserve">Pro customer processes 5M rows (3M over): first 1M at $2.00, next 2M at $1.50</w:t>
            </w:r>
          </w:p>
        </w:tc>
        <w:tc>
          <w:tcPr>
            <w:tcW w:type="dxa" w:w="2160"/>
            <w:tcBorders>
              <w:top w:val="single" w:color="D1D5DB" w:sz="1"/>
              <w:left w:val="single" w:color="D1D5DB" w:sz="1"/>
              <w:bottom w:val="single" w:color="D1D5DB" w:sz="1"/>
              <w:right w:val="single" w:color="D1D5DB" w:sz="1"/>
            </w:tcBorders>
            <w:tcMar>
              <w:top w:type="dxa" w:w="80"/>
              <w:left w:type="dxa" w:w="120"/>
              <w:bottom w:type="dxa" w:w="80"/>
              <w:right w:type="dxa" w:w="120"/>
            </w:tcMar>
          </w:tcPr>
          <w:p>
            <w:r>
              <w:rPr>
                <w:rFonts w:ascii="Arial" w:cs="Arial" w:eastAsia="Arial" w:hAnsi="Arial"/>
                <w:b w:val="false"/>
                <w:bCs w:val="false"/>
                <w:color w:val="111827"/>
                <w:sz w:val="18"/>
                <w:szCs w:val="18"/>
              </w:rPr>
              <w:t xml:space="preserve">$2,000 + $3,000 = $5,000</w:t>
            </w:r>
          </w:p>
        </w:tc>
      </w:tr>
      <w:tr>
        <w:tc>
          <w:tcPr>
            <w:tcW w:type="dxa" w:w="2400"/>
            <w:tcBorders>
              <w:top w:val="single" w:color="D1D5DB" w:sz="1"/>
              <w:left w:val="single" w:color="D1D5DB" w:sz="1"/>
              <w:bottom w:val="single" w:color="D1D5DB" w:sz="1"/>
              <w:right w:val="single" w:color="D1D5DB" w:sz="1"/>
            </w:tcBorders>
            <w:shd w:fill="EFF6FF" w:val="clear"/>
            <w:tcMar>
              <w:top w:type="dxa" w:w="80"/>
              <w:left w:type="dxa" w:w="120"/>
              <w:bottom w:type="dxa" w:w="80"/>
              <w:right w:type="dxa" w:w="120"/>
            </w:tcMar>
          </w:tcPr>
          <w:p>
            <w:r>
              <w:rPr>
                <w:rFonts w:ascii="Arial" w:cs="Arial" w:eastAsia="Arial" w:hAnsi="Arial"/>
                <w:b w:val="false"/>
                <w:bCs w:val="false"/>
                <w:color w:val="111827"/>
                <w:sz w:val="18"/>
                <w:szCs w:val="18"/>
              </w:rPr>
              <w:t xml:space="preserve">5M – 20M rows over allocation</w:t>
            </w:r>
          </w:p>
        </w:tc>
        <w:tc>
          <w:tcPr>
            <w:tcW w:type="dxa" w:w="2400"/>
            <w:tcBorders>
              <w:top w:val="single" w:color="D1D5DB" w:sz="1"/>
              <w:left w:val="single" w:color="D1D5DB" w:sz="1"/>
              <w:bottom w:val="single" w:color="D1D5DB" w:sz="1"/>
              <w:right w:val="single" w:color="D1D5DB" w:sz="1"/>
            </w:tcBorders>
            <w:shd w:fill="EFF6FF" w:val="clear"/>
            <w:tcMar>
              <w:top w:type="dxa" w:w="80"/>
              <w:left w:type="dxa" w:w="120"/>
              <w:bottom w:type="dxa" w:w="80"/>
              <w:right w:type="dxa" w:w="120"/>
            </w:tcMar>
          </w:tcPr>
          <w:p>
            <w:r>
              <w:rPr>
                <w:rFonts w:ascii="Arial" w:cs="Arial" w:eastAsia="Arial" w:hAnsi="Arial"/>
                <w:b w:val="false"/>
                <w:bCs w:val="false"/>
                <w:color w:val="111827"/>
                <w:sz w:val="18"/>
                <w:szCs w:val="18"/>
              </w:rPr>
              <w:t xml:space="preserve">$1.00 / 1,000</w:t>
            </w:r>
          </w:p>
        </w:tc>
        <w:tc>
          <w:tcPr>
            <w:tcW w:type="dxa" w:w="2400"/>
            <w:tcBorders>
              <w:top w:val="single" w:color="D1D5DB" w:sz="1"/>
              <w:left w:val="single" w:color="D1D5DB" w:sz="1"/>
              <w:bottom w:val="single" w:color="D1D5DB" w:sz="1"/>
              <w:right w:val="single" w:color="D1D5DB" w:sz="1"/>
            </w:tcBorders>
            <w:shd w:fill="EFF6FF" w:val="clear"/>
            <w:tcMar>
              <w:top w:type="dxa" w:w="80"/>
              <w:left w:type="dxa" w:w="120"/>
              <w:bottom w:type="dxa" w:w="80"/>
              <w:right w:type="dxa" w:w="120"/>
            </w:tcMar>
          </w:tcPr>
          <w:p>
            <w:r>
              <w:rPr>
                <w:rFonts w:ascii="Arial" w:cs="Arial" w:eastAsia="Arial" w:hAnsi="Arial"/>
                <w:b w:val="false"/>
                <w:bCs w:val="false"/>
                <w:color w:val="111827"/>
                <w:sz w:val="18"/>
                <w:szCs w:val="18"/>
              </w:rPr>
              <w:t xml:space="preserve">Enterprise with negotiated 10M base, processes 25M (15M over)</w:t>
            </w:r>
          </w:p>
        </w:tc>
        <w:tc>
          <w:tcPr>
            <w:tcW w:type="dxa" w:w="2160"/>
            <w:tcBorders>
              <w:top w:val="single" w:color="D1D5DB" w:sz="1"/>
              <w:left w:val="single" w:color="D1D5DB" w:sz="1"/>
              <w:bottom w:val="single" w:color="D1D5DB" w:sz="1"/>
              <w:right w:val="single" w:color="D1D5DB" w:sz="1"/>
            </w:tcBorders>
            <w:shd w:fill="EFF6FF" w:val="clear"/>
            <w:tcMar>
              <w:top w:type="dxa" w:w="80"/>
              <w:left w:type="dxa" w:w="120"/>
              <w:bottom w:type="dxa" w:w="80"/>
              <w:right w:type="dxa" w:w="120"/>
            </w:tcMar>
          </w:tcPr>
          <w:p>
            <w:r>
              <w:rPr>
                <w:rFonts w:ascii="Arial" w:cs="Arial" w:eastAsia="Arial" w:hAnsi="Arial"/>
                <w:b w:val="false"/>
                <w:bCs w:val="false"/>
                <w:color w:val="111827"/>
                <w:sz w:val="18"/>
                <w:szCs w:val="18"/>
              </w:rPr>
              <w:t xml:space="preserve">Custom tiered pricing applies</w:t>
            </w:r>
          </w:p>
        </w:tc>
      </w:tr>
      <w:tr>
        <w:tc>
          <w:tcPr>
            <w:tcW w:type="dxa" w:w="2400"/>
            <w:tcBorders>
              <w:top w:val="single" w:color="D1D5DB" w:sz="1"/>
              <w:left w:val="single" w:color="D1D5DB" w:sz="1"/>
              <w:bottom w:val="single" w:color="D1D5DB" w:sz="1"/>
              <w:right w:val="single" w:color="D1D5DB" w:sz="1"/>
            </w:tcBorders>
            <w:tcMar>
              <w:top w:type="dxa" w:w="80"/>
              <w:left w:type="dxa" w:w="120"/>
              <w:bottom w:type="dxa" w:w="80"/>
              <w:right w:type="dxa" w:w="120"/>
            </w:tcMar>
          </w:tcPr>
          <w:p>
            <w:r>
              <w:rPr>
                <w:rFonts w:ascii="Arial" w:cs="Arial" w:eastAsia="Arial" w:hAnsi="Arial"/>
                <w:b w:val="false"/>
                <w:bCs w:val="false"/>
                <w:color w:val="111827"/>
                <w:sz w:val="18"/>
                <w:szCs w:val="18"/>
              </w:rPr>
              <w:t xml:space="preserve">20M+ rows over allocation</w:t>
            </w:r>
          </w:p>
        </w:tc>
        <w:tc>
          <w:tcPr>
            <w:tcW w:type="dxa" w:w="2400"/>
            <w:tcBorders>
              <w:top w:val="single" w:color="D1D5DB" w:sz="1"/>
              <w:left w:val="single" w:color="D1D5DB" w:sz="1"/>
              <w:bottom w:val="single" w:color="D1D5DB" w:sz="1"/>
              <w:right w:val="single" w:color="D1D5DB" w:sz="1"/>
            </w:tcBorders>
            <w:tcMar>
              <w:top w:type="dxa" w:w="80"/>
              <w:left w:type="dxa" w:w="120"/>
              <w:bottom w:type="dxa" w:w="80"/>
              <w:right w:type="dxa" w:w="120"/>
            </w:tcMar>
          </w:tcPr>
          <w:p>
            <w:r>
              <w:rPr>
                <w:rFonts w:ascii="Arial" w:cs="Arial" w:eastAsia="Arial" w:hAnsi="Arial"/>
                <w:b w:val="false"/>
                <w:bCs w:val="false"/>
                <w:color w:val="111827"/>
                <w:sz w:val="18"/>
                <w:szCs w:val="18"/>
              </w:rPr>
              <w:t xml:space="preserve">Custom enterprise pricing</w:t>
            </w:r>
          </w:p>
        </w:tc>
        <w:tc>
          <w:tcPr>
            <w:tcW w:type="dxa" w:w="2400"/>
            <w:tcBorders>
              <w:top w:val="single" w:color="D1D5DB" w:sz="1"/>
              <w:left w:val="single" w:color="D1D5DB" w:sz="1"/>
              <w:bottom w:val="single" w:color="D1D5DB" w:sz="1"/>
              <w:right w:val="single" w:color="D1D5DB" w:sz="1"/>
            </w:tcBorders>
            <w:tcMar>
              <w:top w:type="dxa" w:w="80"/>
              <w:left w:type="dxa" w:w="120"/>
              <w:bottom w:type="dxa" w:w="80"/>
              <w:right w:type="dxa" w:w="120"/>
            </w:tcMar>
          </w:tcPr>
          <w:p>
            <w:r>
              <w:rPr>
                <w:rFonts w:ascii="Arial" w:cs="Arial" w:eastAsia="Arial" w:hAnsi="Arial"/>
                <w:b w:val="false"/>
                <w:bCs w:val="false"/>
                <w:color w:val="111827"/>
                <w:sz w:val="18"/>
                <w:szCs w:val="18"/>
              </w:rPr>
              <w:t xml:space="preserve">High-volume enterprise</w:t>
            </w:r>
          </w:p>
        </w:tc>
        <w:tc>
          <w:tcPr>
            <w:tcW w:type="dxa" w:w="2160"/>
            <w:tcBorders>
              <w:top w:val="single" w:color="D1D5DB" w:sz="1"/>
              <w:left w:val="single" w:color="D1D5DB" w:sz="1"/>
              <w:bottom w:val="single" w:color="D1D5DB" w:sz="1"/>
              <w:right w:val="single" w:color="D1D5DB" w:sz="1"/>
            </w:tcBorders>
            <w:tcMar>
              <w:top w:type="dxa" w:w="80"/>
              <w:left w:type="dxa" w:w="120"/>
              <w:bottom w:type="dxa" w:w="80"/>
              <w:right w:type="dxa" w:w="120"/>
            </w:tcMar>
          </w:tcPr>
          <w:p>
            <w:r>
              <w:rPr>
                <w:rFonts w:ascii="Arial" w:cs="Arial" w:eastAsia="Arial" w:hAnsi="Arial"/>
                <w:b w:val="false"/>
                <w:bCs w:val="false"/>
                <w:color w:val="111827"/>
                <w:sz w:val="18"/>
                <w:szCs w:val="18"/>
              </w:rPr>
              <w:t xml:space="preserve">Negotiated in contract</w:t>
            </w:r>
          </w:p>
        </w:tc>
      </w:tr>
    </w:tbl>
    <w:p>
      <w:pPr>
        <w:spacing w:after="80"/>
      </w:pPr>
    </w:p>
    <w:p>
      <w:pPr>
        <w:pStyle w:val="Heading2"/>
      </w:pPr>
      <w:r>
        <w:t xml:space="preserve">3.4 FCU Cost of Goods Sold</w:t>
      </w:r>
    </w:p>
    <w:p>
      <w:pPr>
        <w:spacing w:after="160"/>
      </w:pPr>
      <w:r>
        <w:rPr>
          <w:rFonts w:ascii="Arial" w:cs="Arial" w:eastAsia="Arial" w:hAnsi="Arial"/>
          <w:color w:val="111827"/>
          <w:sz w:val="22"/>
          <w:szCs w:val="22"/>
        </w:rPr>
        <w:t xml:space="preserve">Understanding the internal cost per FCU is critical for margin analysis and pricing decisions.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2000"/>
        <w:gridCol w:w="2400"/>
        <w:gridCol w:w="2560"/>
      </w:tblGrid>
      <w:tr>
        <w:tc>
          <w:tcPr>
            <w:tcW w:type="dxa" w:w="2400"/>
            <w:tcBorders>
              <w:top w:val="single" w:color="D1D5DB" w:sz="1"/>
              <w:left w:val="single" w:color="D1D5DB" w:sz="1"/>
              <w:bottom w:val="single" w:color="D1D5DB" w:sz="1"/>
              <w:right w:val="single" w:color="D1D5DB" w:sz="1"/>
            </w:tcBorders>
            <w:shd w:fill="1E3A5F" w:val="clear"/>
            <w:tcMar>
              <w:top w:type="dxa" w:w="80"/>
              <w:left w:type="dxa" w:w="120"/>
              <w:bottom w:type="dxa" w:w="80"/>
              <w:right w:type="dxa" w:w="120"/>
            </w:tcMar>
          </w:tcPr>
          <w:p>
            <w:r>
              <w:rPr>
                <w:rFonts w:ascii="Arial" w:cs="Arial" w:eastAsia="Arial" w:hAnsi="Arial"/>
                <w:b/>
                <w:bCs/>
                <w:color w:val="FFFFFF"/>
                <w:sz w:val="17"/>
                <w:szCs w:val="17"/>
              </w:rPr>
              <w:t xml:space="preserve">Cost Component</w:t>
            </w:r>
          </w:p>
        </w:tc>
        <w:tc>
          <w:tcPr>
            <w:tcW w:type="dxa" w:w="2000"/>
            <w:tcBorders>
              <w:top w:val="single" w:color="D1D5DB" w:sz="1"/>
              <w:left w:val="single" w:color="D1D5DB" w:sz="1"/>
              <w:bottom w:val="single" w:color="D1D5DB" w:sz="1"/>
              <w:right w:val="single" w:color="D1D5DB" w:sz="1"/>
            </w:tcBorders>
            <w:shd w:fill="1E3A5F" w:val="clear"/>
            <w:tcMar>
              <w:top w:type="dxa" w:w="80"/>
              <w:left w:type="dxa" w:w="120"/>
              <w:bottom w:type="dxa" w:w="80"/>
              <w:right w:type="dxa" w:w="120"/>
            </w:tcMar>
          </w:tcPr>
          <w:p>
            <w:r>
              <w:rPr>
                <w:rFonts w:ascii="Arial" w:cs="Arial" w:eastAsia="Arial" w:hAnsi="Arial"/>
                <w:b/>
                <w:bCs/>
                <w:color w:val="FFFFFF"/>
                <w:sz w:val="17"/>
                <w:szCs w:val="17"/>
              </w:rPr>
              <w:t xml:space="preserve">Approx. Cost per 1M Rows</w:t>
            </w:r>
          </w:p>
        </w:tc>
        <w:tc>
          <w:tcPr>
            <w:tcW w:type="dxa" w:w="2400"/>
            <w:tcBorders>
              <w:top w:val="single" w:color="D1D5DB" w:sz="1"/>
              <w:left w:val="single" w:color="D1D5DB" w:sz="1"/>
              <w:bottom w:val="single" w:color="D1D5DB" w:sz="1"/>
              <w:right w:val="single" w:color="D1D5DB" w:sz="1"/>
            </w:tcBorders>
            <w:shd w:fill="1E3A5F" w:val="clear"/>
            <w:tcMar>
              <w:top w:type="dxa" w:w="80"/>
              <w:left w:type="dxa" w:w="120"/>
              <w:bottom w:type="dxa" w:w="80"/>
              <w:right w:type="dxa" w:w="120"/>
            </w:tcMar>
          </w:tcPr>
          <w:p>
            <w:r>
              <w:rPr>
                <w:rFonts w:ascii="Arial" w:cs="Arial" w:eastAsia="Arial" w:hAnsi="Arial"/>
                <w:b/>
                <w:bCs/>
                <w:color w:val="FFFFFF"/>
                <w:sz w:val="17"/>
                <w:szCs w:val="17"/>
              </w:rPr>
              <w:t xml:space="preserve">% of FCU Revenue at $2/1K</w:t>
            </w:r>
          </w:p>
        </w:tc>
        <w:tc>
          <w:tcPr>
            <w:tcW w:type="dxa" w:w="2560"/>
            <w:tcBorders>
              <w:top w:val="single" w:color="D1D5DB" w:sz="1"/>
              <w:left w:val="single" w:color="D1D5DB" w:sz="1"/>
              <w:bottom w:val="single" w:color="D1D5DB" w:sz="1"/>
              <w:right w:val="single" w:color="D1D5DB" w:sz="1"/>
            </w:tcBorders>
            <w:shd w:fill="1E3A5F" w:val="clear"/>
            <w:tcMar>
              <w:top w:type="dxa" w:w="80"/>
              <w:left w:type="dxa" w:w="120"/>
              <w:bottom w:type="dxa" w:w="80"/>
              <w:right w:type="dxa" w:w="120"/>
            </w:tcMar>
          </w:tcPr>
          <w:p>
            <w:r>
              <w:rPr>
                <w:rFonts w:ascii="Arial" w:cs="Arial" w:eastAsia="Arial" w:hAnsi="Arial"/>
                <w:b/>
                <w:bCs/>
                <w:color w:val="FFFFFF"/>
                <w:sz w:val="17"/>
                <w:szCs w:val="17"/>
              </w:rPr>
              <w:t xml:space="preserve">Notes</w:t>
            </w:r>
          </w:p>
        </w:tc>
      </w:tr>
      <w:tr>
        <w:tc>
          <w:tcPr>
            <w:tcW w:type="dxa" w:w="2400"/>
            <w:tcBorders>
              <w:top w:val="single" w:color="D1D5DB" w:sz="1"/>
              <w:left w:val="single" w:color="D1D5DB" w:sz="1"/>
              <w:bottom w:val="single" w:color="D1D5DB" w:sz="1"/>
              <w:right w:val="single" w:color="D1D5DB" w:sz="1"/>
            </w:tcBorders>
            <w:shd w:fill="EFF6FF" w:val="clear"/>
            <w:tcMar>
              <w:top w:type="dxa" w:w="80"/>
              <w:left w:type="dxa" w:w="120"/>
              <w:bottom w:type="dxa" w:w="80"/>
              <w:right w:type="dxa" w:w="120"/>
            </w:tcMar>
          </w:tcPr>
          <w:p>
            <w:r>
              <w:rPr>
                <w:rFonts w:ascii="Arial" w:cs="Arial" w:eastAsia="Arial" w:hAnsi="Arial"/>
                <w:b w:val="false"/>
                <w:bCs w:val="false"/>
                <w:color w:val="111827"/>
                <w:sz w:val="18"/>
                <w:szCs w:val="18"/>
              </w:rPr>
              <w:t xml:space="preserve">ERP API calls (SuiteQL/OData)</w:t>
            </w:r>
          </w:p>
        </w:tc>
        <w:tc>
          <w:tcPr>
            <w:tcW w:type="dxa" w:w="2000"/>
            <w:tcBorders>
              <w:top w:val="single" w:color="D1D5DB" w:sz="1"/>
              <w:left w:val="single" w:color="D1D5DB" w:sz="1"/>
              <w:bottom w:val="single" w:color="D1D5DB" w:sz="1"/>
              <w:right w:val="single" w:color="D1D5DB" w:sz="1"/>
            </w:tcBorders>
            <w:shd w:fill="EFF6FF" w:val="clear"/>
            <w:tcMar>
              <w:top w:type="dxa" w:w="80"/>
              <w:left w:type="dxa" w:w="120"/>
              <w:bottom w:type="dxa" w:w="80"/>
              <w:right w:type="dxa" w:w="120"/>
            </w:tcMar>
          </w:tcPr>
          <w:p>
            <w:r>
              <w:rPr>
                <w:rFonts w:ascii="Arial" w:cs="Arial" w:eastAsia="Arial" w:hAnsi="Arial"/>
                <w:b w:val="false"/>
                <w:bCs w:val="false"/>
                <w:color w:val="111827"/>
                <w:sz w:val="18"/>
                <w:szCs w:val="18"/>
              </w:rPr>
              <w:t xml:space="preserve">$0.05–$0.20</w:t>
            </w:r>
          </w:p>
        </w:tc>
        <w:tc>
          <w:tcPr>
            <w:tcW w:type="dxa" w:w="2400"/>
            <w:tcBorders>
              <w:top w:val="single" w:color="D1D5DB" w:sz="1"/>
              <w:left w:val="single" w:color="D1D5DB" w:sz="1"/>
              <w:bottom w:val="single" w:color="D1D5DB" w:sz="1"/>
              <w:right w:val="single" w:color="D1D5DB" w:sz="1"/>
            </w:tcBorders>
            <w:shd w:fill="EFF6FF" w:val="clear"/>
            <w:tcMar>
              <w:top w:type="dxa" w:w="80"/>
              <w:left w:type="dxa" w:w="120"/>
              <w:bottom w:type="dxa" w:w="80"/>
              <w:right w:type="dxa" w:w="120"/>
            </w:tcMar>
          </w:tcPr>
          <w:p>
            <w:r>
              <w:rPr>
                <w:rFonts w:ascii="Arial" w:cs="Arial" w:eastAsia="Arial" w:hAnsi="Arial"/>
                <w:b w:val="false"/>
                <w:bCs w:val="false"/>
                <w:color w:val="111827"/>
                <w:sz w:val="18"/>
                <w:szCs w:val="18"/>
              </w:rPr>
              <w:t xml:space="preserve">2.5–10%</w:t>
            </w:r>
          </w:p>
        </w:tc>
        <w:tc>
          <w:tcPr>
            <w:tcW w:type="dxa" w:w="2560"/>
            <w:tcBorders>
              <w:top w:val="single" w:color="D1D5DB" w:sz="1"/>
              <w:left w:val="single" w:color="D1D5DB" w:sz="1"/>
              <w:bottom w:val="single" w:color="D1D5DB" w:sz="1"/>
              <w:right w:val="single" w:color="D1D5DB" w:sz="1"/>
            </w:tcBorders>
            <w:shd w:fill="EFF6FF" w:val="clear"/>
            <w:tcMar>
              <w:top w:type="dxa" w:w="80"/>
              <w:left w:type="dxa" w:w="120"/>
              <w:bottom w:type="dxa" w:w="80"/>
              <w:right w:type="dxa" w:w="120"/>
            </w:tcMar>
          </w:tcPr>
          <w:p>
            <w:r>
              <w:rPr>
                <w:rFonts w:ascii="Arial" w:cs="Arial" w:eastAsia="Arial" w:hAnsi="Arial"/>
                <w:b w:val="false"/>
                <w:bCs w:val="false"/>
                <w:color w:val="111827"/>
                <w:sz w:val="18"/>
                <w:szCs w:val="18"/>
              </w:rPr>
              <w:t xml:space="preserve">Varies by ERP. SuiteQL is free (included in NetSuite license). Dynamics OData minimal. SAP RFC may incur costs.</w:t>
            </w:r>
          </w:p>
        </w:tc>
      </w:tr>
      <w:tr>
        <w:tc>
          <w:tcPr>
            <w:tcW w:type="dxa" w:w="2400"/>
            <w:tcBorders>
              <w:top w:val="single" w:color="D1D5DB" w:sz="1"/>
              <w:left w:val="single" w:color="D1D5DB" w:sz="1"/>
              <w:bottom w:val="single" w:color="D1D5DB" w:sz="1"/>
              <w:right w:val="single" w:color="D1D5DB" w:sz="1"/>
            </w:tcBorders>
            <w:tcMar>
              <w:top w:type="dxa" w:w="80"/>
              <w:left w:type="dxa" w:w="120"/>
              <w:bottom w:type="dxa" w:w="80"/>
              <w:right w:type="dxa" w:w="120"/>
            </w:tcMar>
          </w:tcPr>
          <w:p>
            <w:r>
              <w:rPr>
                <w:rFonts w:ascii="Arial" w:cs="Arial" w:eastAsia="Arial" w:hAnsi="Arial"/>
                <w:b w:val="false"/>
                <w:bCs w:val="false"/>
                <w:color w:val="111827"/>
                <w:sz w:val="18"/>
                <w:szCs w:val="18"/>
              </w:rPr>
              <w:t xml:space="preserve">BigQuery compute (dbt transforms)</w:t>
            </w:r>
          </w:p>
        </w:tc>
        <w:tc>
          <w:tcPr>
            <w:tcW w:type="dxa" w:w="2000"/>
            <w:tcBorders>
              <w:top w:val="single" w:color="D1D5DB" w:sz="1"/>
              <w:left w:val="single" w:color="D1D5DB" w:sz="1"/>
              <w:bottom w:val="single" w:color="D1D5DB" w:sz="1"/>
              <w:right w:val="single" w:color="D1D5DB" w:sz="1"/>
            </w:tcBorders>
            <w:tcMar>
              <w:top w:type="dxa" w:w="80"/>
              <w:left w:type="dxa" w:w="120"/>
              <w:bottom w:type="dxa" w:w="80"/>
              <w:right w:type="dxa" w:w="120"/>
            </w:tcMar>
          </w:tcPr>
          <w:p>
            <w:r>
              <w:rPr>
                <w:rFonts w:ascii="Arial" w:cs="Arial" w:eastAsia="Arial" w:hAnsi="Arial"/>
                <w:b w:val="false"/>
                <w:bCs w:val="false"/>
                <w:color w:val="111827"/>
                <w:sz w:val="18"/>
                <w:szCs w:val="18"/>
              </w:rPr>
              <w:t xml:space="preserve">$0.10–$0.30</w:t>
            </w:r>
          </w:p>
        </w:tc>
        <w:tc>
          <w:tcPr>
            <w:tcW w:type="dxa" w:w="2400"/>
            <w:tcBorders>
              <w:top w:val="single" w:color="D1D5DB" w:sz="1"/>
              <w:left w:val="single" w:color="D1D5DB" w:sz="1"/>
              <w:bottom w:val="single" w:color="D1D5DB" w:sz="1"/>
              <w:right w:val="single" w:color="D1D5DB" w:sz="1"/>
            </w:tcBorders>
            <w:tcMar>
              <w:top w:type="dxa" w:w="80"/>
              <w:left w:type="dxa" w:w="120"/>
              <w:bottom w:type="dxa" w:w="80"/>
              <w:right w:type="dxa" w:w="120"/>
            </w:tcMar>
          </w:tcPr>
          <w:p>
            <w:r>
              <w:rPr>
                <w:rFonts w:ascii="Arial" w:cs="Arial" w:eastAsia="Arial" w:hAnsi="Arial"/>
                <w:b w:val="false"/>
                <w:bCs w:val="false"/>
                <w:color w:val="111827"/>
                <w:sz w:val="18"/>
                <w:szCs w:val="18"/>
              </w:rPr>
              <w:t xml:space="preserve">5–15%</w:t>
            </w:r>
          </w:p>
        </w:tc>
        <w:tc>
          <w:tcPr>
            <w:tcW w:type="dxa" w:w="2560"/>
            <w:tcBorders>
              <w:top w:val="single" w:color="D1D5DB" w:sz="1"/>
              <w:left w:val="single" w:color="D1D5DB" w:sz="1"/>
              <w:bottom w:val="single" w:color="D1D5DB" w:sz="1"/>
              <w:right w:val="single" w:color="D1D5DB" w:sz="1"/>
            </w:tcBorders>
            <w:tcMar>
              <w:top w:type="dxa" w:w="80"/>
              <w:left w:type="dxa" w:w="120"/>
              <w:bottom w:type="dxa" w:w="80"/>
              <w:right w:type="dxa" w:w="120"/>
            </w:tcMar>
          </w:tcPr>
          <w:p>
            <w:r>
              <w:rPr>
                <w:rFonts w:ascii="Arial" w:cs="Arial" w:eastAsia="Arial" w:hAnsi="Arial"/>
                <w:b w:val="false"/>
                <w:bCs w:val="false"/>
                <w:color w:val="111827"/>
                <w:sz w:val="18"/>
                <w:szCs w:val="18"/>
              </w:rPr>
              <w:t xml:space="preserve">BigQuery on-demand pricing: $6.25/TB scanned. dbt transforms are SQL-efficient. Cost scales with transformation complexity.</w:t>
            </w:r>
          </w:p>
        </w:tc>
      </w:tr>
      <w:tr>
        <w:tc>
          <w:tcPr>
            <w:tcW w:type="dxa" w:w="2400"/>
            <w:tcBorders>
              <w:top w:val="single" w:color="D1D5DB" w:sz="1"/>
              <w:left w:val="single" w:color="D1D5DB" w:sz="1"/>
              <w:bottom w:val="single" w:color="D1D5DB" w:sz="1"/>
              <w:right w:val="single" w:color="D1D5DB" w:sz="1"/>
            </w:tcBorders>
            <w:shd w:fill="EFF6FF" w:val="clear"/>
            <w:tcMar>
              <w:top w:type="dxa" w:w="80"/>
              <w:left w:type="dxa" w:w="120"/>
              <w:bottom w:type="dxa" w:w="80"/>
              <w:right w:type="dxa" w:w="120"/>
            </w:tcMar>
          </w:tcPr>
          <w:p>
            <w:r>
              <w:rPr>
                <w:rFonts w:ascii="Arial" w:cs="Arial" w:eastAsia="Arial" w:hAnsi="Arial"/>
                <w:b w:val="false"/>
                <w:bCs w:val="false"/>
                <w:color w:val="111827"/>
                <w:sz w:val="18"/>
                <w:szCs w:val="18"/>
              </w:rPr>
              <w:t xml:space="preserve">BigQuery storage</w:t>
            </w:r>
          </w:p>
        </w:tc>
        <w:tc>
          <w:tcPr>
            <w:tcW w:type="dxa" w:w="2000"/>
            <w:tcBorders>
              <w:top w:val="single" w:color="D1D5DB" w:sz="1"/>
              <w:left w:val="single" w:color="D1D5DB" w:sz="1"/>
              <w:bottom w:val="single" w:color="D1D5DB" w:sz="1"/>
              <w:right w:val="single" w:color="D1D5DB" w:sz="1"/>
            </w:tcBorders>
            <w:shd w:fill="EFF6FF" w:val="clear"/>
            <w:tcMar>
              <w:top w:type="dxa" w:w="80"/>
              <w:left w:type="dxa" w:w="120"/>
              <w:bottom w:type="dxa" w:w="80"/>
              <w:right w:type="dxa" w:w="120"/>
            </w:tcMar>
          </w:tcPr>
          <w:p>
            <w:r>
              <w:rPr>
                <w:rFonts w:ascii="Arial" w:cs="Arial" w:eastAsia="Arial" w:hAnsi="Arial"/>
                <w:b w:val="false"/>
                <w:bCs w:val="false"/>
                <w:color w:val="111827"/>
                <w:sz w:val="18"/>
                <w:szCs w:val="18"/>
              </w:rPr>
              <w:t xml:space="preserve">$0.02–$0.04</w:t>
            </w:r>
          </w:p>
        </w:tc>
        <w:tc>
          <w:tcPr>
            <w:tcW w:type="dxa" w:w="2400"/>
            <w:tcBorders>
              <w:top w:val="single" w:color="D1D5DB" w:sz="1"/>
              <w:left w:val="single" w:color="D1D5DB" w:sz="1"/>
              <w:bottom w:val="single" w:color="D1D5DB" w:sz="1"/>
              <w:right w:val="single" w:color="D1D5DB" w:sz="1"/>
            </w:tcBorders>
            <w:shd w:fill="EFF6FF" w:val="clear"/>
            <w:tcMar>
              <w:top w:type="dxa" w:w="80"/>
              <w:left w:type="dxa" w:w="120"/>
              <w:bottom w:type="dxa" w:w="80"/>
              <w:right w:type="dxa" w:w="120"/>
            </w:tcMar>
          </w:tcPr>
          <w:p>
            <w:r>
              <w:rPr>
                <w:rFonts w:ascii="Arial" w:cs="Arial" w:eastAsia="Arial" w:hAnsi="Arial"/>
                <w:b w:val="false"/>
                <w:bCs w:val="false"/>
                <w:color w:val="111827"/>
                <w:sz w:val="18"/>
                <w:szCs w:val="18"/>
              </w:rPr>
              <w:t xml:space="preserve">1–2%</w:t>
            </w:r>
          </w:p>
        </w:tc>
        <w:tc>
          <w:tcPr>
            <w:tcW w:type="dxa" w:w="2560"/>
            <w:tcBorders>
              <w:top w:val="single" w:color="D1D5DB" w:sz="1"/>
              <w:left w:val="single" w:color="D1D5DB" w:sz="1"/>
              <w:bottom w:val="single" w:color="D1D5DB" w:sz="1"/>
              <w:right w:val="single" w:color="D1D5DB" w:sz="1"/>
            </w:tcBorders>
            <w:shd w:fill="EFF6FF" w:val="clear"/>
            <w:tcMar>
              <w:top w:type="dxa" w:w="80"/>
              <w:left w:type="dxa" w:w="120"/>
              <w:bottom w:type="dxa" w:w="80"/>
              <w:right w:type="dxa" w:w="120"/>
            </w:tcMar>
          </w:tcPr>
          <w:p>
            <w:r>
              <w:rPr>
                <w:rFonts w:ascii="Arial" w:cs="Arial" w:eastAsia="Arial" w:hAnsi="Arial"/>
                <w:b w:val="false"/>
                <w:bCs w:val="false"/>
                <w:color w:val="111827"/>
                <w:sz w:val="18"/>
                <w:szCs w:val="18"/>
              </w:rPr>
              <w:t xml:space="preserve">$0.02/GB/month for active storage. GL data is compact (avg 500 bytes/row). 1M rows ≈ 500MB.</w:t>
            </w:r>
          </w:p>
        </w:tc>
      </w:tr>
      <w:tr>
        <w:tc>
          <w:tcPr>
            <w:tcW w:type="dxa" w:w="2400"/>
            <w:tcBorders>
              <w:top w:val="single" w:color="D1D5DB" w:sz="1"/>
              <w:left w:val="single" w:color="D1D5DB" w:sz="1"/>
              <w:bottom w:val="single" w:color="D1D5DB" w:sz="1"/>
              <w:right w:val="single" w:color="D1D5DB" w:sz="1"/>
            </w:tcBorders>
            <w:tcMar>
              <w:top w:type="dxa" w:w="80"/>
              <w:left w:type="dxa" w:w="120"/>
              <w:bottom w:type="dxa" w:w="80"/>
              <w:right w:type="dxa" w:w="120"/>
            </w:tcMar>
          </w:tcPr>
          <w:p>
            <w:r>
              <w:rPr>
                <w:rFonts w:ascii="Arial" w:cs="Arial" w:eastAsia="Arial" w:hAnsi="Arial"/>
                <w:b w:val="false"/>
                <w:bCs w:val="false"/>
                <w:color w:val="111827"/>
                <w:sz w:val="18"/>
                <w:szCs w:val="18"/>
              </w:rPr>
              <w:t xml:space="preserve">Cloud Run compute (worker)</w:t>
            </w:r>
          </w:p>
        </w:tc>
        <w:tc>
          <w:tcPr>
            <w:tcW w:type="dxa" w:w="2000"/>
            <w:tcBorders>
              <w:top w:val="single" w:color="D1D5DB" w:sz="1"/>
              <w:left w:val="single" w:color="D1D5DB" w:sz="1"/>
              <w:bottom w:val="single" w:color="D1D5DB" w:sz="1"/>
              <w:right w:val="single" w:color="D1D5DB" w:sz="1"/>
            </w:tcBorders>
            <w:tcMar>
              <w:top w:type="dxa" w:w="80"/>
              <w:left w:type="dxa" w:w="120"/>
              <w:bottom w:type="dxa" w:w="80"/>
              <w:right w:type="dxa" w:w="120"/>
            </w:tcMar>
          </w:tcPr>
          <w:p>
            <w:r>
              <w:rPr>
                <w:rFonts w:ascii="Arial" w:cs="Arial" w:eastAsia="Arial" w:hAnsi="Arial"/>
                <w:b w:val="false"/>
                <w:bCs w:val="false"/>
                <w:color w:val="111827"/>
                <w:sz w:val="18"/>
                <w:szCs w:val="18"/>
              </w:rPr>
              <w:t xml:space="preserve">$0.05–$0.15</w:t>
            </w:r>
          </w:p>
        </w:tc>
        <w:tc>
          <w:tcPr>
            <w:tcW w:type="dxa" w:w="2400"/>
            <w:tcBorders>
              <w:top w:val="single" w:color="D1D5DB" w:sz="1"/>
              <w:left w:val="single" w:color="D1D5DB" w:sz="1"/>
              <w:bottom w:val="single" w:color="D1D5DB" w:sz="1"/>
              <w:right w:val="single" w:color="D1D5DB" w:sz="1"/>
            </w:tcBorders>
            <w:tcMar>
              <w:top w:type="dxa" w:w="80"/>
              <w:left w:type="dxa" w:w="120"/>
              <w:bottom w:type="dxa" w:w="80"/>
              <w:right w:type="dxa" w:w="120"/>
            </w:tcMar>
          </w:tcPr>
          <w:p>
            <w:r>
              <w:rPr>
                <w:rFonts w:ascii="Arial" w:cs="Arial" w:eastAsia="Arial" w:hAnsi="Arial"/>
                <w:b w:val="false"/>
                <w:bCs w:val="false"/>
                <w:color w:val="111827"/>
                <w:sz w:val="18"/>
                <w:szCs w:val="18"/>
              </w:rPr>
              <w:t xml:space="preserve">2.5–7.5%</w:t>
            </w:r>
          </w:p>
        </w:tc>
        <w:tc>
          <w:tcPr>
            <w:tcW w:type="dxa" w:w="2560"/>
            <w:tcBorders>
              <w:top w:val="single" w:color="D1D5DB" w:sz="1"/>
              <w:left w:val="single" w:color="D1D5DB" w:sz="1"/>
              <w:bottom w:val="single" w:color="D1D5DB" w:sz="1"/>
              <w:right w:val="single" w:color="D1D5DB" w:sz="1"/>
            </w:tcBorders>
            <w:tcMar>
              <w:top w:type="dxa" w:w="80"/>
              <w:left w:type="dxa" w:w="120"/>
              <w:bottom w:type="dxa" w:w="80"/>
              <w:right w:type="dxa" w:w="120"/>
            </w:tcMar>
          </w:tcPr>
          <w:p>
            <w:r>
              <w:rPr>
                <w:rFonts w:ascii="Arial" w:cs="Arial" w:eastAsia="Arial" w:hAnsi="Arial"/>
                <w:b w:val="false"/>
                <w:bCs w:val="false"/>
                <w:color w:val="111827"/>
                <w:sz w:val="18"/>
                <w:szCs w:val="18"/>
              </w:rPr>
              <w:t xml:space="preserve">Cloud Run CPU/memory during extraction. Scales to zero when idle.</w:t>
            </w:r>
          </w:p>
        </w:tc>
      </w:tr>
      <w:tr>
        <w:tc>
          <w:tcPr>
            <w:tcW w:type="dxa" w:w="2400"/>
            <w:tcBorders>
              <w:top w:val="single" w:color="D1D5DB" w:sz="1"/>
              <w:left w:val="single" w:color="D1D5DB" w:sz="1"/>
              <w:bottom w:val="single" w:color="D1D5DB" w:sz="1"/>
              <w:right w:val="single" w:color="D1D5DB" w:sz="1"/>
            </w:tcBorders>
            <w:shd w:fill="EFF6FF" w:val="clear"/>
            <w:tcMar>
              <w:top w:type="dxa" w:w="80"/>
              <w:left w:type="dxa" w:w="120"/>
              <w:bottom w:type="dxa" w:w="80"/>
              <w:right w:type="dxa" w:w="120"/>
            </w:tcMar>
          </w:tcPr>
          <w:p>
            <w:r>
              <w:rPr>
                <w:rFonts w:ascii="Arial" w:cs="Arial" w:eastAsia="Arial" w:hAnsi="Arial"/>
                <w:b w:val="false"/>
                <w:bCs w:val="false"/>
                <w:color w:val="111827"/>
                <w:sz w:val="18"/>
                <w:szCs w:val="18"/>
              </w:rPr>
              <w:t xml:space="preserve">Dagster orchestration</w:t>
            </w:r>
          </w:p>
        </w:tc>
        <w:tc>
          <w:tcPr>
            <w:tcW w:type="dxa" w:w="2000"/>
            <w:tcBorders>
              <w:top w:val="single" w:color="D1D5DB" w:sz="1"/>
              <w:left w:val="single" w:color="D1D5DB" w:sz="1"/>
              <w:bottom w:val="single" w:color="D1D5DB" w:sz="1"/>
              <w:right w:val="single" w:color="D1D5DB" w:sz="1"/>
            </w:tcBorders>
            <w:shd w:fill="EFF6FF" w:val="clear"/>
            <w:tcMar>
              <w:top w:type="dxa" w:w="80"/>
              <w:left w:type="dxa" w:w="120"/>
              <w:bottom w:type="dxa" w:w="80"/>
              <w:right w:type="dxa" w:w="120"/>
            </w:tcMar>
          </w:tcPr>
          <w:p>
            <w:r>
              <w:rPr>
                <w:rFonts w:ascii="Arial" w:cs="Arial" w:eastAsia="Arial" w:hAnsi="Arial"/>
                <w:b w:val="false"/>
                <w:bCs w:val="false"/>
                <w:color w:val="111827"/>
                <w:sz w:val="18"/>
                <w:szCs w:val="18"/>
              </w:rPr>
              <w:t xml:space="preserve">~$0.01</w:t>
            </w:r>
          </w:p>
        </w:tc>
        <w:tc>
          <w:tcPr>
            <w:tcW w:type="dxa" w:w="2400"/>
            <w:tcBorders>
              <w:top w:val="single" w:color="D1D5DB" w:sz="1"/>
              <w:left w:val="single" w:color="D1D5DB" w:sz="1"/>
              <w:bottom w:val="single" w:color="D1D5DB" w:sz="1"/>
              <w:right w:val="single" w:color="D1D5DB" w:sz="1"/>
            </w:tcBorders>
            <w:shd w:fill="EFF6FF" w:val="clear"/>
            <w:tcMar>
              <w:top w:type="dxa" w:w="80"/>
              <w:left w:type="dxa" w:w="120"/>
              <w:bottom w:type="dxa" w:w="80"/>
              <w:right w:type="dxa" w:w="120"/>
            </w:tcMar>
          </w:tcPr>
          <w:p>
            <w:r>
              <w:rPr>
                <w:rFonts w:ascii="Arial" w:cs="Arial" w:eastAsia="Arial" w:hAnsi="Arial"/>
                <w:b w:val="false"/>
                <w:bCs w:val="false"/>
                <w:color w:val="111827"/>
                <w:sz w:val="18"/>
                <w:szCs w:val="18"/>
              </w:rPr>
              <w:t xml:space="preserve">&lt;1%</w:t>
            </w:r>
          </w:p>
        </w:tc>
        <w:tc>
          <w:tcPr>
            <w:tcW w:type="dxa" w:w="2560"/>
            <w:tcBorders>
              <w:top w:val="single" w:color="D1D5DB" w:sz="1"/>
              <w:left w:val="single" w:color="D1D5DB" w:sz="1"/>
              <w:bottom w:val="single" w:color="D1D5DB" w:sz="1"/>
              <w:right w:val="single" w:color="D1D5DB" w:sz="1"/>
            </w:tcBorders>
            <w:shd w:fill="EFF6FF" w:val="clear"/>
            <w:tcMar>
              <w:top w:type="dxa" w:w="80"/>
              <w:left w:type="dxa" w:w="120"/>
              <w:bottom w:type="dxa" w:w="80"/>
              <w:right w:type="dxa" w:w="120"/>
            </w:tcMar>
          </w:tcPr>
          <w:p>
            <w:r>
              <w:rPr>
                <w:rFonts w:ascii="Arial" w:cs="Arial" w:eastAsia="Arial" w:hAnsi="Arial"/>
                <w:b w:val="false"/>
                <w:bCs w:val="false"/>
                <w:color w:val="111827"/>
                <w:sz w:val="18"/>
                <w:szCs w:val="18"/>
              </w:rPr>
              <w:t xml:space="preserve">Dagster Cloud pricing based on compute-seconds. Pipeline orchestration is lightweight.</w:t>
            </w:r>
          </w:p>
        </w:tc>
      </w:tr>
      <w:tr>
        <w:tc>
          <w:tcPr>
            <w:tcW w:type="dxa" w:w="2400"/>
            <w:tcBorders>
              <w:top w:val="single" w:color="D1D5DB" w:sz="1"/>
              <w:left w:val="single" w:color="D1D5DB" w:sz="1"/>
              <w:bottom w:val="single" w:color="D1D5DB" w:sz="1"/>
              <w:right w:val="single" w:color="D1D5DB" w:sz="1"/>
            </w:tcBorders>
            <w:tcMar>
              <w:top w:type="dxa" w:w="80"/>
              <w:left w:type="dxa" w:w="120"/>
              <w:bottom w:type="dxa" w:w="80"/>
              <w:right w:type="dxa" w:w="120"/>
            </w:tcMar>
          </w:tcPr>
          <w:p>
            <w:r>
              <w:rPr>
                <w:rFonts w:ascii="Arial" w:cs="Arial" w:eastAsia="Arial" w:hAnsi="Arial"/>
                <w:b w:val="false"/>
                <w:bCs w:val="false"/>
                <w:color w:val="111827"/>
                <w:sz w:val="18"/>
                <w:szCs w:val="18"/>
              </w:rPr>
              <w:t xml:space="preserve">Total COGS per 1M FCU</w:t>
            </w:r>
          </w:p>
        </w:tc>
        <w:tc>
          <w:tcPr>
            <w:tcW w:type="dxa" w:w="2000"/>
            <w:tcBorders>
              <w:top w:val="single" w:color="D1D5DB" w:sz="1"/>
              <w:left w:val="single" w:color="D1D5DB" w:sz="1"/>
              <w:bottom w:val="single" w:color="D1D5DB" w:sz="1"/>
              <w:right w:val="single" w:color="D1D5DB" w:sz="1"/>
            </w:tcBorders>
            <w:tcMar>
              <w:top w:type="dxa" w:w="80"/>
              <w:left w:type="dxa" w:w="120"/>
              <w:bottom w:type="dxa" w:w="80"/>
              <w:right w:type="dxa" w:w="120"/>
            </w:tcMar>
          </w:tcPr>
          <w:p>
            <w:r>
              <w:rPr>
                <w:rFonts w:ascii="Arial" w:cs="Arial" w:eastAsia="Arial" w:hAnsi="Arial"/>
                <w:b w:val="false"/>
                <w:bCs w:val="false"/>
                <w:color w:val="111827"/>
                <w:sz w:val="18"/>
                <w:szCs w:val="18"/>
              </w:rPr>
              <w:t xml:space="preserve">$0.23–$0.70</w:t>
            </w:r>
          </w:p>
        </w:tc>
        <w:tc>
          <w:tcPr>
            <w:tcW w:type="dxa" w:w="2400"/>
            <w:tcBorders>
              <w:top w:val="single" w:color="D1D5DB" w:sz="1"/>
              <w:left w:val="single" w:color="D1D5DB" w:sz="1"/>
              <w:bottom w:val="single" w:color="D1D5DB" w:sz="1"/>
              <w:right w:val="single" w:color="D1D5DB" w:sz="1"/>
            </w:tcBorders>
            <w:tcMar>
              <w:top w:type="dxa" w:w="80"/>
              <w:left w:type="dxa" w:w="120"/>
              <w:bottom w:type="dxa" w:w="80"/>
              <w:right w:type="dxa" w:w="120"/>
            </w:tcMar>
          </w:tcPr>
          <w:p>
            <w:r>
              <w:rPr>
                <w:rFonts w:ascii="Arial" w:cs="Arial" w:eastAsia="Arial" w:hAnsi="Arial"/>
                <w:b w:val="false"/>
                <w:bCs w:val="false"/>
                <w:color w:val="111827"/>
                <w:sz w:val="18"/>
                <w:szCs w:val="18"/>
              </w:rPr>
              <w:t xml:space="preserve">11.5–35%</w:t>
            </w:r>
          </w:p>
        </w:tc>
        <w:tc>
          <w:tcPr>
            <w:tcW w:type="dxa" w:w="2560"/>
            <w:tcBorders>
              <w:top w:val="single" w:color="D1D5DB" w:sz="1"/>
              <w:left w:val="single" w:color="D1D5DB" w:sz="1"/>
              <w:bottom w:val="single" w:color="D1D5DB" w:sz="1"/>
              <w:right w:val="single" w:color="D1D5DB" w:sz="1"/>
            </w:tcBorders>
            <w:tcMar>
              <w:top w:type="dxa" w:w="80"/>
              <w:left w:type="dxa" w:w="120"/>
              <w:bottom w:type="dxa" w:w="80"/>
              <w:right w:type="dxa" w:w="120"/>
            </w:tcMar>
          </w:tcPr>
          <w:p>
            <w:r>
              <w:rPr>
                <w:rFonts w:ascii="Arial" w:cs="Arial" w:eastAsia="Arial" w:hAnsi="Arial"/>
                <w:b w:val="false"/>
                <w:bCs w:val="false"/>
                <w:color w:val="111827"/>
                <w:sz w:val="18"/>
                <w:szCs w:val="18"/>
              </w:rPr>
              <w:t xml:space="preserve">Target gross margin on FCU: 65–88.5%. Margin improves with volume (BigQuery gets cheaper at scale).</w:t>
            </w:r>
          </w:p>
        </w:tc>
      </w:tr>
    </w:tbl>
    <w:p>
      <w:pPr>
        <w:spacing w:after="80"/>
      </w:pPr>
    </w:p>
    <w:p>
      <w:pPr>
        <w:pStyle w:val="Heading1"/>
      </w:pPr>
      <w:r>
        <w:t xml:space="preserve">4. Financial Intelligence Query Units (FIQ)</w:t>
      </w:r>
    </w:p>
    <w:p>
      <w:pPr>
        <w:pStyle w:val="Heading2"/>
      </w:pPr>
      <w:r>
        <w:t xml:space="preserve">4.1 Definition</w:t>
      </w:r>
    </w:p>
    <w:p>
      <w:pPr>
        <w:spacing w:after="160"/>
      </w:pPr>
      <w:r>
        <w:rPr>
          <w:rFonts w:ascii="Arial" w:cs="Arial" w:eastAsia="Arial" w:hAnsi="Arial"/>
          <w:color w:val="111827"/>
          <w:sz w:val="22"/>
          <w:szCs w:val="22"/>
        </w:rPr>
        <w:t xml:space="preserve">FIQ represents a weighted unit of financial data interaction. Every time a human user or AI agent queries PipeLedger’s financial data — via the MCP server, REST API, or the PipeLedger UI — the interaction consumes FIQ. FIQ unifies structured data access and AI-driven intelligence into a single commercial metric, regardless of the consumer’s identity (human or agent).</w:t>
      </w:r>
    </w:p>
    <w:p>
      <w:pPr>
        <w:spacing w:after="160"/>
      </w:pPr>
      <w:r>
        <w:rPr>
          <w:rFonts w:ascii="Arial" w:cs="Arial" w:eastAsia="Arial" w:hAnsi="Arial"/>
          <w:b/>
          <w:bCs/>
          <w:color w:val="111827"/>
          <w:sz w:val="22"/>
          <w:szCs w:val="22"/>
        </w:rPr>
        <w:t xml:space="preserve">Why FIQ matters strategically: </w:t>
      </w:r>
      <w:r>
        <w:rPr>
          <w:rFonts w:ascii="Arial" w:cs="Arial" w:eastAsia="Arial" w:hAnsi="Arial"/>
          <w:color w:val="111827"/>
          <w:sz w:val="22"/>
          <w:szCs w:val="22"/>
        </w:rPr>
        <w:t xml:space="preserve">A customer with 3 human users might consume 500 FIQ/month from the UI. The same customer with 5 AI agents (Claude for board reporting, GPT for expense analysis, a custom agent for cash flow forecasting, etc.) might consume 50,000 FIQ/month. FIQ is the metric that captures the exponential value of AI agent adoption. As the number and sophistication of AI agents grows, FIQ revenue grows proportionally — without requiring more human users.</w:t>
      </w:r>
    </w:p>
    <w:p>
      <w:pPr>
        <w:pStyle w:val="Heading2"/>
      </w:pPr>
      <w:r>
        <w:t xml:space="preserve">4.2 FIQ Weighting Model (Internal — Not Customer-Visible)</w:t>
      </w:r>
    </w:p>
    <w:p>
      <w:pPr>
        <w:spacing w:after="160"/>
      </w:pPr>
      <w:r>
        <w:rPr>
          <w:rFonts w:ascii="Arial" w:cs="Arial" w:eastAsia="Arial" w:hAnsi="Arial"/>
          <w:color w:val="111827"/>
          <w:sz w:val="22"/>
          <w:szCs w:val="22"/>
        </w:rPr>
        <w:t xml:space="preserve">Customers see a single FIQ count on their invoice. The internal weighting model translates heterogeneous interactions into comparable units. The weighting is based on BigQuery compute cost, LLM token consumption (if applicable), and interaction complexity. This model is not exposed to customers — they see FIQ as an opaque unit.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800"/>
        <w:gridCol w:w="2200"/>
        <w:gridCol w:w="2000"/>
        <w:gridCol w:w="1960"/>
      </w:tblGrid>
      <w:tr>
        <w:tc>
          <w:tcPr>
            <w:tcW w:type="dxa" w:w="2400"/>
            <w:tcBorders>
              <w:top w:val="single" w:color="D1D5DB" w:sz="1"/>
              <w:left w:val="single" w:color="D1D5DB" w:sz="1"/>
              <w:bottom w:val="single" w:color="D1D5DB" w:sz="1"/>
              <w:right w:val="single" w:color="D1D5DB" w:sz="1"/>
            </w:tcBorders>
            <w:shd w:fill="1E3A5F" w:val="clear"/>
            <w:tcMar>
              <w:top w:type="dxa" w:w="80"/>
              <w:left w:type="dxa" w:w="120"/>
              <w:bottom w:type="dxa" w:w="80"/>
              <w:right w:type="dxa" w:w="120"/>
            </w:tcMar>
          </w:tcPr>
          <w:p>
            <w:r>
              <w:rPr>
                <w:rFonts w:ascii="Arial" w:cs="Arial" w:eastAsia="Arial" w:hAnsi="Arial"/>
                <w:b/>
                <w:bCs/>
                <w:color w:val="FFFFFF"/>
                <w:sz w:val="17"/>
                <w:szCs w:val="17"/>
              </w:rPr>
              <w:t xml:space="preserve">Interaction Type</w:t>
            </w:r>
          </w:p>
        </w:tc>
        <w:tc>
          <w:tcPr>
            <w:tcW w:type="dxa" w:w="800"/>
            <w:tcBorders>
              <w:top w:val="single" w:color="D1D5DB" w:sz="1"/>
              <w:left w:val="single" w:color="D1D5DB" w:sz="1"/>
              <w:bottom w:val="single" w:color="D1D5DB" w:sz="1"/>
              <w:right w:val="single" w:color="D1D5DB" w:sz="1"/>
            </w:tcBorders>
            <w:shd w:fill="1E3A5F" w:val="clear"/>
            <w:tcMar>
              <w:top w:type="dxa" w:w="80"/>
              <w:left w:type="dxa" w:w="120"/>
              <w:bottom w:type="dxa" w:w="80"/>
              <w:right w:type="dxa" w:w="120"/>
            </w:tcMar>
          </w:tcPr>
          <w:p>
            <w:r>
              <w:rPr>
                <w:rFonts w:ascii="Arial" w:cs="Arial" w:eastAsia="Arial" w:hAnsi="Arial"/>
                <w:b/>
                <w:bCs/>
                <w:color w:val="FFFFFF"/>
                <w:sz w:val="17"/>
                <w:szCs w:val="17"/>
              </w:rPr>
              <w:t xml:space="preserve">FIQ</w:t>
            </w:r>
          </w:p>
        </w:tc>
        <w:tc>
          <w:tcPr>
            <w:tcW w:type="dxa" w:w="2200"/>
            <w:tcBorders>
              <w:top w:val="single" w:color="D1D5DB" w:sz="1"/>
              <w:left w:val="single" w:color="D1D5DB" w:sz="1"/>
              <w:bottom w:val="single" w:color="D1D5DB" w:sz="1"/>
              <w:right w:val="single" w:color="D1D5DB" w:sz="1"/>
            </w:tcBorders>
            <w:shd w:fill="1E3A5F" w:val="clear"/>
            <w:tcMar>
              <w:top w:type="dxa" w:w="80"/>
              <w:left w:type="dxa" w:w="120"/>
              <w:bottom w:type="dxa" w:w="80"/>
              <w:right w:type="dxa" w:w="120"/>
            </w:tcMar>
          </w:tcPr>
          <w:p>
            <w:r>
              <w:rPr>
                <w:rFonts w:ascii="Arial" w:cs="Arial" w:eastAsia="Arial" w:hAnsi="Arial"/>
                <w:b/>
                <w:bCs/>
                <w:color w:val="FFFFFF"/>
                <w:sz w:val="17"/>
                <w:szCs w:val="17"/>
              </w:rPr>
              <w:t xml:space="preserve">BigQuery Cost Driver</w:t>
            </w:r>
          </w:p>
        </w:tc>
        <w:tc>
          <w:tcPr>
            <w:tcW w:type="dxa" w:w="2000"/>
            <w:tcBorders>
              <w:top w:val="single" w:color="D1D5DB" w:sz="1"/>
              <w:left w:val="single" w:color="D1D5DB" w:sz="1"/>
              <w:bottom w:val="single" w:color="D1D5DB" w:sz="1"/>
              <w:right w:val="single" w:color="D1D5DB" w:sz="1"/>
            </w:tcBorders>
            <w:shd w:fill="1E3A5F" w:val="clear"/>
            <w:tcMar>
              <w:top w:type="dxa" w:w="80"/>
              <w:left w:type="dxa" w:w="120"/>
              <w:bottom w:type="dxa" w:w="80"/>
              <w:right w:type="dxa" w:w="120"/>
            </w:tcMar>
          </w:tcPr>
          <w:p>
            <w:r>
              <w:rPr>
                <w:rFonts w:ascii="Arial" w:cs="Arial" w:eastAsia="Arial" w:hAnsi="Arial"/>
                <w:b/>
                <w:bCs/>
                <w:color w:val="FFFFFF"/>
                <w:sz w:val="17"/>
                <w:szCs w:val="17"/>
              </w:rPr>
              <w:t xml:space="preserve">LLM Cost Driver</w:t>
            </w:r>
          </w:p>
        </w:tc>
        <w:tc>
          <w:tcPr>
            <w:tcW w:type="dxa" w:w="1960"/>
            <w:tcBorders>
              <w:top w:val="single" w:color="D1D5DB" w:sz="1"/>
              <w:left w:val="single" w:color="D1D5DB" w:sz="1"/>
              <w:bottom w:val="single" w:color="D1D5DB" w:sz="1"/>
              <w:right w:val="single" w:color="D1D5DB" w:sz="1"/>
            </w:tcBorders>
            <w:shd w:fill="1E3A5F" w:val="clear"/>
            <w:tcMar>
              <w:top w:type="dxa" w:w="80"/>
              <w:left w:type="dxa" w:w="120"/>
              <w:bottom w:type="dxa" w:w="80"/>
              <w:right w:type="dxa" w:w="120"/>
            </w:tcMar>
          </w:tcPr>
          <w:p>
            <w:r>
              <w:rPr>
                <w:rFonts w:ascii="Arial" w:cs="Arial" w:eastAsia="Arial" w:hAnsi="Arial"/>
                <w:b/>
                <w:bCs/>
                <w:color w:val="FFFFFF"/>
                <w:sz w:val="17"/>
                <w:szCs w:val="17"/>
              </w:rPr>
              <w:t xml:space="preserve">Example</w:t>
            </w:r>
          </w:p>
        </w:tc>
      </w:tr>
      <w:tr>
        <w:tc>
          <w:tcPr>
            <w:tcW w:type="dxa" w:w="2400"/>
            <w:tcBorders>
              <w:top w:val="single" w:color="D1D5DB" w:sz="1"/>
              <w:left w:val="single" w:color="D1D5DB" w:sz="1"/>
              <w:bottom w:val="single" w:color="D1D5DB" w:sz="1"/>
              <w:right w:val="single" w:color="D1D5DB" w:sz="1"/>
            </w:tcBorders>
            <w:shd w:fill="EFF6FF" w:val="clear"/>
            <w:tcMar>
              <w:top w:type="dxa" w:w="80"/>
              <w:left w:type="dxa" w:w="120"/>
              <w:bottom w:type="dxa" w:w="80"/>
              <w:right w:type="dxa" w:w="120"/>
            </w:tcMar>
          </w:tcPr>
          <w:p>
            <w:r>
              <w:rPr>
                <w:rFonts w:ascii="Arial" w:cs="Arial" w:eastAsia="Arial" w:hAnsi="Arial"/>
                <w:b w:val="false"/>
                <w:bCs w:val="false"/>
                <w:color w:val="111827"/>
                <w:sz w:val="18"/>
                <w:szCs w:val="18"/>
              </w:rPr>
              <w:t xml:space="preserve">Simple structured query (MCP resource read)</w:t>
            </w:r>
          </w:p>
        </w:tc>
        <w:tc>
          <w:tcPr>
            <w:tcW w:type="dxa" w:w="800"/>
            <w:tcBorders>
              <w:top w:val="single" w:color="D1D5DB" w:sz="1"/>
              <w:left w:val="single" w:color="D1D5DB" w:sz="1"/>
              <w:bottom w:val="single" w:color="D1D5DB" w:sz="1"/>
              <w:right w:val="single" w:color="D1D5DB" w:sz="1"/>
            </w:tcBorders>
            <w:shd w:fill="EFF6FF" w:val="clear"/>
            <w:tcMar>
              <w:top w:type="dxa" w:w="80"/>
              <w:left w:type="dxa" w:w="120"/>
              <w:bottom w:type="dxa" w:w="80"/>
              <w:right w:type="dxa" w:w="120"/>
            </w:tcMar>
          </w:tcPr>
          <w:p>
            <w:r>
              <w:rPr>
                <w:rFonts w:ascii="Arial" w:cs="Arial" w:eastAsia="Arial" w:hAnsi="Arial"/>
                <w:b w:val="false"/>
                <w:bCs w:val="false"/>
                <w:color w:val="111827"/>
                <w:sz w:val="18"/>
                <w:szCs w:val="18"/>
              </w:rPr>
              <w:t xml:space="preserve">1</w:t>
            </w:r>
          </w:p>
        </w:tc>
        <w:tc>
          <w:tcPr>
            <w:tcW w:type="dxa" w:w="2200"/>
            <w:tcBorders>
              <w:top w:val="single" w:color="D1D5DB" w:sz="1"/>
              <w:left w:val="single" w:color="D1D5DB" w:sz="1"/>
              <w:bottom w:val="single" w:color="D1D5DB" w:sz="1"/>
              <w:right w:val="single" w:color="D1D5DB" w:sz="1"/>
            </w:tcBorders>
            <w:shd w:fill="EFF6FF" w:val="clear"/>
            <w:tcMar>
              <w:top w:type="dxa" w:w="80"/>
              <w:left w:type="dxa" w:w="120"/>
              <w:bottom w:type="dxa" w:w="80"/>
              <w:right w:type="dxa" w:w="120"/>
            </w:tcMar>
          </w:tcPr>
          <w:p>
            <w:r>
              <w:rPr>
                <w:rFonts w:ascii="Arial" w:cs="Arial" w:eastAsia="Arial" w:hAnsi="Arial"/>
                <w:b w:val="false"/>
                <w:bCs w:val="false"/>
                <w:color w:val="111827"/>
                <w:sz w:val="18"/>
                <w:szCs w:val="18"/>
              </w:rPr>
              <w:t xml:space="preserve">Small scan (&lt;10MB)</w:t>
            </w:r>
          </w:p>
        </w:tc>
        <w:tc>
          <w:tcPr>
            <w:tcW w:type="dxa" w:w="2000"/>
            <w:tcBorders>
              <w:top w:val="single" w:color="D1D5DB" w:sz="1"/>
              <w:left w:val="single" w:color="D1D5DB" w:sz="1"/>
              <w:bottom w:val="single" w:color="D1D5DB" w:sz="1"/>
              <w:right w:val="single" w:color="D1D5DB" w:sz="1"/>
            </w:tcBorders>
            <w:shd w:fill="EFF6FF" w:val="clear"/>
            <w:tcMar>
              <w:top w:type="dxa" w:w="80"/>
              <w:left w:type="dxa" w:w="120"/>
              <w:bottom w:type="dxa" w:w="80"/>
              <w:right w:type="dxa" w:w="120"/>
            </w:tcMar>
          </w:tcPr>
          <w:p>
            <w:r>
              <w:rPr>
                <w:rFonts w:ascii="Arial" w:cs="Arial" w:eastAsia="Arial" w:hAnsi="Arial"/>
                <w:b w:val="false"/>
                <w:bCs w:val="false"/>
                <w:color w:val="111827"/>
                <w:sz w:val="18"/>
                <w:szCs w:val="18"/>
              </w:rPr>
              <w:t xml:space="preserve">None</w:t>
            </w:r>
          </w:p>
        </w:tc>
        <w:tc>
          <w:tcPr>
            <w:tcW w:type="dxa" w:w="1960"/>
            <w:tcBorders>
              <w:top w:val="single" w:color="D1D5DB" w:sz="1"/>
              <w:left w:val="single" w:color="D1D5DB" w:sz="1"/>
              <w:bottom w:val="single" w:color="D1D5DB" w:sz="1"/>
              <w:right w:val="single" w:color="D1D5DB" w:sz="1"/>
            </w:tcBorders>
            <w:shd w:fill="EFF6FF" w:val="clear"/>
            <w:tcMar>
              <w:top w:type="dxa" w:w="80"/>
              <w:left w:type="dxa" w:w="120"/>
              <w:bottom w:type="dxa" w:w="80"/>
              <w:right w:type="dxa" w:w="120"/>
            </w:tcMar>
          </w:tcPr>
          <w:p>
            <w:r>
              <w:rPr>
                <w:rFonts w:ascii="Arial" w:cs="Arial" w:eastAsia="Arial" w:hAnsi="Arial"/>
                <w:b w:val="false"/>
                <w:bCs w:val="false"/>
                <w:color w:val="111827"/>
                <w:sz w:val="18"/>
                <w:szCs w:val="18"/>
              </w:rPr>
              <w:t xml:space="preserve">AI agent reads chart_of_accounts resource. Returns 200 rows.</w:t>
            </w:r>
          </w:p>
        </w:tc>
      </w:tr>
      <w:tr>
        <w:tc>
          <w:tcPr>
            <w:tcW w:type="dxa" w:w="2400"/>
            <w:tcBorders>
              <w:top w:val="single" w:color="D1D5DB" w:sz="1"/>
              <w:left w:val="single" w:color="D1D5DB" w:sz="1"/>
              <w:bottom w:val="single" w:color="D1D5DB" w:sz="1"/>
              <w:right w:val="single" w:color="D1D5DB" w:sz="1"/>
            </w:tcBorders>
            <w:tcMar>
              <w:top w:type="dxa" w:w="80"/>
              <w:left w:type="dxa" w:w="120"/>
              <w:bottom w:type="dxa" w:w="80"/>
              <w:right w:type="dxa" w:w="120"/>
            </w:tcMar>
          </w:tcPr>
          <w:p>
            <w:r>
              <w:rPr>
                <w:rFonts w:ascii="Arial" w:cs="Arial" w:eastAsia="Arial" w:hAnsi="Arial"/>
                <w:b w:val="false"/>
                <w:bCs w:val="false"/>
                <w:color w:val="111827"/>
                <w:sz w:val="18"/>
                <w:szCs w:val="18"/>
              </w:rPr>
              <w:t xml:space="preserve">Filtered query with aggregation</w:t>
            </w:r>
          </w:p>
        </w:tc>
        <w:tc>
          <w:tcPr>
            <w:tcW w:type="dxa" w:w="800"/>
            <w:tcBorders>
              <w:top w:val="single" w:color="D1D5DB" w:sz="1"/>
              <w:left w:val="single" w:color="D1D5DB" w:sz="1"/>
              <w:bottom w:val="single" w:color="D1D5DB" w:sz="1"/>
              <w:right w:val="single" w:color="D1D5DB" w:sz="1"/>
            </w:tcBorders>
            <w:tcMar>
              <w:top w:type="dxa" w:w="80"/>
              <w:left w:type="dxa" w:w="120"/>
              <w:bottom w:type="dxa" w:w="80"/>
              <w:right w:type="dxa" w:w="120"/>
            </w:tcMar>
          </w:tcPr>
          <w:p>
            <w:r>
              <w:rPr>
                <w:rFonts w:ascii="Arial" w:cs="Arial" w:eastAsia="Arial" w:hAnsi="Arial"/>
                <w:b w:val="false"/>
                <w:bCs w:val="false"/>
                <w:color w:val="111827"/>
                <w:sz w:val="18"/>
                <w:szCs w:val="18"/>
              </w:rPr>
              <w:t xml:space="preserve">2</w:t>
            </w:r>
          </w:p>
        </w:tc>
        <w:tc>
          <w:tcPr>
            <w:tcW w:type="dxa" w:w="2200"/>
            <w:tcBorders>
              <w:top w:val="single" w:color="D1D5DB" w:sz="1"/>
              <w:left w:val="single" w:color="D1D5DB" w:sz="1"/>
              <w:bottom w:val="single" w:color="D1D5DB" w:sz="1"/>
              <w:right w:val="single" w:color="D1D5DB" w:sz="1"/>
            </w:tcBorders>
            <w:tcMar>
              <w:top w:type="dxa" w:w="80"/>
              <w:left w:type="dxa" w:w="120"/>
              <w:bottom w:type="dxa" w:w="80"/>
              <w:right w:type="dxa" w:w="120"/>
            </w:tcMar>
          </w:tcPr>
          <w:p>
            <w:r>
              <w:rPr>
                <w:rFonts w:ascii="Arial" w:cs="Arial" w:eastAsia="Arial" w:hAnsi="Arial"/>
                <w:b w:val="false"/>
                <w:bCs w:val="false"/>
                <w:color w:val="111827"/>
                <w:sz w:val="18"/>
                <w:szCs w:val="18"/>
              </w:rPr>
              <w:t xml:space="preserve">Medium scan (10–100MB)</w:t>
            </w:r>
          </w:p>
        </w:tc>
        <w:tc>
          <w:tcPr>
            <w:tcW w:type="dxa" w:w="2000"/>
            <w:tcBorders>
              <w:top w:val="single" w:color="D1D5DB" w:sz="1"/>
              <w:left w:val="single" w:color="D1D5DB" w:sz="1"/>
              <w:bottom w:val="single" w:color="D1D5DB" w:sz="1"/>
              <w:right w:val="single" w:color="D1D5DB" w:sz="1"/>
            </w:tcBorders>
            <w:tcMar>
              <w:top w:type="dxa" w:w="80"/>
              <w:left w:type="dxa" w:w="120"/>
              <w:bottom w:type="dxa" w:w="80"/>
              <w:right w:type="dxa" w:w="120"/>
            </w:tcMar>
          </w:tcPr>
          <w:p>
            <w:r>
              <w:rPr>
                <w:rFonts w:ascii="Arial" w:cs="Arial" w:eastAsia="Arial" w:hAnsi="Arial"/>
                <w:b w:val="false"/>
                <w:bCs w:val="false"/>
                <w:color w:val="111827"/>
                <w:sz w:val="18"/>
                <w:szCs w:val="18"/>
              </w:rPr>
              <w:t xml:space="preserve">None</w:t>
            </w:r>
          </w:p>
        </w:tc>
        <w:tc>
          <w:tcPr>
            <w:tcW w:type="dxa" w:w="1960"/>
            <w:tcBorders>
              <w:top w:val="single" w:color="D1D5DB" w:sz="1"/>
              <w:left w:val="single" w:color="D1D5DB" w:sz="1"/>
              <w:bottom w:val="single" w:color="D1D5DB" w:sz="1"/>
              <w:right w:val="single" w:color="D1D5DB" w:sz="1"/>
            </w:tcBorders>
            <w:tcMar>
              <w:top w:type="dxa" w:w="80"/>
              <w:left w:type="dxa" w:w="120"/>
              <w:bottom w:type="dxa" w:w="80"/>
              <w:right w:type="dxa" w:w="120"/>
            </w:tcMar>
          </w:tcPr>
          <w:p>
            <w:r>
              <w:rPr>
                <w:rFonts w:ascii="Arial" w:cs="Arial" w:eastAsia="Arial" w:hAnsi="Arial"/>
                <w:b w:val="false"/>
                <w:bCs w:val="false"/>
                <w:color w:val="111827"/>
                <w:sz w:val="18"/>
                <w:szCs w:val="18"/>
              </w:rPr>
              <w:t xml:space="preserve">Agent queries gl_movements filtered by department and period. BigQuery aggregates.</w:t>
            </w:r>
          </w:p>
        </w:tc>
      </w:tr>
      <w:tr>
        <w:tc>
          <w:tcPr>
            <w:tcW w:type="dxa" w:w="2400"/>
            <w:tcBorders>
              <w:top w:val="single" w:color="D1D5DB" w:sz="1"/>
              <w:left w:val="single" w:color="D1D5DB" w:sz="1"/>
              <w:bottom w:val="single" w:color="D1D5DB" w:sz="1"/>
              <w:right w:val="single" w:color="D1D5DB" w:sz="1"/>
            </w:tcBorders>
            <w:shd w:fill="EFF6FF" w:val="clear"/>
            <w:tcMar>
              <w:top w:type="dxa" w:w="80"/>
              <w:left w:type="dxa" w:w="120"/>
              <w:bottom w:type="dxa" w:w="80"/>
              <w:right w:type="dxa" w:w="120"/>
            </w:tcMar>
          </w:tcPr>
          <w:p>
            <w:r>
              <w:rPr>
                <w:rFonts w:ascii="Arial" w:cs="Arial" w:eastAsia="Arial" w:hAnsi="Arial"/>
                <w:b w:val="false"/>
                <w:bCs w:val="false"/>
                <w:color w:val="111827"/>
                <w:sz w:val="18"/>
                <w:szCs w:val="18"/>
              </w:rPr>
              <w:t xml:space="preserve">Multi-resource query</w:t>
            </w:r>
          </w:p>
        </w:tc>
        <w:tc>
          <w:tcPr>
            <w:tcW w:type="dxa" w:w="800"/>
            <w:tcBorders>
              <w:top w:val="single" w:color="D1D5DB" w:sz="1"/>
              <w:left w:val="single" w:color="D1D5DB" w:sz="1"/>
              <w:bottom w:val="single" w:color="D1D5DB" w:sz="1"/>
              <w:right w:val="single" w:color="D1D5DB" w:sz="1"/>
            </w:tcBorders>
            <w:shd w:fill="EFF6FF" w:val="clear"/>
            <w:tcMar>
              <w:top w:type="dxa" w:w="80"/>
              <w:left w:type="dxa" w:w="120"/>
              <w:bottom w:type="dxa" w:w="80"/>
              <w:right w:type="dxa" w:w="120"/>
            </w:tcMar>
          </w:tcPr>
          <w:p>
            <w:r>
              <w:rPr>
                <w:rFonts w:ascii="Arial" w:cs="Arial" w:eastAsia="Arial" w:hAnsi="Arial"/>
                <w:b w:val="false"/>
                <w:bCs w:val="false"/>
                <w:color w:val="111827"/>
                <w:sz w:val="18"/>
                <w:szCs w:val="18"/>
              </w:rPr>
              <w:t xml:space="preserve">3</w:t>
            </w:r>
          </w:p>
        </w:tc>
        <w:tc>
          <w:tcPr>
            <w:tcW w:type="dxa" w:w="2200"/>
            <w:tcBorders>
              <w:top w:val="single" w:color="D1D5DB" w:sz="1"/>
              <w:left w:val="single" w:color="D1D5DB" w:sz="1"/>
              <w:bottom w:val="single" w:color="D1D5DB" w:sz="1"/>
              <w:right w:val="single" w:color="D1D5DB" w:sz="1"/>
            </w:tcBorders>
            <w:shd w:fill="EFF6FF" w:val="clear"/>
            <w:tcMar>
              <w:top w:type="dxa" w:w="80"/>
              <w:left w:type="dxa" w:w="120"/>
              <w:bottom w:type="dxa" w:w="80"/>
              <w:right w:type="dxa" w:w="120"/>
            </w:tcMar>
          </w:tcPr>
          <w:p>
            <w:r>
              <w:rPr>
                <w:rFonts w:ascii="Arial" w:cs="Arial" w:eastAsia="Arial" w:hAnsi="Arial"/>
                <w:b w:val="false"/>
                <w:bCs w:val="false"/>
                <w:color w:val="111827"/>
                <w:sz w:val="18"/>
                <w:szCs w:val="18"/>
              </w:rPr>
              <w:t xml:space="preserve">Multiple scans</w:t>
            </w:r>
          </w:p>
        </w:tc>
        <w:tc>
          <w:tcPr>
            <w:tcW w:type="dxa" w:w="2000"/>
            <w:tcBorders>
              <w:top w:val="single" w:color="D1D5DB" w:sz="1"/>
              <w:left w:val="single" w:color="D1D5DB" w:sz="1"/>
              <w:bottom w:val="single" w:color="D1D5DB" w:sz="1"/>
              <w:right w:val="single" w:color="D1D5DB" w:sz="1"/>
            </w:tcBorders>
            <w:shd w:fill="EFF6FF" w:val="clear"/>
            <w:tcMar>
              <w:top w:type="dxa" w:w="80"/>
              <w:left w:type="dxa" w:w="120"/>
              <w:bottom w:type="dxa" w:w="80"/>
              <w:right w:type="dxa" w:w="120"/>
            </w:tcMar>
          </w:tcPr>
          <w:p>
            <w:r>
              <w:rPr>
                <w:rFonts w:ascii="Arial" w:cs="Arial" w:eastAsia="Arial" w:hAnsi="Arial"/>
                <w:b w:val="false"/>
                <w:bCs w:val="false"/>
                <w:color w:val="111827"/>
                <w:sz w:val="18"/>
                <w:szCs w:val="18"/>
              </w:rPr>
              <w:t xml:space="preserve">None</w:t>
            </w:r>
          </w:p>
        </w:tc>
        <w:tc>
          <w:tcPr>
            <w:tcW w:type="dxa" w:w="1960"/>
            <w:tcBorders>
              <w:top w:val="single" w:color="D1D5DB" w:sz="1"/>
              <w:left w:val="single" w:color="D1D5DB" w:sz="1"/>
              <w:bottom w:val="single" w:color="D1D5DB" w:sz="1"/>
              <w:right w:val="single" w:color="D1D5DB" w:sz="1"/>
            </w:tcBorders>
            <w:shd w:fill="EFF6FF" w:val="clear"/>
            <w:tcMar>
              <w:top w:type="dxa" w:w="80"/>
              <w:left w:type="dxa" w:w="120"/>
              <w:bottom w:type="dxa" w:w="80"/>
              <w:right w:type="dxa" w:w="120"/>
            </w:tcMar>
          </w:tcPr>
          <w:p>
            <w:r>
              <w:rPr>
                <w:rFonts w:ascii="Arial" w:cs="Arial" w:eastAsia="Arial" w:hAnsi="Arial"/>
                <w:b w:val="false"/>
                <w:bCs w:val="false"/>
                <w:color w:val="111827"/>
                <w:sz w:val="18"/>
                <w:szCs w:val="18"/>
              </w:rPr>
              <w:t xml:space="preserve">Agent reads chart_of_accounts + gl_movements + trial_balance in one workflow.</w:t>
            </w:r>
          </w:p>
        </w:tc>
      </w:tr>
      <w:tr>
        <w:tc>
          <w:tcPr>
            <w:tcW w:type="dxa" w:w="2400"/>
            <w:tcBorders>
              <w:top w:val="single" w:color="D1D5DB" w:sz="1"/>
              <w:left w:val="single" w:color="D1D5DB" w:sz="1"/>
              <w:bottom w:val="single" w:color="D1D5DB" w:sz="1"/>
              <w:right w:val="single" w:color="D1D5DB" w:sz="1"/>
            </w:tcBorders>
            <w:tcMar>
              <w:top w:type="dxa" w:w="80"/>
              <w:left w:type="dxa" w:w="120"/>
              <w:bottom w:type="dxa" w:w="80"/>
              <w:right w:type="dxa" w:w="120"/>
            </w:tcMar>
          </w:tcPr>
          <w:p>
            <w:r>
              <w:rPr>
                <w:rFonts w:ascii="Arial" w:cs="Arial" w:eastAsia="Arial" w:hAnsi="Arial"/>
                <w:b w:val="false"/>
                <w:bCs w:val="false"/>
                <w:color w:val="111827"/>
                <w:sz w:val="18"/>
                <w:szCs w:val="18"/>
              </w:rPr>
              <w:t xml:space="preserve">Short LLM-enriched summary</w:t>
            </w:r>
          </w:p>
        </w:tc>
        <w:tc>
          <w:tcPr>
            <w:tcW w:type="dxa" w:w="800"/>
            <w:tcBorders>
              <w:top w:val="single" w:color="D1D5DB" w:sz="1"/>
              <w:left w:val="single" w:color="D1D5DB" w:sz="1"/>
              <w:bottom w:val="single" w:color="D1D5DB" w:sz="1"/>
              <w:right w:val="single" w:color="D1D5DB" w:sz="1"/>
            </w:tcBorders>
            <w:tcMar>
              <w:top w:type="dxa" w:w="80"/>
              <w:left w:type="dxa" w:w="120"/>
              <w:bottom w:type="dxa" w:w="80"/>
              <w:right w:type="dxa" w:w="120"/>
            </w:tcMar>
          </w:tcPr>
          <w:p>
            <w:r>
              <w:rPr>
                <w:rFonts w:ascii="Arial" w:cs="Arial" w:eastAsia="Arial" w:hAnsi="Arial"/>
                <w:b w:val="false"/>
                <w:bCs w:val="false"/>
                <w:color w:val="111827"/>
                <w:sz w:val="18"/>
                <w:szCs w:val="18"/>
              </w:rPr>
              <w:t xml:space="preserve">5</w:t>
            </w:r>
          </w:p>
        </w:tc>
        <w:tc>
          <w:tcPr>
            <w:tcW w:type="dxa" w:w="2200"/>
            <w:tcBorders>
              <w:top w:val="single" w:color="D1D5DB" w:sz="1"/>
              <w:left w:val="single" w:color="D1D5DB" w:sz="1"/>
              <w:bottom w:val="single" w:color="D1D5DB" w:sz="1"/>
              <w:right w:val="single" w:color="D1D5DB" w:sz="1"/>
            </w:tcBorders>
            <w:tcMar>
              <w:top w:type="dxa" w:w="80"/>
              <w:left w:type="dxa" w:w="120"/>
              <w:bottom w:type="dxa" w:w="80"/>
              <w:right w:type="dxa" w:w="120"/>
            </w:tcMar>
          </w:tcPr>
          <w:p>
            <w:r>
              <w:rPr>
                <w:rFonts w:ascii="Arial" w:cs="Arial" w:eastAsia="Arial" w:hAnsi="Arial"/>
                <w:b w:val="false"/>
                <w:bCs w:val="false"/>
                <w:color w:val="111827"/>
                <w:sz w:val="18"/>
                <w:szCs w:val="18"/>
              </w:rPr>
              <w:t xml:space="preserve">Medium scan</w:t>
            </w:r>
          </w:p>
        </w:tc>
        <w:tc>
          <w:tcPr>
            <w:tcW w:type="dxa" w:w="2000"/>
            <w:tcBorders>
              <w:top w:val="single" w:color="D1D5DB" w:sz="1"/>
              <w:left w:val="single" w:color="D1D5DB" w:sz="1"/>
              <w:bottom w:val="single" w:color="D1D5DB" w:sz="1"/>
              <w:right w:val="single" w:color="D1D5DB" w:sz="1"/>
            </w:tcBorders>
            <w:tcMar>
              <w:top w:type="dxa" w:w="80"/>
              <w:left w:type="dxa" w:w="120"/>
              <w:bottom w:type="dxa" w:w="80"/>
              <w:right w:type="dxa" w:w="120"/>
            </w:tcMar>
          </w:tcPr>
          <w:p>
            <w:r>
              <w:rPr>
                <w:rFonts w:ascii="Arial" w:cs="Arial" w:eastAsia="Arial" w:hAnsi="Arial"/>
                <w:b w:val="false"/>
                <w:bCs w:val="false"/>
                <w:color w:val="111827"/>
                <w:sz w:val="18"/>
                <w:szCs w:val="18"/>
              </w:rPr>
              <w:t xml:space="preserve">500–2K tokens</w:t>
            </w:r>
          </w:p>
        </w:tc>
        <w:tc>
          <w:tcPr>
            <w:tcW w:type="dxa" w:w="1960"/>
            <w:tcBorders>
              <w:top w:val="single" w:color="D1D5DB" w:sz="1"/>
              <w:left w:val="single" w:color="D1D5DB" w:sz="1"/>
              <w:bottom w:val="single" w:color="D1D5DB" w:sz="1"/>
              <w:right w:val="single" w:color="D1D5DB" w:sz="1"/>
            </w:tcBorders>
            <w:tcMar>
              <w:top w:type="dxa" w:w="80"/>
              <w:left w:type="dxa" w:w="120"/>
              <w:bottom w:type="dxa" w:w="80"/>
              <w:right w:type="dxa" w:w="120"/>
            </w:tcMar>
          </w:tcPr>
          <w:p>
            <w:r>
              <w:rPr>
                <w:rFonts w:ascii="Arial" w:cs="Arial" w:eastAsia="Arial" w:hAnsi="Arial"/>
                <w:b w:val="false"/>
                <w:bCs w:val="false"/>
                <w:color w:val="111827"/>
                <w:sz w:val="18"/>
                <w:szCs w:val="18"/>
              </w:rPr>
              <w:t xml:space="preserve">Agent queries variance data and PipeLedger’s context enrichment layer adds narrative summary.</w:t>
            </w:r>
          </w:p>
        </w:tc>
      </w:tr>
      <w:tr>
        <w:tc>
          <w:tcPr>
            <w:tcW w:type="dxa" w:w="2400"/>
            <w:tcBorders>
              <w:top w:val="single" w:color="D1D5DB" w:sz="1"/>
              <w:left w:val="single" w:color="D1D5DB" w:sz="1"/>
              <w:bottom w:val="single" w:color="D1D5DB" w:sz="1"/>
              <w:right w:val="single" w:color="D1D5DB" w:sz="1"/>
            </w:tcBorders>
            <w:shd w:fill="EFF6FF" w:val="clear"/>
            <w:tcMar>
              <w:top w:type="dxa" w:w="80"/>
              <w:left w:type="dxa" w:w="120"/>
              <w:bottom w:type="dxa" w:w="80"/>
              <w:right w:type="dxa" w:w="120"/>
            </w:tcMar>
          </w:tcPr>
          <w:p>
            <w:r>
              <w:rPr>
                <w:rFonts w:ascii="Arial" w:cs="Arial" w:eastAsia="Arial" w:hAnsi="Arial"/>
                <w:b w:val="false"/>
                <w:bCs w:val="false"/>
                <w:color w:val="111827"/>
                <w:sz w:val="18"/>
                <w:szCs w:val="18"/>
              </w:rPr>
              <w:t xml:space="preserve">Deep variance analysis</w:t>
            </w:r>
          </w:p>
        </w:tc>
        <w:tc>
          <w:tcPr>
            <w:tcW w:type="dxa" w:w="800"/>
            <w:tcBorders>
              <w:top w:val="single" w:color="D1D5DB" w:sz="1"/>
              <w:left w:val="single" w:color="D1D5DB" w:sz="1"/>
              <w:bottom w:val="single" w:color="D1D5DB" w:sz="1"/>
              <w:right w:val="single" w:color="D1D5DB" w:sz="1"/>
            </w:tcBorders>
            <w:shd w:fill="EFF6FF" w:val="clear"/>
            <w:tcMar>
              <w:top w:type="dxa" w:w="80"/>
              <w:left w:type="dxa" w:w="120"/>
              <w:bottom w:type="dxa" w:w="80"/>
              <w:right w:type="dxa" w:w="120"/>
            </w:tcMar>
          </w:tcPr>
          <w:p>
            <w:r>
              <w:rPr>
                <w:rFonts w:ascii="Arial" w:cs="Arial" w:eastAsia="Arial" w:hAnsi="Arial"/>
                <w:b w:val="false"/>
                <w:bCs w:val="false"/>
                <w:color w:val="111827"/>
                <w:sz w:val="18"/>
                <w:szCs w:val="18"/>
              </w:rPr>
              <w:t xml:space="preserve">10–20</w:t>
            </w:r>
          </w:p>
        </w:tc>
        <w:tc>
          <w:tcPr>
            <w:tcW w:type="dxa" w:w="2200"/>
            <w:tcBorders>
              <w:top w:val="single" w:color="D1D5DB" w:sz="1"/>
              <w:left w:val="single" w:color="D1D5DB" w:sz="1"/>
              <w:bottom w:val="single" w:color="D1D5DB" w:sz="1"/>
              <w:right w:val="single" w:color="D1D5DB" w:sz="1"/>
            </w:tcBorders>
            <w:shd w:fill="EFF6FF" w:val="clear"/>
            <w:tcMar>
              <w:top w:type="dxa" w:w="80"/>
              <w:left w:type="dxa" w:w="120"/>
              <w:bottom w:type="dxa" w:w="80"/>
              <w:right w:type="dxa" w:w="120"/>
            </w:tcMar>
          </w:tcPr>
          <w:p>
            <w:r>
              <w:rPr>
                <w:rFonts w:ascii="Arial" w:cs="Arial" w:eastAsia="Arial" w:hAnsi="Arial"/>
                <w:b w:val="false"/>
                <w:bCs w:val="false"/>
                <w:color w:val="111827"/>
                <w:sz w:val="18"/>
                <w:szCs w:val="18"/>
              </w:rPr>
              <w:t xml:space="preserve">Large scan (100MB–1GB)</w:t>
            </w:r>
          </w:p>
        </w:tc>
        <w:tc>
          <w:tcPr>
            <w:tcW w:type="dxa" w:w="2000"/>
            <w:tcBorders>
              <w:top w:val="single" w:color="D1D5DB" w:sz="1"/>
              <w:left w:val="single" w:color="D1D5DB" w:sz="1"/>
              <w:bottom w:val="single" w:color="D1D5DB" w:sz="1"/>
              <w:right w:val="single" w:color="D1D5DB" w:sz="1"/>
            </w:tcBorders>
            <w:shd w:fill="EFF6FF" w:val="clear"/>
            <w:tcMar>
              <w:top w:type="dxa" w:w="80"/>
              <w:left w:type="dxa" w:w="120"/>
              <w:bottom w:type="dxa" w:w="80"/>
              <w:right w:type="dxa" w:w="120"/>
            </w:tcMar>
          </w:tcPr>
          <w:p>
            <w:r>
              <w:rPr>
                <w:rFonts w:ascii="Arial" w:cs="Arial" w:eastAsia="Arial" w:hAnsi="Arial"/>
                <w:b w:val="false"/>
                <w:bCs w:val="false"/>
                <w:color w:val="111827"/>
                <w:sz w:val="18"/>
                <w:szCs w:val="18"/>
              </w:rPr>
              <w:t xml:space="preserve">2K–10K tokens</w:t>
            </w:r>
          </w:p>
        </w:tc>
        <w:tc>
          <w:tcPr>
            <w:tcW w:type="dxa" w:w="1960"/>
            <w:tcBorders>
              <w:top w:val="single" w:color="D1D5DB" w:sz="1"/>
              <w:left w:val="single" w:color="D1D5DB" w:sz="1"/>
              <w:bottom w:val="single" w:color="D1D5DB" w:sz="1"/>
              <w:right w:val="single" w:color="D1D5DB" w:sz="1"/>
            </w:tcBorders>
            <w:shd w:fill="EFF6FF" w:val="clear"/>
            <w:tcMar>
              <w:top w:type="dxa" w:w="80"/>
              <w:left w:type="dxa" w:w="120"/>
              <w:bottom w:type="dxa" w:w="80"/>
              <w:right w:type="dxa" w:w="120"/>
            </w:tcMar>
          </w:tcPr>
          <w:p>
            <w:r>
              <w:rPr>
                <w:rFonts w:ascii="Arial" w:cs="Arial" w:eastAsia="Arial" w:hAnsi="Arial"/>
                <w:b w:val="false"/>
                <w:bCs w:val="false"/>
                <w:color w:val="111827"/>
                <w:sz w:val="18"/>
                <w:szCs w:val="18"/>
              </w:rPr>
              <w:t xml:space="preserve">Agent runs budget vs. actual across all departments, 12 periods, with commentary.</w:t>
            </w:r>
          </w:p>
        </w:tc>
      </w:tr>
      <w:tr>
        <w:tc>
          <w:tcPr>
            <w:tcW w:type="dxa" w:w="2400"/>
            <w:tcBorders>
              <w:top w:val="single" w:color="D1D5DB" w:sz="1"/>
              <w:left w:val="single" w:color="D1D5DB" w:sz="1"/>
              <w:bottom w:val="single" w:color="D1D5DB" w:sz="1"/>
              <w:right w:val="single" w:color="D1D5DB" w:sz="1"/>
            </w:tcBorders>
            <w:tcMar>
              <w:top w:type="dxa" w:w="80"/>
              <w:left w:type="dxa" w:w="120"/>
              <w:bottom w:type="dxa" w:w="80"/>
              <w:right w:type="dxa" w:w="120"/>
            </w:tcMar>
          </w:tcPr>
          <w:p>
            <w:r>
              <w:rPr>
                <w:rFonts w:ascii="Arial" w:cs="Arial" w:eastAsia="Arial" w:hAnsi="Arial"/>
                <w:b w:val="false"/>
                <w:bCs w:val="false"/>
                <w:color w:val="111827"/>
                <w:sz w:val="18"/>
                <w:szCs w:val="18"/>
              </w:rPr>
              <w:t xml:space="preserve">Agentic multi-step workflow</w:t>
            </w:r>
          </w:p>
        </w:tc>
        <w:tc>
          <w:tcPr>
            <w:tcW w:type="dxa" w:w="800"/>
            <w:tcBorders>
              <w:top w:val="single" w:color="D1D5DB" w:sz="1"/>
              <w:left w:val="single" w:color="D1D5DB" w:sz="1"/>
              <w:bottom w:val="single" w:color="D1D5DB" w:sz="1"/>
              <w:right w:val="single" w:color="D1D5DB" w:sz="1"/>
            </w:tcBorders>
            <w:tcMar>
              <w:top w:type="dxa" w:w="80"/>
              <w:left w:type="dxa" w:w="120"/>
              <w:bottom w:type="dxa" w:w="80"/>
              <w:right w:type="dxa" w:w="120"/>
            </w:tcMar>
          </w:tcPr>
          <w:p>
            <w:r>
              <w:rPr>
                <w:rFonts w:ascii="Arial" w:cs="Arial" w:eastAsia="Arial" w:hAnsi="Arial"/>
                <w:b w:val="false"/>
                <w:bCs w:val="false"/>
                <w:color w:val="111827"/>
                <w:sz w:val="18"/>
                <w:szCs w:val="18"/>
              </w:rPr>
              <w:t xml:space="preserve">20+</w:t>
            </w:r>
          </w:p>
        </w:tc>
        <w:tc>
          <w:tcPr>
            <w:tcW w:type="dxa" w:w="2200"/>
            <w:tcBorders>
              <w:top w:val="single" w:color="D1D5DB" w:sz="1"/>
              <w:left w:val="single" w:color="D1D5DB" w:sz="1"/>
              <w:bottom w:val="single" w:color="D1D5DB" w:sz="1"/>
              <w:right w:val="single" w:color="D1D5DB" w:sz="1"/>
            </w:tcBorders>
            <w:tcMar>
              <w:top w:type="dxa" w:w="80"/>
              <w:left w:type="dxa" w:w="120"/>
              <w:bottom w:type="dxa" w:w="80"/>
              <w:right w:type="dxa" w:w="120"/>
            </w:tcMar>
          </w:tcPr>
          <w:p>
            <w:r>
              <w:rPr>
                <w:rFonts w:ascii="Arial" w:cs="Arial" w:eastAsia="Arial" w:hAnsi="Arial"/>
                <w:b w:val="false"/>
                <w:bCs w:val="false"/>
                <w:color w:val="111827"/>
                <w:sz w:val="18"/>
                <w:szCs w:val="18"/>
              </w:rPr>
              <w:t xml:space="preserve">Multiple large scans</w:t>
            </w:r>
          </w:p>
        </w:tc>
        <w:tc>
          <w:tcPr>
            <w:tcW w:type="dxa" w:w="2000"/>
            <w:tcBorders>
              <w:top w:val="single" w:color="D1D5DB" w:sz="1"/>
              <w:left w:val="single" w:color="D1D5DB" w:sz="1"/>
              <w:bottom w:val="single" w:color="D1D5DB" w:sz="1"/>
              <w:right w:val="single" w:color="D1D5DB" w:sz="1"/>
            </w:tcBorders>
            <w:tcMar>
              <w:top w:type="dxa" w:w="80"/>
              <w:left w:type="dxa" w:w="120"/>
              <w:bottom w:type="dxa" w:w="80"/>
              <w:right w:type="dxa" w:w="120"/>
            </w:tcMar>
          </w:tcPr>
          <w:p>
            <w:r>
              <w:rPr>
                <w:rFonts w:ascii="Arial" w:cs="Arial" w:eastAsia="Arial" w:hAnsi="Arial"/>
                <w:b w:val="false"/>
                <w:bCs w:val="false"/>
                <w:color w:val="111827"/>
                <w:sz w:val="18"/>
                <w:szCs w:val="18"/>
              </w:rPr>
              <w:t xml:space="preserve">10K+ tokens</w:t>
            </w:r>
          </w:p>
        </w:tc>
        <w:tc>
          <w:tcPr>
            <w:tcW w:type="dxa" w:w="1960"/>
            <w:tcBorders>
              <w:top w:val="single" w:color="D1D5DB" w:sz="1"/>
              <w:left w:val="single" w:color="D1D5DB" w:sz="1"/>
              <w:bottom w:val="single" w:color="D1D5DB" w:sz="1"/>
              <w:right w:val="single" w:color="D1D5DB" w:sz="1"/>
            </w:tcBorders>
            <w:tcMar>
              <w:top w:type="dxa" w:w="80"/>
              <w:left w:type="dxa" w:w="120"/>
              <w:bottom w:type="dxa" w:w="80"/>
              <w:right w:type="dxa" w:w="120"/>
            </w:tcMar>
          </w:tcPr>
          <w:p>
            <w:r>
              <w:rPr>
                <w:rFonts w:ascii="Arial" w:cs="Arial" w:eastAsia="Arial" w:hAnsi="Arial"/>
                <w:b w:val="false"/>
                <w:bCs w:val="false"/>
                <w:color w:val="111827"/>
                <w:sz w:val="18"/>
                <w:szCs w:val="18"/>
              </w:rPr>
              <w:t xml:space="preserve">Agent orchestrates: pull GL → compare to budget → identify anomalies → generate executive summary → draft board slide content.</w:t>
            </w:r>
          </w:p>
        </w:tc>
      </w:tr>
      <w:tr>
        <w:tc>
          <w:tcPr>
            <w:tcW w:type="dxa" w:w="2400"/>
            <w:tcBorders>
              <w:top w:val="single" w:color="D1D5DB" w:sz="1"/>
              <w:left w:val="single" w:color="D1D5DB" w:sz="1"/>
              <w:bottom w:val="single" w:color="D1D5DB" w:sz="1"/>
              <w:right w:val="single" w:color="D1D5DB" w:sz="1"/>
            </w:tcBorders>
            <w:shd w:fill="EFF6FF" w:val="clear"/>
            <w:tcMar>
              <w:top w:type="dxa" w:w="80"/>
              <w:left w:type="dxa" w:w="120"/>
              <w:bottom w:type="dxa" w:w="80"/>
              <w:right w:type="dxa" w:w="120"/>
            </w:tcMar>
          </w:tcPr>
          <w:p>
            <w:r>
              <w:rPr>
                <w:rFonts w:ascii="Arial" w:cs="Arial" w:eastAsia="Arial" w:hAnsi="Arial"/>
                <w:b w:val="false"/>
                <w:bCs w:val="false"/>
                <w:color w:val="111827"/>
                <w:sz w:val="18"/>
                <w:szCs w:val="18"/>
              </w:rPr>
              <w:t xml:space="preserve">UI data preview (human user)</w:t>
            </w:r>
          </w:p>
        </w:tc>
        <w:tc>
          <w:tcPr>
            <w:tcW w:type="dxa" w:w="800"/>
            <w:tcBorders>
              <w:top w:val="single" w:color="D1D5DB" w:sz="1"/>
              <w:left w:val="single" w:color="D1D5DB" w:sz="1"/>
              <w:bottom w:val="single" w:color="D1D5DB" w:sz="1"/>
              <w:right w:val="single" w:color="D1D5DB" w:sz="1"/>
            </w:tcBorders>
            <w:shd w:fill="EFF6FF" w:val="clear"/>
            <w:tcMar>
              <w:top w:type="dxa" w:w="80"/>
              <w:left w:type="dxa" w:w="120"/>
              <w:bottom w:type="dxa" w:w="80"/>
              <w:right w:type="dxa" w:w="120"/>
            </w:tcMar>
          </w:tcPr>
          <w:p>
            <w:r>
              <w:rPr>
                <w:rFonts w:ascii="Arial" w:cs="Arial" w:eastAsia="Arial" w:hAnsi="Arial"/>
                <w:b w:val="false"/>
                <w:bCs w:val="false"/>
                <w:color w:val="111827"/>
                <w:sz w:val="18"/>
                <w:szCs w:val="18"/>
              </w:rPr>
              <w:t xml:space="preserve">1</w:t>
            </w:r>
          </w:p>
        </w:tc>
        <w:tc>
          <w:tcPr>
            <w:tcW w:type="dxa" w:w="2200"/>
            <w:tcBorders>
              <w:top w:val="single" w:color="D1D5DB" w:sz="1"/>
              <w:left w:val="single" w:color="D1D5DB" w:sz="1"/>
              <w:bottom w:val="single" w:color="D1D5DB" w:sz="1"/>
              <w:right w:val="single" w:color="D1D5DB" w:sz="1"/>
            </w:tcBorders>
            <w:shd w:fill="EFF6FF" w:val="clear"/>
            <w:tcMar>
              <w:top w:type="dxa" w:w="80"/>
              <w:left w:type="dxa" w:w="120"/>
              <w:bottom w:type="dxa" w:w="80"/>
              <w:right w:type="dxa" w:w="120"/>
            </w:tcMar>
          </w:tcPr>
          <w:p>
            <w:r>
              <w:rPr>
                <w:rFonts w:ascii="Arial" w:cs="Arial" w:eastAsia="Arial" w:hAnsi="Arial"/>
                <w:b w:val="false"/>
                <w:bCs w:val="false"/>
                <w:color w:val="111827"/>
                <w:sz w:val="18"/>
                <w:szCs w:val="18"/>
              </w:rPr>
              <w:t xml:space="preserve">Small scan</w:t>
            </w:r>
          </w:p>
        </w:tc>
        <w:tc>
          <w:tcPr>
            <w:tcW w:type="dxa" w:w="2000"/>
            <w:tcBorders>
              <w:top w:val="single" w:color="D1D5DB" w:sz="1"/>
              <w:left w:val="single" w:color="D1D5DB" w:sz="1"/>
              <w:bottom w:val="single" w:color="D1D5DB" w:sz="1"/>
              <w:right w:val="single" w:color="D1D5DB" w:sz="1"/>
            </w:tcBorders>
            <w:shd w:fill="EFF6FF" w:val="clear"/>
            <w:tcMar>
              <w:top w:type="dxa" w:w="80"/>
              <w:left w:type="dxa" w:w="120"/>
              <w:bottom w:type="dxa" w:w="80"/>
              <w:right w:type="dxa" w:w="120"/>
            </w:tcMar>
          </w:tcPr>
          <w:p>
            <w:r>
              <w:rPr>
                <w:rFonts w:ascii="Arial" w:cs="Arial" w:eastAsia="Arial" w:hAnsi="Arial"/>
                <w:b w:val="false"/>
                <w:bCs w:val="false"/>
                <w:color w:val="111827"/>
                <w:sz w:val="18"/>
                <w:szCs w:val="18"/>
              </w:rPr>
              <w:t xml:space="preserve">None</w:t>
            </w:r>
          </w:p>
        </w:tc>
        <w:tc>
          <w:tcPr>
            <w:tcW w:type="dxa" w:w="1960"/>
            <w:tcBorders>
              <w:top w:val="single" w:color="D1D5DB" w:sz="1"/>
              <w:left w:val="single" w:color="D1D5DB" w:sz="1"/>
              <w:bottom w:val="single" w:color="D1D5DB" w:sz="1"/>
              <w:right w:val="single" w:color="D1D5DB" w:sz="1"/>
            </w:tcBorders>
            <w:shd w:fill="EFF6FF" w:val="clear"/>
            <w:tcMar>
              <w:top w:type="dxa" w:w="80"/>
              <w:left w:type="dxa" w:w="120"/>
              <w:bottom w:type="dxa" w:w="80"/>
              <w:right w:type="dxa" w:w="120"/>
            </w:tcMar>
          </w:tcPr>
          <w:p>
            <w:r>
              <w:rPr>
                <w:rFonts w:ascii="Arial" w:cs="Arial" w:eastAsia="Arial" w:hAnsi="Arial"/>
                <w:b w:val="false"/>
                <w:bCs w:val="false"/>
                <w:color w:val="111827"/>
                <w:sz w:val="18"/>
                <w:szCs w:val="18"/>
              </w:rPr>
              <w:t xml:space="preserve">Human user views Data Review page, scrolls through records.</w:t>
            </w:r>
          </w:p>
        </w:tc>
      </w:tr>
      <w:tr>
        <w:tc>
          <w:tcPr>
            <w:tcW w:type="dxa" w:w="2400"/>
            <w:tcBorders>
              <w:top w:val="single" w:color="D1D5DB" w:sz="1"/>
              <w:left w:val="single" w:color="D1D5DB" w:sz="1"/>
              <w:bottom w:val="single" w:color="D1D5DB" w:sz="1"/>
              <w:right w:val="single" w:color="D1D5DB" w:sz="1"/>
            </w:tcBorders>
            <w:tcMar>
              <w:top w:type="dxa" w:w="80"/>
              <w:left w:type="dxa" w:w="120"/>
              <w:bottom w:type="dxa" w:w="80"/>
              <w:right w:type="dxa" w:w="120"/>
            </w:tcMar>
          </w:tcPr>
          <w:p>
            <w:r>
              <w:rPr>
                <w:rFonts w:ascii="Arial" w:cs="Arial" w:eastAsia="Arial" w:hAnsi="Arial"/>
                <w:b w:val="false"/>
                <w:bCs w:val="false"/>
                <w:color w:val="111827"/>
                <w:sz w:val="18"/>
                <w:szCs w:val="18"/>
              </w:rPr>
              <w:t xml:space="preserve">UI export (CSV/Parquet download)</w:t>
            </w:r>
          </w:p>
        </w:tc>
        <w:tc>
          <w:tcPr>
            <w:tcW w:type="dxa" w:w="800"/>
            <w:tcBorders>
              <w:top w:val="single" w:color="D1D5DB" w:sz="1"/>
              <w:left w:val="single" w:color="D1D5DB" w:sz="1"/>
              <w:bottom w:val="single" w:color="D1D5DB" w:sz="1"/>
              <w:right w:val="single" w:color="D1D5DB" w:sz="1"/>
            </w:tcBorders>
            <w:tcMar>
              <w:top w:type="dxa" w:w="80"/>
              <w:left w:type="dxa" w:w="120"/>
              <w:bottom w:type="dxa" w:w="80"/>
              <w:right w:type="dxa" w:w="120"/>
            </w:tcMar>
          </w:tcPr>
          <w:p>
            <w:r>
              <w:rPr>
                <w:rFonts w:ascii="Arial" w:cs="Arial" w:eastAsia="Arial" w:hAnsi="Arial"/>
                <w:b w:val="false"/>
                <w:bCs w:val="false"/>
                <w:color w:val="111827"/>
                <w:sz w:val="18"/>
                <w:szCs w:val="18"/>
              </w:rPr>
              <w:t xml:space="preserve">0</w:t>
            </w:r>
          </w:p>
        </w:tc>
        <w:tc>
          <w:tcPr>
            <w:tcW w:type="dxa" w:w="2200"/>
            <w:tcBorders>
              <w:top w:val="single" w:color="D1D5DB" w:sz="1"/>
              <w:left w:val="single" w:color="D1D5DB" w:sz="1"/>
              <w:bottom w:val="single" w:color="D1D5DB" w:sz="1"/>
              <w:right w:val="single" w:color="D1D5DB" w:sz="1"/>
            </w:tcBorders>
            <w:tcMar>
              <w:top w:type="dxa" w:w="80"/>
              <w:left w:type="dxa" w:w="120"/>
              <w:bottom w:type="dxa" w:w="80"/>
              <w:right w:type="dxa" w:w="120"/>
            </w:tcMar>
          </w:tcPr>
          <w:p>
            <w:r>
              <w:rPr>
                <w:rFonts w:ascii="Arial" w:cs="Arial" w:eastAsia="Arial" w:hAnsi="Arial"/>
                <w:b w:val="false"/>
                <w:bCs w:val="false"/>
                <w:color w:val="111827"/>
                <w:sz w:val="18"/>
                <w:szCs w:val="18"/>
              </w:rPr>
              <w:t xml:space="preserve">N/A (covered by FCU)</w:t>
            </w:r>
          </w:p>
        </w:tc>
        <w:tc>
          <w:tcPr>
            <w:tcW w:type="dxa" w:w="2000"/>
            <w:tcBorders>
              <w:top w:val="single" w:color="D1D5DB" w:sz="1"/>
              <w:left w:val="single" w:color="D1D5DB" w:sz="1"/>
              <w:bottom w:val="single" w:color="D1D5DB" w:sz="1"/>
              <w:right w:val="single" w:color="D1D5DB" w:sz="1"/>
            </w:tcBorders>
            <w:tcMar>
              <w:top w:type="dxa" w:w="80"/>
              <w:left w:type="dxa" w:w="120"/>
              <w:bottom w:type="dxa" w:w="80"/>
              <w:right w:type="dxa" w:w="120"/>
            </w:tcMar>
          </w:tcPr>
          <w:p>
            <w:r>
              <w:rPr>
                <w:rFonts w:ascii="Arial" w:cs="Arial" w:eastAsia="Arial" w:hAnsi="Arial"/>
                <w:b w:val="false"/>
                <w:bCs w:val="false"/>
                <w:color w:val="111827"/>
                <w:sz w:val="18"/>
                <w:szCs w:val="18"/>
              </w:rPr>
              <w:t xml:space="preserve">None</w:t>
            </w:r>
          </w:p>
        </w:tc>
        <w:tc>
          <w:tcPr>
            <w:tcW w:type="dxa" w:w="1960"/>
            <w:tcBorders>
              <w:top w:val="single" w:color="D1D5DB" w:sz="1"/>
              <w:left w:val="single" w:color="D1D5DB" w:sz="1"/>
              <w:bottom w:val="single" w:color="D1D5DB" w:sz="1"/>
              <w:right w:val="single" w:color="D1D5DB" w:sz="1"/>
            </w:tcBorders>
            <w:tcMar>
              <w:top w:type="dxa" w:w="80"/>
              <w:left w:type="dxa" w:w="120"/>
              <w:bottom w:type="dxa" w:w="80"/>
              <w:right w:type="dxa" w:w="120"/>
            </w:tcMar>
          </w:tcPr>
          <w:p>
            <w:r>
              <w:rPr>
                <w:rFonts w:ascii="Arial" w:cs="Arial" w:eastAsia="Arial" w:hAnsi="Arial"/>
                <w:b w:val="false"/>
                <w:bCs w:val="false"/>
                <w:color w:val="111827"/>
                <w:sz w:val="18"/>
                <w:szCs w:val="18"/>
              </w:rPr>
              <w:t xml:space="preserve">File exports are not FIQ-billable; the data was already processed under FCU.</w:t>
            </w:r>
          </w:p>
        </w:tc>
      </w:tr>
    </w:tbl>
    <w:p>
      <w:pPr>
        <w:spacing w:after="80"/>
      </w:pPr>
    </w:p>
    <w:p>
      <w:pPr>
        <w:spacing w:after="160"/>
      </w:pPr>
      <w:r>
        <w:rPr>
          <w:rFonts w:ascii="Arial" w:cs="Arial" w:eastAsia="Arial" w:hAnsi="Arial"/>
          <w:b/>
          <w:bCs/>
          <w:color w:val="111827"/>
          <w:sz w:val="22"/>
          <w:szCs w:val="22"/>
        </w:rPr>
        <w:t xml:space="preserve">Weighting calibration: </w:t>
      </w:r>
      <w:r>
        <w:rPr>
          <w:rFonts w:ascii="Arial" w:cs="Arial" w:eastAsia="Arial" w:hAnsi="Arial"/>
          <w:color w:val="111827"/>
          <w:sz w:val="22"/>
          <w:szCs w:val="22"/>
        </w:rPr>
        <w:t xml:space="preserve">The weighting model is calibrated so that the internal cost of 1 FIQ is approximately $0.005–$0.01 (BigQuery scan cost + proportional LLM cost if applicable). At the customer-facing rate of $0.04/FIQ ($40/1,000), the gross margin on FIQ is approximately 75–87.5%. The weighting model is reviewed quarterly and adjusted if cost structure changes (e.g., BigQuery pricing changes, LLM token costs decrease).</w:t>
      </w:r>
    </w:p>
    <w:p>
      <w:pPr>
        <w:pStyle w:val="Heading2"/>
      </w:pPr>
      <w:r>
        <w:t xml:space="preserve">4.3 FIQ Included Allocations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2400"/>
        <w:gridCol w:w="4560"/>
      </w:tblGrid>
      <w:tr>
        <w:tc>
          <w:tcPr>
            <w:tcW w:type="dxa" w:w="2400"/>
            <w:tcBorders>
              <w:top w:val="single" w:color="D1D5DB" w:sz="1"/>
              <w:left w:val="single" w:color="D1D5DB" w:sz="1"/>
              <w:bottom w:val="single" w:color="D1D5DB" w:sz="1"/>
              <w:right w:val="single" w:color="D1D5DB" w:sz="1"/>
            </w:tcBorders>
            <w:shd w:fill="1E3A5F" w:val="clear"/>
            <w:tcMar>
              <w:top w:type="dxa" w:w="80"/>
              <w:left w:type="dxa" w:w="120"/>
              <w:bottom w:type="dxa" w:w="80"/>
              <w:right w:type="dxa" w:w="120"/>
            </w:tcMar>
          </w:tcPr>
          <w:p>
            <w:r>
              <w:rPr>
                <w:rFonts w:ascii="Arial" w:cs="Arial" w:eastAsia="Arial" w:hAnsi="Arial"/>
                <w:b/>
                <w:bCs/>
                <w:color w:val="FFFFFF"/>
                <w:sz w:val="17"/>
                <w:szCs w:val="17"/>
              </w:rPr>
              <w:t xml:space="preserve">Plan</w:t>
            </w:r>
          </w:p>
        </w:tc>
        <w:tc>
          <w:tcPr>
            <w:tcW w:type="dxa" w:w="2400"/>
            <w:tcBorders>
              <w:top w:val="single" w:color="D1D5DB" w:sz="1"/>
              <w:left w:val="single" w:color="D1D5DB" w:sz="1"/>
              <w:bottom w:val="single" w:color="D1D5DB" w:sz="1"/>
              <w:right w:val="single" w:color="D1D5DB" w:sz="1"/>
            </w:tcBorders>
            <w:shd w:fill="1E3A5F" w:val="clear"/>
            <w:tcMar>
              <w:top w:type="dxa" w:w="80"/>
              <w:left w:type="dxa" w:w="120"/>
              <w:bottom w:type="dxa" w:w="80"/>
              <w:right w:type="dxa" w:w="120"/>
            </w:tcMar>
          </w:tcPr>
          <w:p>
            <w:r>
              <w:rPr>
                <w:rFonts w:ascii="Arial" w:cs="Arial" w:eastAsia="Arial" w:hAnsi="Arial"/>
                <w:b/>
                <w:bCs/>
                <w:color w:val="FFFFFF"/>
                <w:sz w:val="17"/>
                <w:szCs w:val="17"/>
              </w:rPr>
              <w:t xml:space="preserve">Included FIQ/Month</w:t>
            </w:r>
          </w:p>
        </w:tc>
        <w:tc>
          <w:tcPr>
            <w:tcW w:type="dxa" w:w="4560"/>
            <w:tcBorders>
              <w:top w:val="single" w:color="D1D5DB" w:sz="1"/>
              <w:left w:val="single" w:color="D1D5DB" w:sz="1"/>
              <w:bottom w:val="single" w:color="D1D5DB" w:sz="1"/>
              <w:right w:val="single" w:color="D1D5DB" w:sz="1"/>
            </w:tcBorders>
            <w:shd w:fill="1E3A5F" w:val="clear"/>
            <w:tcMar>
              <w:top w:type="dxa" w:w="80"/>
              <w:left w:type="dxa" w:w="120"/>
              <w:bottom w:type="dxa" w:w="80"/>
              <w:right w:type="dxa" w:w="120"/>
            </w:tcMar>
          </w:tcPr>
          <w:p>
            <w:r>
              <w:rPr>
                <w:rFonts w:ascii="Arial" w:cs="Arial" w:eastAsia="Arial" w:hAnsi="Arial"/>
                <w:b/>
                <w:bCs/>
                <w:color w:val="FFFFFF"/>
                <w:sz w:val="17"/>
                <w:szCs w:val="17"/>
              </w:rPr>
              <w:t xml:space="preserve">Expected Usage Pattern</w:t>
            </w:r>
          </w:p>
        </w:tc>
      </w:tr>
      <w:tr>
        <w:tc>
          <w:tcPr>
            <w:tcW w:type="dxa" w:w="2400"/>
            <w:tcBorders>
              <w:top w:val="single" w:color="D1D5DB" w:sz="1"/>
              <w:left w:val="single" w:color="D1D5DB" w:sz="1"/>
              <w:bottom w:val="single" w:color="D1D5DB" w:sz="1"/>
              <w:right w:val="single" w:color="D1D5DB" w:sz="1"/>
            </w:tcBorders>
            <w:shd w:fill="EFF6FF" w:val="clear"/>
            <w:tcMar>
              <w:top w:type="dxa" w:w="80"/>
              <w:left w:type="dxa" w:w="120"/>
              <w:bottom w:type="dxa" w:w="80"/>
              <w:right w:type="dxa" w:w="120"/>
            </w:tcMar>
          </w:tcPr>
          <w:p>
            <w:r>
              <w:rPr>
                <w:rFonts w:ascii="Arial" w:cs="Arial" w:eastAsia="Arial" w:hAnsi="Arial"/>
                <w:b w:val="false"/>
                <w:bCs w:val="false"/>
                <w:color w:val="111827"/>
                <w:sz w:val="18"/>
                <w:szCs w:val="18"/>
              </w:rPr>
              <w:t xml:space="preserve">Premium</w:t>
            </w:r>
          </w:p>
        </w:tc>
        <w:tc>
          <w:tcPr>
            <w:tcW w:type="dxa" w:w="2400"/>
            <w:tcBorders>
              <w:top w:val="single" w:color="D1D5DB" w:sz="1"/>
              <w:left w:val="single" w:color="D1D5DB" w:sz="1"/>
              <w:bottom w:val="single" w:color="D1D5DB" w:sz="1"/>
              <w:right w:val="single" w:color="D1D5DB" w:sz="1"/>
            </w:tcBorders>
            <w:shd w:fill="EFF6FF" w:val="clear"/>
            <w:tcMar>
              <w:top w:type="dxa" w:w="80"/>
              <w:left w:type="dxa" w:w="120"/>
              <w:bottom w:type="dxa" w:w="80"/>
              <w:right w:type="dxa" w:w="120"/>
            </w:tcMar>
          </w:tcPr>
          <w:p>
            <w:r>
              <w:rPr>
                <w:rFonts w:ascii="Arial" w:cs="Arial" w:eastAsia="Arial" w:hAnsi="Arial"/>
                <w:b w:val="false"/>
                <w:bCs w:val="false"/>
                <w:color w:val="111827"/>
                <w:sz w:val="18"/>
                <w:szCs w:val="18"/>
              </w:rPr>
              <w:t xml:space="preserve">2,000</w:t>
            </w:r>
          </w:p>
        </w:tc>
        <w:tc>
          <w:tcPr>
            <w:tcW w:type="dxa" w:w="4560"/>
            <w:tcBorders>
              <w:top w:val="single" w:color="D1D5DB" w:sz="1"/>
              <w:left w:val="single" w:color="D1D5DB" w:sz="1"/>
              <w:bottom w:val="single" w:color="D1D5DB" w:sz="1"/>
              <w:right w:val="single" w:color="D1D5DB" w:sz="1"/>
            </w:tcBorders>
            <w:shd w:fill="EFF6FF" w:val="clear"/>
            <w:tcMar>
              <w:top w:type="dxa" w:w="80"/>
              <w:left w:type="dxa" w:w="120"/>
              <w:bottom w:type="dxa" w:w="80"/>
              <w:right w:type="dxa" w:w="120"/>
            </w:tcMar>
          </w:tcPr>
          <w:p>
            <w:r>
              <w:rPr>
                <w:rFonts w:ascii="Arial" w:cs="Arial" w:eastAsia="Arial" w:hAnsi="Arial"/>
                <w:b w:val="false"/>
                <w:bCs w:val="false"/>
                <w:color w:val="111827"/>
                <w:sz w:val="18"/>
                <w:szCs w:val="18"/>
              </w:rPr>
              <w:t xml:space="preserve">2–3 human users doing periodic data review + 1–2 AI agents running weekly reports. Modest usage.</w:t>
            </w:r>
          </w:p>
        </w:tc>
      </w:tr>
      <w:tr>
        <w:tc>
          <w:tcPr>
            <w:tcW w:type="dxa" w:w="2400"/>
            <w:tcBorders>
              <w:top w:val="single" w:color="D1D5DB" w:sz="1"/>
              <w:left w:val="single" w:color="D1D5DB" w:sz="1"/>
              <w:bottom w:val="single" w:color="D1D5DB" w:sz="1"/>
              <w:right w:val="single" w:color="D1D5DB" w:sz="1"/>
            </w:tcBorders>
            <w:tcMar>
              <w:top w:type="dxa" w:w="80"/>
              <w:left w:type="dxa" w:w="120"/>
              <w:bottom w:type="dxa" w:w="80"/>
              <w:right w:type="dxa" w:w="120"/>
            </w:tcMar>
          </w:tcPr>
          <w:p>
            <w:r>
              <w:rPr>
                <w:rFonts w:ascii="Arial" w:cs="Arial" w:eastAsia="Arial" w:hAnsi="Arial"/>
                <w:b w:val="false"/>
                <w:bCs w:val="false"/>
                <w:color w:val="111827"/>
                <w:sz w:val="18"/>
                <w:szCs w:val="18"/>
              </w:rPr>
              <w:t xml:space="preserve">Pro</w:t>
            </w:r>
          </w:p>
        </w:tc>
        <w:tc>
          <w:tcPr>
            <w:tcW w:type="dxa" w:w="2400"/>
            <w:tcBorders>
              <w:top w:val="single" w:color="D1D5DB" w:sz="1"/>
              <w:left w:val="single" w:color="D1D5DB" w:sz="1"/>
              <w:bottom w:val="single" w:color="D1D5DB" w:sz="1"/>
              <w:right w:val="single" w:color="D1D5DB" w:sz="1"/>
            </w:tcBorders>
            <w:tcMar>
              <w:top w:type="dxa" w:w="80"/>
              <w:left w:type="dxa" w:w="120"/>
              <w:bottom w:type="dxa" w:w="80"/>
              <w:right w:type="dxa" w:w="120"/>
            </w:tcMar>
          </w:tcPr>
          <w:p>
            <w:r>
              <w:rPr>
                <w:rFonts w:ascii="Arial" w:cs="Arial" w:eastAsia="Arial" w:hAnsi="Arial"/>
                <w:b w:val="false"/>
                <w:bCs w:val="false"/>
                <w:color w:val="111827"/>
                <w:sz w:val="18"/>
                <w:szCs w:val="18"/>
              </w:rPr>
              <w:t xml:space="preserve">10,000</w:t>
            </w:r>
          </w:p>
        </w:tc>
        <w:tc>
          <w:tcPr>
            <w:tcW w:type="dxa" w:w="4560"/>
            <w:tcBorders>
              <w:top w:val="single" w:color="D1D5DB" w:sz="1"/>
              <w:left w:val="single" w:color="D1D5DB" w:sz="1"/>
              <w:bottom w:val="single" w:color="D1D5DB" w:sz="1"/>
              <w:right w:val="single" w:color="D1D5DB" w:sz="1"/>
            </w:tcBorders>
            <w:tcMar>
              <w:top w:type="dxa" w:w="80"/>
              <w:left w:type="dxa" w:w="120"/>
              <w:bottom w:type="dxa" w:w="80"/>
              <w:right w:type="dxa" w:w="120"/>
            </w:tcMar>
          </w:tcPr>
          <w:p>
            <w:r>
              <w:rPr>
                <w:rFonts w:ascii="Arial" w:cs="Arial" w:eastAsia="Arial" w:hAnsi="Arial"/>
                <w:b w:val="false"/>
                <w:bCs w:val="false"/>
                <w:color w:val="111827"/>
                <w:sz w:val="18"/>
                <w:szCs w:val="18"/>
              </w:rPr>
              <w:t xml:space="preserve">5 human users + 5–10 AI agents. Mix of daily automated reports and ad-hoc analysis. Moderate usage.</w:t>
            </w:r>
          </w:p>
        </w:tc>
      </w:tr>
      <w:tr>
        <w:tc>
          <w:tcPr>
            <w:tcW w:type="dxa" w:w="2400"/>
            <w:tcBorders>
              <w:top w:val="single" w:color="D1D5DB" w:sz="1"/>
              <w:left w:val="single" w:color="D1D5DB" w:sz="1"/>
              <w:bottom w:val="single" w:color="D1D5DB" w:sz="1"/>
              <w:right w:val="single" w:color="D1D5DB" w:sz="1"/>
            </w:tcBorders>
            <w:shd w:fill="EFF6FF" w:val="clear"/>
            <w:tcMar>
              <w:top w:type="dxa" w:w="80"/>
              <w:left w:type="dxa" w:w="120"/>
              <w:bottom w:type="dxa" w:w="80"/>
              <w:right w:type="dxa" w:w="120"/>
            </w:tcMar>
          </w:tcPr>
          <w:p>
            <w:r>
              <w:rPr>
                <w:rFonts w:ascii="Arial" w:cs="Arial" w:eastAsia="Arial" w:hAnsi="Arial"/>
                <w:b w:val="false"/>
                <w:bCs w:val="false"/>
                <w:color w:val="111827"/>
                <w:sz w:val="18"/>
                <w:szCs w:val="18"/>
              </w:rPr>
              <w:t xml:space="preserve">Enterprise</w:t>
            </w:r>
          </w:p>
        </w:tc>
        <w:tc>
          <w:tcPr>
            <w:tcW w:type="dxa" w:w="2400"/>
            <w:tcBorders>
              <w:top w:val="single" w:color="D1D5DB" w:sz="1"/>
              <w:left w:val="single" w:color="D1D5DB" w:sz="1"/>
              <w:bottom w:val="single" w:color="D1D5DB" w:sz="1"/>
              <w:right w:val="single" w:color="D1D5DB" w:sz="1"/>
            </w:tcBorders>
            <w:shd w:fill="EFF6FF" w:val="clear"/>
            <w:tcMar>
              <w:top w:type="dxa" w:w="80"/>
              <w:left w:type="dxa" w:w="120"/>
              <w:bottom w:type="dxa" w:w="80"/>
              <w:right w:type="dxa" w:w="120"/>
            </w:tcMar>
          </w:tcPr>
          <w:p>
            <w:r>
              <w:rPr>
                <w:rFonts w:ascii="Arial" w:cs="Arial" w:eastAsia="Arial" w:hAnsi="Arial"/>
                <w:b w:val="false"/>
                <w:bCs w:val="false"/>
                <w:color w:val="111827"/>
                <w:sz w:val="18"/>
                <w:szCs w:val="18"/>
              </w:rPr>
              <w:t xml:space="preserve">Custom (negotiated)</w:t>
            </w:r>
          </w:p>
        </w:tc>
        <w:tc>
          <w:tcPr>
            <w:tcW w:type="dxa" w:w="4560"/>
            <w:tcBorders>
              <w:top w:val="single" w:color="D1D5DB" w:sz="1"/>
              <w:left w:val="single" w:color="D1D5DB" w:sz="1"/>
              <w:bottom w:val="single" w:color="D1D5DB" w:sz="1"/>
              <w:right w:val="single" w:color="D1D5DB" w:sz="1"/>
            </w:tcBorders>
            <w:shd w:fill="EFF6FF" w:val="clear"/>
            <w:tcMar>
              <w:top w:type="dxa" w:w="80"/>
              <w:left w:type="dxa" w:w="120"/>
              <w:bottom w:type="dxa" w:w="80"/>
              <w:right w:type="dxa" w:w="120"/>
            </w:tcMar>
          </w:tcPr>
          <w:p>
            <w:r>
              <w:rPr>
                <w:rFonts w:ascii="Arial" w:cs="Arial" w:eastAsia="Arial" w:hAnsi="Arial"/>
                <w:b w:val="false"/>
                <w:bCs w:val="false"/>
                <w:color w:val="111827"/>
                <w:sz w:val="18"/>
                <w:szCs w:val="18"/>
              </w:rPr>
              <w:t xml:space="preserve">Unlimited human users + many AI agents. High-frequency automated workflows. Budget for 50K–200K+ FIQ/month.</w:t>
            </w:r>
          </w:p>
        </w:tc>
      </w:tr>
    </w:tbl>
    <w:p>
      <w:pPr>
        <w:spacing w:after="80"/>
      </w:pPr>
    </w:p>
    <w:p>
      <w:pPr>
        <w:pStyle w:val="Heading2"/>
      </w:pPr>
      <w:r>
        <w:t xml:space="preserve">4.4 FIQ Overage Pricing</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2400"/>
        <w:gridCol w:w="4560"/>
      </w:tblGrid>
      <w:tr>
        <w:tc>
          <w:tcPr>
            <w:tcW w:type="dxa" w:w="2400"/>
            <w:tcBorders>
              <w:top w:val="single" w:color="D1D5DB" w:sz="1"/>
              <w:left w:val="single" w:color="D1D5DB" w:sz="1"/>
              <w:bottom w:val="single" w:color="D1D5DB" w:sz="1"/>
              <w:right w:val="single" w:color="D1D5DB" w:sz="1"/>
            </w:tcBorders>
            <w:shd w:fill="1E3A5F" w:val="clear"/>
            <w:tcMar>
              <w:top w:type="dxa" w:w="80"/>
              <w:left w:type="dxa" w:w="120"/>
              <w:bottom w:type="dxa" w:w="80"/>
              <w:right w:type="dxa" w:w="120"/>
            </w:tcMar>
          </w:tcPr>
          <w:p>
            <w:r>
              <w:rPr>
                <w:rFonts w:ascii="Arial" w:cs="Arial" w:eastAsia="Arial" w:hAnsi="Arial"/>
                <w:b/>
                <w:bCs/>
                <w:color w:val="FFFFFF"/>
                <w:sz w:val="17"/>
                <w:szCs w:val="17"/>
              </w:rPr>
              <w:t xml:space="preserve">Overage Tier</w:t>
            </w:r>
          </w:p>
        </w:tc>
        <w:tc>
          <w:tcPr>
            <w:tcW w:type="dxa" w:w="2400"/>
            <w:tcBorders>
              <w:top w:val="single" w:color="D1D5DB" w:sz="1"/>
              <w:left w:val="single" w:color="D1D5DB" w:sz="1"/>
              <w:bottom w:val="single" w:color="D1D5DB" w:sz="1"/>
              <w:right w:val="single" w:color="D1D5DB" w:sz="1"/>
            </w:tcBorders>
            <w:shd w:fill="1E3A5F" w:val="clear"/>
            <w:tcMar>
              <w:top w:type="dxa" w:w="80"/>
              <w:left w:type="dxa" w:w="120"/>
              <w:bottom w:type="dxa" w:w="80"/>
              <w:right w:type="dxa" w:w="120"/>
            </w:tcMar>
          </w:tcPr>
          <w:p>
            <w:r>
              <w:rPr>
                <w:rFonts w:ascii="Arial" w:cs="Arial" w:eastAsia="Arial" w:hAnsi="Arial"/>
                <w:b/>
                <w:bCs/>
                <w:color w:val="FFFFFF"/>
                <w:sz w:val="17"/>
                <w:szCs w:val="17"/>
              </w:rPr>
              <w:t xml:space="preserve">Rate (per 1,000 FIQ)</w:t>
            </w:r>
          </w:p>
        </w:tc>
        <w:tc>
          <w:tcPr>
            <w:tcW w:type="dxa" w:w="4560"/>
            <w:tcBorders>
              <w:top w:val="single" w:color="D1D5DB" w:sz="1"/>
              <w:left w:val="single" w:color="D1D5DB" w:sz="1"/>
              <w:bottom w:val="single" w:color="D1D5DB" w:sz="1"/>
              <w:right w:val="single" w:color="D1D5DB" w:sz="1"/>
            </w:tcBorders>
            <w:shd w:fill="1E3A5F" w:val="clear"/>
            <w:tcMar>
              <w:top w:type="dxa" w:w="80"/>
              <w:left w:type="dxa" w:w="120"/>
              <w:bottom w:type="dxa" w:w="80"/>
              <w:right w:type="dxa" w:w="120"/>
            </w:tcMar>
          </w:tcPr>
          <w:p>
            <w:r>
              <w:rPr>
                <w:rFonts w:ascii="Arial" w:cs="Arial" w:eastAsia="Arial" w:hAnsi="Arial"/>
                <w:b/>
                <w:bCs/>
                <w:color w:val="FFFFFF"/>
                <w:sz w:val="17"/>
                <w:szCs w:val="17"/>
              </w:rPr>
              <w:t xml:space="preserve">Notes</w:t>
            </w:r>
          </w:p>
        </w:tc>
      </w:tr>
      <w:tr>
        <w:tc>
          <w:tcPr>
            <w:tcW w:type="dxa" w:w="2400"/>
            <w:tcBorders>
              <w:top w:val="single" w:color="D1D5DB" w:sz="1"/>
              <w:left w:val="single" w:color="D1D5DB" w:sz="1"/>
              <w:bottom w:val="single" w:color="D1D5DB" w:sz="1"/>
              <w:right w:val="single" w:color="D1D5DB" w:sz="1"/>
            </w:tcBorders>
            <w:shd w:fill="EFF6FF" w:val="clear"/>
            <w:tcMar>
              <w:top w:type="dxa" w:w="80"/>
              <w:left w:type="dxa" w:w="120"/>
              <w:bottom w:type="dxa" w:w="80"/>
              <w:right w:type="dxa" w:w="120"/>
            </w:tcMar>
          </w:tcPr>
          <w:p>
            <w:r>
              <w:rPr>
                <w:rFonts w:ascii="Arial" w:cs="Arial" w:eastAsia="Arial" w:hAnsi="Arial"/>
                <w:b w:val="false"/>
                <w:bCs w:val="false"/>
                <w:color w:val="111827"/>
                <w:sz w:val="18"/>
                <w:szCs w:val="18"/>
              </w:rPr>
              <w:t xml:space="preserve">0 – 20K FIQ over allocation</w:t>
            </w:r>
          </w:p>
        </w:tc>
        <w:tc>
          <w:tcPr>
            <w:tcW w:type="dxa" w:w="2400"/>
            <w:tcBorders>
              <w:top w:val="single" w:color="D1D5DB" w:sz="1"/>
              <w:left w:val="single" w:color="D1D5DB" w:sz="1"/>
              <w:bottom w:val="single" w:color="D1D5DB" w:sz="1"/>
              <w:right w:val="single" w:color="D1D5DB" w:sz="1"/>
            </w:tcBorders>
            <w:shd w:fill="EFF6FF" w:val="clear"/>
            <w:tcMar>
              <w:top w:type="dxa" w:w="80"/>
              <w:left w:type="dxa" w:w="120"/>
              <w:bottom w:type="dxa" w:w="80"/>
              <w:right w:type="dxa" w:w="120"/>
            </w:tcMar>
          </w:tcPr>
          <w:p>
            <w:r>
              <w:rPr>
                <w:rFonts w:ascii="Arial" w:cs="Arial" w:eastAsia="Arial" w:hAnsi="Arial"/>
                <w:b w:val="false"/>
                <w:bCs w:val="false"/>
                <w:color w:val="111827"/>
                <w:sz w:val="18"/>
                <w:szCs w:val="18"/>
              </w:rPr>
              <w:t xml:space="preserve">$40 / 1,000</w:t>
            </w:r>
          </w:p>
        </w:tc>
        <w:tc>
          <w:tcPr>
            <w:tcW w:type="dxa" w:w="4560"/>
            <w:tcBorders>
              <w:top w:val="single" w:color="D1D5DB" w:sz="1"/>
              <w:left w:val="single" w:color="D1D5DB" w:sz="1"/>
              <w:bottom w:val="single" w:color="D1D5DB" w:sz="1"/>
              <w:right w:val="single" w:color="D1D5DB" w:sz="1"/>
            </w:tcBorders>
            <w:shd w:fill="EFF6FF" w:val="clear"/>
            <w:tcMar>
              <w:top w:type="dxa" w:w="80"/>
              <w:left w:type="dxa" w:w="120"/>
              <w:bottom w:type="dxa" w:w="80"/>
              <w:right w:type="dxa" w:w="120"/>
            </w:tcMar>
          </w:tcPr>
          <w:p>
            <w:r>
              <w:rPr>
                <w:rFonts w:ascii="Arial" w:cs="Arial" w:eastAsia="Arial" w:hAnsi="Arial"/>
                <w:b w:val="false"/>
                <w:bCs w:val="false"/>
                <w:color w:val="111827"/>
                <w:sz w:val="18"/>
                <w:szCs w:val="18"/>
              </w:rPr>
              <w:t xml:space="preserve">Standard overage rate. Most Premium and Pro customers land here.</w:t>
            </w:r>
          </w:p>
        </w:tc>
      </w:tr>
      <w:tr>
        <w:tc>
          <w:tcPr>
            <w:tcW w:type="dxa" w:w="2400"/>
            <w:tcBorders>
              <w:top w:val="single" w:color="D1D5DB" w:sz="1"/>
              <w:left w:val="single" w:color="D1D5DB" w:sz="1"/>
              <w:bottom w:val="single" w:color="D1D5DB" w:sz="1"/>
              <w:right w:val="single" w:color="D1D5DB" w:sz="1"/>
            </w:tcBorders>
            <w:tcMar>
              <w:top w:type="dxa" w:w="80"/>
              <w:left w:type="dxa" w:w="120"/>
              <w:bottom w:type="dxa" w:w="80"/>
              <w:right w:type="dxa" w:w="120"/>
            </w:tcMar>
          </w:tcPr>
          <w:p>
            <w:r>
              <w:rPr>
                <w:rFonts w:ascii="Arial" w:cs="Arial" w:eastAsia="Arial" w:hAnsi="Arial"/>
                <w:b w:val="false"/>
                <w:bCs w:val="false"/>
                <w:color w:val="111827"/>
                <w:sz w:val="18"/>
                <w:szCs w:val="18"/>
              </w:rPr>
              <w:t xml:space="preserve">20K – 100K FIQ over allocation</w:t>
            </w:r>
          </w:p>
        </w:tc>
        <w:tc>
          <w:tcPr>
            <w:tcW w:type="dxa" w:w="2400"/>
            <w:tcBorders>
              <w:top w:val="single" w:color="D1D5DB" w:sz="1"/>
              <w:left w:val="single" w:color="D1D5DB" w:sz="1"/>
              <w:bottom w:val="single" w:color="D1D5DB" w:sz="1"/>
              <w:right w:val="single" w:color="D1D5DB" w:sz="1"/>
            </w:tcBorders>
            <w:tcMar>
              <w:top w:type="dxa" w:w="80"/>
              <w:left w:type="dxa" w:w="120"/>
              <w:bottom w:type="dxa" w:w="80"/>
              <w:right w:type="dxa" w:w="120"/>
            </w:tcMar>
          </w:tcPr>
          <w:p>
            <w:r>
              <w:rPr>
                <w:rFonts w:ascii="Arial" w:cs="Arial" w:eastAsia="Arial" w:hAnsi="Arial"/>
                <w:b w:val="false"/>
                <w:bCs w:val="false"/>
                <w:color w:val="111827"/>
                <w:sz w:val="18"/>
                <w:szCs w:val="18"/>
              </w:rPr>
              <w:t xml:space="preserve">$30 / 1,000</w:t>
            </w:r>
          </w:p>
        </w:tc>
        <w:tc>
          <w:tcPr>
            <w:tcW w:type="dxa" w:w="4560"/>
            <w:tcBorders>
              <w:top w:val="single" w:color="D1D5DB" w:sz="1"/>
              <w:left w:val="single" w:color="D1D5DB" w:sz="1"/>
              <w:bottom w:val="single" w:color="D1D5DB" w:sz="1"/>
              <w:right w:val="single" w:color="D1D5DB" w:sz="1"/>
            </w:tcBorders>
            <w:tcMar>
              <w:top w:type="dxa" w:w="80"/>
              <w:left w:type="dxa" w:w="120"/>
              <w:bottom w:type="dxa" w:w="80"/>
              <w:right w:type="dxa" w:w="120"/>
            </w:tcMar>
          </w:tcPr>
          <w:p>
            <w:r>
              <w:rPr>
                <w:rFonts w:ascii="Arial" w:cs="Arial" w:eastAsia="Arial" w:hAnsi="Arial"/>
                <w:b w:val="false"/>
                <w:bCs w:val="false"/>
                <w:color w:val="111827"/>
                <w:sz w:val="18"/>
                <w:szCs w:val="18"/>
              </w:rPr>
              <w:t xml:space="preserve">Volume discount kicks in. Rewards growing agent adoption.</w:t>
            </w:r>
          </w:p>
        </w:tc>
      </w:tr>
      <w:tr>
        <w:tc>
          <w:tcPr>
            <w:tcW w:type="dxa" w:w="2400"/>
            <w:tcBorders>
              <w:top w:val="single" w:color="D1D5DB" w:sz="1"/>
              <w:left w:val="single" w:color="D1D5DB" w:sz="1"/>
              <w:bottom w:val="single" w:color="D1D5DB" w:sz="1"/>
              <w:right w:val="single" w:color="D1D5DB" w:sz="1"/>
            </w:tcBorders>
            <w:shd w:fill="EFF6FF" w:val="clear"/>
            <w:tcMar>
              <w:top w:type="dxa" w:w="80"/>
              <w:left w:type="dxa" w:w="120"/>
              <w:bottom w:type="dxa" w:w="80"/>
              <w:right w:type="dxa" w:w="120"/>
            </w:tcMar>
          </w:tcPr>
          <w:p>
            <w:r>
              <w:rPr>
                <w:rFonts w:ascii="Arial" w:cs="Arial" w:eastAsia="Arial" w:hAnsi="Arial"/>
                <w:b w:val="false"/>
                <w:bCs w:val="false"/>
                <w:color w:val="111827"/>
                <w:sz w:val="18"/>
                <w:szCs w:val="18"/>
              </w:rPr>
              <w:t xml:space="preserve">100K+ FIQ over allocation</w:t>
            </w:r>
          </w:p>
        </w:tc>
        <w:tc>
          <w:tcPr>
            <w:tcW w:type="dxa" w:w="2400"/>
            <w:tcBorders>
              <w:top w:val="single" w:color="D1D5DB" w:sz="1"/>
              <w:left w:val="single" w:color="D1D5DB" w:sz="1"/>
              <w:bottom w:val="single" w:color="D1D5DB" w:sz="1"/>
              <w:right w:val="single" w:color="D1D5DB" w:sz="1"/>
            </w:tcBorders>
            <w:shd w:fill="EFF6FF" w:val="clear"/>
            <w:tcMar>
              <w:top w:type="dxa" w:w="80"/>
              <w:left w:type="dxa" w:w="120"/>
              <w:bottom w:type="dxa" w:w="80"/>
              <w:right w:type="dxa" w:w="120"/>
            </w:tcMar>
          </w:tcPr>
          <w:p>
            <w:r>
              <w:rPr>
                <w:rFonts w:ascii="Arial" w:cs="Arial" w:eastAsia="Arial" w:hAnsi="Arial"/>
                <w:b w:val="false"/>
                <w:bCs w:val="false"/>
                <w:color w:val="111827"/>
                <w:sz w:val="18"/>
                <w:szCs w:val="18"/>
              </w:rPr>
              <w:t xml:space="preserve">Custom enterprise pricing</w:t>
            </w:r>
          </w:p>
        </w:tc>
        <w:tc>
          <w:tcPr>
            <w:tcW w:type="dxa" w:w="4560"/>
            <w:tcBorders>
              <w:top w:val="single" w:color="D1D5DB" w:sz="1"/>
              <w:left w:val="single" w:color="D1D5DB" w:sz="1"/>
              <w:bottom w:val="single" w:color="D1D5DB" w:sz="1"/>
              <w:right w:val="single" w:color="D1D5DB" w:sz="1"/>
            </w:tcBorders>
            <w:shd w:fill="EFF6FF" w:val="clear"/>
            <w:tcMar>
              <w:top w:type="dxa" w:w="80"/>
              <w:left w:type="dxa" w:w="120"/>
              <w:bottom w:type="dxa" w:w="80"/>
              <w:right w:type="dxa" w:w="120"/>
            </w:tcMar>
          </w:tcPr>
          <w:p>
            <w:r>
              <w:rPr>
                <w:rFonts w:ascii="Arial" w:cs="Arial" w:eastAsia="Arial" w:hAnsi="Arial"/>
                <w:b w:val="false"/>
                <w:bCs w:val="false"/>
                <w:color w:val="111827"/>
                <w:sz w:val="18"/>
                <w:szCs w:val="18"/>
              </w:rPr>
              <w:t xml:space="preserve">Negotiated for high-volume enterprise customers. Typically $15–$25/1,000.</w:t>
            </w:r>
          </w:p>
        </w:tc>
      </w:tr>
    </w:tbl>
    <w:p>
      <w:pPr>
        <w:spacing w:after="80"/>
      </w:pPr>
    </w:p>
    <w:p>
      <w:pPr>
        <w:pStyle w:val="Heading1"/>
      </w:pPr>
      <w:r>
        <w:t xml:space="preserve">5. Usage Metering and Tracking</w:t>
      </w:r>
    </w:p>
    <w:p>
      <w:pPr>
        <w:pStyle w:val="Heading2"/>
      </w:pPr>
      <w:r>
        <w:t xml:space="preserve">5.1 Usage Event Schema</w:t>
      </w:r>
    </w:p>
    <w:p>
      <w:pPr>
        <w:spacing w:after="160"/>
      </w:pPr>
      <w:r>
        <w:rPr>
          <w:rFonts w:ascii="Arial" w:cs="Arial" w:eastAsia="Arial" w:hAnsi="Arial"/>
          <w:color w:val="111827"/>
          <w:sz w:val="22"/>
          <w:szCs w:val="22"/>
        </w:rPr>
        <w:t xml:space="preserve">Every billable interaction generates a usage event record stored in Supabase. These records are the source of truth for billing calculations, dispute resolution, and audit. Usage events are append-only and immutable.</w:t>
      </w:r>
    </w:p>
    <w:p>
      <w:pPr>
        <w:spacing w:after="20"/>
        <w:ind w:left="360"/>
      </w:pPr>
      <w:r>
        <w:rPr>
          <w:rFonts w:ascii="Courier New" w:cs="Courier New" w:eastAsia="Courier New" w:hAnsi="Courier New"/>
          <w:color w:val="4B5563"/>
          <w:sz w:val="17"/>
          <w:szCs w:val="17"/>
        </w:rPr>
        <w:t xml:space="preserve">// usage_events table schema</w:t>
      </w:r>
    </w:p>
    <w:p>
      <w:pPr>
        <w:spacing w:after="20"/>
        <w:ind w:left="360"/>
      </w:pPr>
      <w:r>
        <w:rPr>
          <w:rFonts w:ascii="Courier New" w:cs="Courier New" w:eastAsia="Courier New" w:hAnsi="Courier New"/>
          <w:color w:val="4B5563"/>
          <w:sz w:val="17"/>
          <w:szCs w:val="17"/>
        </w:rPr>
        <w:t xml:space="preserve">{</w:t>
      </w:r>
    </w:p>
    <w:p>
      <w:pPr>
        <w:spacing w:after="20"/>
        <w:ind w:left="360"/>
      </w:pPr>
      <w:r>
        <w:rPr>
          <w:rFonts w:ascii="Courier New" w:cs="Courier New" w:eastAsia="Courier New" w:hAnsi="Courier New"/>
          <w:color w:val="4B5563"/>
          <w:sz w:val="17"/>
          <w:szCs w:val="17"/>
        </w:rPr>
        <w:t xml:space="preserve">  id:               uuid (PK)</w:t>
      </w:r>
    </w:p>
    <w:p>
      <w:pPr>
        <w:spacing w:after="20"/>
        <w:ind w:left="360"/>
      </w:pPr>
      <w:r>
        <w:rPr>
          <w:rFonts w:ascii="Courier New" w:cs="Courier New" w:eastAsia="Courier New" w:hAnsi="Courier New"/>
          <w:color w:val="4B5563"/>
          <w:sz w:val="17"/>
          <w:szCs w:val="17"/>
        </w:rPr>
        <w:t xml:space="preserve">  org_id:           uuid (FK → organizations)</w:t>
      </w:r>
    </w:p>
    <w:p>
      <w:pPr>
        <w:spacing w:after="20"/>
        <w:ind w:left="360"/>
      </w:pPr>
      <w:r>
        <w:rPr>
          <w:rFonts w:ascii="Courier New" w:cs="Courier New" w:eastAsia="Courier New" w:hAnsi="Courier New"/>
          <w:color w:val="4B5563"/>
          <w:sz w:val="17"/>
          <w:szCs w:val="17"/>
        </w:rPr>
        <w:t xml:space="preserve">  actor_type:       enum (human | agent | system)</w:t>
      </w:r>
    </w:p>
    <w:p>
      <w:pPr>
        <w:spacing w:after="20"/>
        <w:ind w:left="360"/>
      </w:pPr>
      <w:r>
        <w:rPr>
          <w:rFonts w:ascii="Courier New" w:cs="Courier New" w:eastAsia="Courier New" w:hAnsi="Courier New"/>
          <w:color w:val="4B5563"/>
          <w:sz w:val="17"/>
          <w:szCs w:val="17"/>
        </w:rPr>
        <w:t xml:space="preserve">  actor_id:         uuid (FK → org_members or api_keys)</w:t>
      </w:r>
    </w:p>
    <w:p>
      <w:pPr>
        <w:spacing w:after="20"/>
        <w:ind w:left="360"/>
      </w:pPr>
      <w:r>
        <w:rPr>
          <w:rFonts w:ascii="Courier New" w:cs="Courier New" w:eastAsia="Courier New" w:hAnsi="Courier New"/>
          <w:color w:val="4B5563"/>
          <w:sz w:val="17"/>
          <w:szCs w:val="17"/>
        </w:rPr>
        <w:t xml:space="preserve">  event_type:       enum (fcu | fiq)</w:t>
      </w:r>
    </w:p>
    <w:p>
      <w:pPr>
        <w:spacing w:after="20"/>
        <w:ind w:left="360"/>
      </w:pPr>
      <w:r>
        <w:rPr>
          <w:rFonts w:ascii="Courier New" w:cs="Courier New" w:eastAsia="Courier New" w:hAnsi="Courier New"/>
          <w:color w:val="4B5563"/>
          <w:sz w:val="17"/>
          <w:szCs w:val="17"/>
        </w:rPr>
        <w:t xml:space="preserve">  quantity:         integer</w:t>
      </w:r>
    </w:p>
    <w:p>
      <w:pPr>
        <w:spacing w:after="20"/>
        <w:ind w:left="360"/>
      </w:pPr>
      <w:r>
        <w:rPr>
          <w:rFonts w:ascii="Courier New" w:cs="Courier New" w:eastAsia="Courier New" w:hAnsi="Courier New"/>
          <w:color w:val="4B5563"/>
          <w:sz w:val="17"/>
          <w:szCs w:val="17"/>
        </w:rPr>
        <w:t xml:space="preserve">  fiq_weight:       integer (null for FCU events)</w:t>
      </w:r>
    </w:p>
    <w:p>
      <w:pPr>
        <w:spacing w:after="20"/>
        <w:ind w:left="360"/>
      </w:pPr>
      <w:r>
        <w:rPr>
          <w:rFonts w:ascii="Courier New" w:cs="Courier New" w:eastAsia="Courier New" w:hAnsi="Courier New"/>
          <w:color w:val="4B5563"/>
          <w:sz w:val="17"/>
          <w:szCs w:val="17"/>
        </w:rPr>
        <w:t xml:space="preserve">  pipeline_run_id:  uuid (FK, null for FIQ events)</w:t>
      </w:r>
    </w:p>
    <w:p>
      <w:pPr>
        <w:spacing w:after="20"/>
        <w:ind w:left="360"/>
      </w:pPr>
      <w:r>
        <w:rPr>
          <w:rFonts w:ascii="Courier New" w:cs="Courier New" w:eastAsia="Courier New" w:hAnsi="Courier New"/>
          <w:color w:val="4B5563"/>
          <w:sz w:val="17"/>
          <w:szCs w:val="17"/>
        </w:rPr>
        <w:t xml:space="preserve">  mcp_resource:     text (null for FCU events)</w:t>
      </w:r>
    </w:p>
    <w:p>
      <w:pPr>
        <w:spacing w:after="20"/>
        <w:ind w:left="360"/>
      </w:pPr>
      <w:r>
        <w:rPr>
          <w:rFonts w:ascii="Courier New" w:cs="Courier New" w:eastAsia="Courier New" w:hAnsi="Courier New"/>
          <w:color w:val="4B5563"/>
          <w:sz w:val="17"/>
          <w:szCs w:val="17"/>
        </w:rPr>
        <w:t xml:space="preserve">  bq_bytes_scanned: bigint (null for FCU events)</w:t>
      </w:r>
    </w:p>
    <w:p>
      <w:pPr>
        <w:spacing w:after="20"/>
        <w:ind w:left="360"/>
      </w:pPr>
      <w:r>
        <w:rPr>
          <w:rFonts w:ascii="Courier New" w:cs="Courier New" w:eastAsia="Courier New" w:hAnsi="Courier New"/>
          <w:color w:val="4B5563"/>
          <w:sz w:val="17"/>
          <w:szCs w:val="17"/>
        </w:rPr>
        <w:t xml:space="preserve">  token_count:      integer (null if no LLM involved)</w:t>
      </w:r>
    </w:p>
    <w:p>
      <w:pPr>
        <w:spacing w:after="20"/>
        <w:ind w:left="360"/>
      </w:pPr>
      <w:r>
        <w:rPr>
          <w:rFonts w:ascii="Courier New" w:cs="Courier New" w:eastAsia="Courier New" w:hAnsi="Courier New"/>
          <w:color w:val="4B5563"/>
          <w:sz w:val="17"/>
          <w:szCs w:val="17"/>
        </w:rPr>
        <w:t xml:space="preserve">  rows_processed:   integer (null for FIQ events)</w:t>
      </w:r>
    </w:p>
    <w:p>
      <w:pPr>
        <w:spacing w:after="20"/>
        <w:ind w:left="360"/>
      </w:pPr>
      <w:r>
        <w:rPr>
          <w:rFonts w:ascii="Courier New" w:cs="Courier New" w:eastAsia="Courier New" w:hAnsi="Courier New"/>
          <w:color w:val="4B5563"/>
          <w:sz w:val="17"/>
          <w:szCs w:val="17"/>
        </w:rPr>
        <w:t xml:space="preserve">  billing_period:   text (e.g., '2026-03')</w:t>
      </w:r>
    </w:p>
    <w:p>
      <w:pPr>
        <w:spacing w:after="20"/>
        <w:ind w:left="360"/>
      </w:pPr>
      <w:r>
        <w:rPr>
          <w:rFonts w:ascii="Courier New" w:cs="Courier New" w:eastAsia="Courier New" w:hAnsi="Courier New"/>
          <w:color w:val="4B5563"/>
          <w:sz w:val="17"/>
          <w:szCs w:val="17"/>
        </w:rPr>
        <w:t xml:space="preserve">  created_at:       timestamptz</w:t>
      </w:r>
    </w:p>
    <w:p>
      <w:pPr>
        <w:spacing w:after="160"/>
        <w:ind w:left="360"/>
      </w:pPr>
      <w:r>
        <w:rPr>
          <w:rFonts w:ascii="Courier New" w:cs="Courier New" w:eastAsia="Courier New" w:hAnsi="Courier New"/>
          <w:color w:val="4B5563"/>
          <w:sz w:val="17"/>
          <w:szCs w:val="17"/>
        </w:rPr>
        <w:t xml:space="preserve">}</w:t>
      </w:r>
    </w:p>
    <w:p>
      <w:pPr>
        <w:pStyle w:val="Heading2"/>
      </w:pPr>
      <w:r>
        <w:t xml:space="preserve">5.2 Actor Identity Tracking</w:t>
      </w:r>
    </w:p>
    <w:p>
      <w:pPr>
        <w:spacing w:after="160"/>
      </w:pPr>
      <w:r>
        <w:rPr>
          <w:rFonts w:ascii="Arial" w:cs="Arial" w:eastAsia="Arial" w:hAnsi="Arial"/>
          <w:color w:val="111827"/>
          <w:sz w:val="22"/>
          <w:szCs w:val="22"/>
        </w:rPr>
        <w:t xml:space="preserve">All human and agent actors are tracked as first-class billable entities. This enables per-actor usage reporting, which customers use for internal cost allocation and which PipeLedger uses for commercial intelligence (identifying high-value agent patterns).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2400"/>
        <w:gridCol w:w="2400"/>
        <w:gridCol w:w="2560"/>
      </w:tblGrid>
      <w:tr>
        <w:tc>
          <w:tcPr>
            <w:tcW w:type="dxa" w:w="2000"/>
            <w:tcBorders>
              <w:top w:val="single" w:color="D1D5DB" w:sz="1"/>
              <w:left w:val="single" w:color="D1D5DB" w:sz="1"/>
              <w:bottom w:val="single" w:color="D1D5DB" w:sz="1"/>
              <w:right w:val="single" w:color="D1D5DB" w:sz="1"/>
            </w:tcBorders>
            <w:shd w:fill="1E3A5F" w:val="clear"/>
            <w:tcMar>
              <w:top w:type="dxa" w:w="80"/>
              <w:left w:type="dxa" w:w="120"/>
              <w:bottom w:type="dxa" w:w="80"/>
              <w:right w:type="dxa" w:w="120"/>
            </w:tcMar>
          </w:tcPr>
          <w:p>
            <w:r>
              <w:rPr>
                <w:rFonts w:ascii="Arial" w:cs="Arial" w:eastAsia="Arial" w:hAnsi="Arial"/>
                <w:b/>
                <w:bCs/>
                <w:color w:val="FFFFFF"/>
                <w:sz w:val="17"/>
                <w:szCs w:val="17"/>
              </w:rPr>
              <w:t xml:space="preserve">Actor Type</w:t>
            </w:r>
          </w:p>
        </w:tc>
        <w:tc>
          <w:tcPr>
            <w:tcW w:type="dxa" w:w="2400"/>
            <w:tcBorders>
              <w:top w:val="single" w:color="D1D5DB" w:sz="1"/>
              <w:left w:val="single" w:color="D1D5DB" w:sz="1"/>
              <w:bottom w:val="single" w:color="D1D5DB" w:sz="1"/>
              <w:right w:val="single" w:color="D1D5DB" w:sz="1"/>
            </w:tcBorders>
            <w:shd w:fill="1E3A5F" w:val="clear"/>
            <w:tcMar>
              <w:top w:type="dxa" w:w="80"/>
              <w:left w:type="dxa" w:w="120"/>
              <w:bottom w:type="dxa" w:w="80"/>
              <w:right w:type="dxa" w:w="120"/>
            </w:tcMar>
          </w:tcPr>
          <w:p>
            <w:r>
              <w:rPr>
                <w:rFonts w:ascii="Arial" w:cs="Arial" w:eastAsia="Arial" w:hAnsi="Arial"/>
                <w:b/>
                <w:bCs/>
                <w:color w:val="FFFFFF"/>
                <w:sz w:val="17"/>
                <w:szCs w:val="17"/>
              </w:rPr>
              <w:t xml:space="preserve">Identity Source</w:t>
            </w:r>
          </w:p>
        </w:tc>
        <w:tc>
          <w:tcPr>
            <w:tcW w:type="dxa" w:w="2400"/>
            <w:tcBorders>
              <w:top w:val="single" w:color="D1D5DB" w:sz="1"/>
              <w:left w:val="single" w:color="D1D5DB" w:sz="1"/>
              <w:bottom w:val="single" w:color="D1D5DB" w:sz="1"/>
              <w:right w:val="single" w:color="D1D5DB" w:sz="1"/>
            </w:tcBorders>
            <w:shd w:fill="1E3A5F" w:val="clear"/>
            <w:tcMar>
              <w:top w:type="dxa" w:w="80"/>
              <w:left w:type="dxa" w:w="120"/>
              <w:bottom w:type="dxa" w:w="80"/>
              <w:right w:type="dxa" w:w="120"/>
            </w:tcMar>
          </w:tcPr>
          <w:p>
            <w:r>
              <w:rPr>
                <w:rFonts w:ascii="Arial" w:cs="Arial" w:eastAsia="Arial" w:hAnsi="Arial"/>
                <w:b/>
                <w:bCs/>
                <w:color w:val="FFFFFF"/>
                <w:sz w:val="17"/>
                <w:szCs w:val="17"/>
              </w:rPr>
              <w:t xml:space="preserve">Usage Attribution</w:t>
            </w:r>
          </w:p>
        </w:tc>
        <w:tc>
          <w:tcPr>
            <w:tcW w:type="dxa" w:w="2560"/>
            <w:tcBorders>
              <w:top w:val="single" w:color="D1D5DB" w:sz="1"/>
              <w:left w:val="single" w:color="D1D5DB" w:sz="1"/>
              <w:bottom w:val="single" w:color="D1D5DB" w:sz="1"/>
              <w:right w:val="single" w:color="D1D5DB" w:sz="1"/>
            </w:tcBorders>
            <w:shd w:fill="1E3A5F" w:val="clear"/>
            <w:tcMar>
              <w:top w:type="dxa" w:w="80"/>
              <w:left w:type="dxa" w:w="120"/>
              <w:bottom w:type="dxa" w:w="80"/>
              <w:right w:type="dxa" w:w="120"/>
            </w:tcMar>
          </w:tcPr>
          <w:p>
            <w:r>
              <w:rPr>
                <w:rFonts w:ascii="Arial" w:cs="Arial" w:eastAsia="Arial" w:hAnsi="Arial"/>
                <w:b/>
                <w:bCs/>
                <w:color w:val="FFFFFF"/>
                <w:sz w:val="17"/>
                <w:szCs w:val="17"/>
              </w:rPr>
              <w:t xml:space="preserve">Commercial Significance</w:t>
            </w:r>
          </w:p>
        </w:tc>
      </w:tr>
      <w:tr>
        <w:tc>
          <w:tcPr>
            <w:tcW w:type="dxa" w:w="2000"/>
            <w:tcBorders>
              <w:top w:val="single" w:color="D1D5DB" w:sz="1"/>
              <w:left w:val="single" w:color="D1D5DB" w:sz="1"/>
              <w:bottom w:val="single" w:color="D1D5DB" w:sz="1"/>
              <w:right w:val="single" w:color="D1D5DB" w:sz="1"/>
            </w:tcBorders>
            <w:shd w:fill="EFF6FF" w:val="clear"/>
            <w:tcMar>
              <w:top w:type="dxa" w:w="80"/>
              <w:left w:type="dxa" w:w="120"/>
              <w:bottom w:type="dxa" w:w="80"/>
              <w:right w:type="dxa" w:w="120"/>
            </w:tcMar>
          </w:tcPr>
          <w:p>
            <w:r>
              <w:rPr>
                <w:rFonts w:ascii="Arial" w:cs="Arial" w:eastAsia="Arial" w:hAnsi="Arial"/>
                <w:b w:val="false"/>
                <w:bCs w:val="false"/>
                <w:color w:val="111827"/>
                <w:sz w:val="18"/>
                <w:szCs w:val="18"/>
              </w:rPr>
              <w:t xml:space="preserve">Human user</w:t>
            </w:r>
          </w:p>
        </w:tc>
        <w:tc>
          <w:tcPr>
            <w:tcW w:type="dxa" w:w="2400"/>
            <w:tcBorders>
              <w:top w:val="single" w:color="D1D5DB" w:sz="1"/>
              <w:left w:val="single" w:color="D1D5DB" w:sz="1"/>
              <w:bottom w:val="single" w:color="D1D5DB" w:sz="1"/>
              <w:right w:val="single" w:color="D1D5DB" w:sz="1"/>
            </w:tcBorders>
            <w:shd w:fill="EFF6FF" w:val="clear"/>
            <w:tcMar>
              <w:top w:type="dxa" w:w="80"/>
              <w:left w:type="dxa" w:w="120"/>
              <w:bottom w:type="dxa" w:w="80"/>
              <w:right w:type="dxa" w:w="120"/>
            </w:tcMar>
          </w:tcPr>
          <w:p>
            <w:r>
              <w:rPr>
                <w:rFonts w:ascii="Arial" w:cs="Arial" w:eastAsia="Arial" w:hAnsi="Arial"/>
                <w:b w:val="false"/>
                <w:bCs w:val="false"/>
                <w:color w:val="111827"/>
                <w:sz w:val="18"/>
                <w:szCs w:val="18"/>
              </w:rPr>
              <w:t xml:space="preserve">Supabase Auth user_id via JWT</w:t>
            </w:r>
          </w:p>
        </w:tc>
        <w:tc>
          <w:tcPr>
            <w:tcW w:type="dxa" w:w="2400"/>
            <w:tcBorders>
              <w:top w:val="single" w:color="D1D5DB" w:sz="1"/>
              <w:left w:val="single" w:color="D1D5DB" w:sz="1"/>
              <w:bottom w:val="single" w:color="D1D5DB" w:sz="1"/>
              <w:right w:val="single" w:color="D1D5DB" w:sz="1"/>
            </w:tcBorders>
            <w:shd w:fill="EFF6FF" w:val="clear"/>
            <w:tcMar>
              <w:top w:type="dxa" w:w="80"/>
              <w:left w:type="dxa" w:w="120"/>
              <w:bottom w:type="dxa" w:w="80"/>
              <w:right w:type="dxa" w:w="120"/>
            </w:tcMar>
          </w:tcPr>
          <w:p>
            <w:r>
              <w:rPr>
                <w:rFonts w:ascii="Arial" w:cs="Arial" w:eastAsia="Arial" w:hAnsi="Arial"/>
                <w:b w:val="false"/>
                <w:bCs w:val="false"/>
                <w:color w:val="111827"/>
                <w:sz w:val="18"/>
                <w:szCs w:val="18"/>
              </w:rPr>
              <w:t xml:space="preserve">Usage attributed to org_members record. Visible in Activity page.</w:t>
            </w:r>
          </w:p>
        </w:tc>
        <w:tc>
          <w:tcPr>
            <w:tcW w:type="dxa" w:w="2560"/>
            <w:tcBorders>
              <w:top w:val="single" w:color="D1D5DB" w:sz="1"/>
              <w:left w:val="single" w:color="D1D5DB" w:sz="1"/>
              <w:bottom w:val="single" w:color="D1D5DB" w:sz="1"/>
              <w:right w:val="single" w:color="D1D5DB" w:sz="1"/>
            </w:tcBorders>
            <w:shd w:fill="EFF6FF" w:val="clear"/>
            <w:tcMar>
              <w:top w:type="dxa" w:w="80"/>
              <w:left w:type="dxa" w:w="120"/>
              <w:bottom w:type="dxa" w:w="80"/>
              <w:right w:type="dxa" w:w="120"/>
            </w:tcMar>
          </w:tcPr>
          <w:p>
            <w:r>
              <w:rPr>
                <w:rFonts w:ascii="Arial" w:cs="Arial" w:eastAsia="Arial" w:hAnsi="Arial"/>
                <w:b w:val="false"/>
                <w:bCs w:val="false"/>
                <w:color w:val="111827"/>
                <w:sz w:val="18"/>
                <w:szCs w:val="18"/>
              </w:rPr>
              <w:t xml:space="preserve">Low FIQ volume per user (manual queries). Subscription revenue driver.</w:t>
            </w:r>
          </w:p>
        </w:tc>
      </w:tr>
      <w:tr>
        <w:tc>
          <w:tcPr>
            <w:tcW w:type="dxa" w:w="2000"/>
            <w:tcBorders>
              <w:top w:val="single" w:color="D1D5DB" w:sz="1"/>
              <w:left w:val="single" w:color="D1D5DB" w:sz="1"/>
              <w:bottom w:val="single" w:color="D1D5DB" w:sz="1"/>
              <w:right w:val="single" w:color="D1D5DB" w:sz="1"/>
            </w:tcBorders>
            <w:tcMar>
              <w:top w:type="dxa" w:w="80"/>
              <w:left w:type="dxa" w:w="120"/>
              <w:bottom w:type="dxa" w:w="80"/>
              <w:right w:type="dxa" w:w="120"/>
            </w:tcMar>
          </w:tcPr>
          <w:p>
            <w:r>
              <w:rPr>
                <w:rFonts w:ascii="Arial" w:cs="Arial" w:eastAsia="Arial" w:hAnsi="Arial"/>
                <w:b w:val="false"/>
                <w:bCs w:val="false"/>
                <w:color w:val="111827"/>
                <w:sz w:val="18"/>
                <w:szCs w:val="18"/>
              </w:rPr>
              <w:t xml:space="preserve">AI agent</w:t>
            </w:r>
          </w:p>
        </w:tc>
        <w:tc>
          <w:tcPr>
            <w:tcW w:type="dxa" w:w="2400"/>
            <w:tcBorders>
              <w:top w:val="single" w:color="D1D5DB" w:sz="1"/>
              <w:left w:val="single" w:color="D1D5DB" w:sz="1"/>
              <w:bottom w:val="single" w:color="D1D5DB" w:sz="1"/>
              <w:right w:val="single" w:color="D1D5DB" w:sz="1"/>
            </w:tcBorders>
            <w:tcMar>
              <w:top w:type="dxa" w:w="80"/>
              <w:left w:type="dxa" w:w="120"/>
              <w:bottom w:type="dxa" w:w="80"/>
              <w:right w:type="dxa" w:w="120"/>
            </w:tcMar>
          </w:tcPr>
          <w:p>
            <w:r>
              <w:rPr>
                <w:rFonts w:ascii="Arial" w:cs="Arial" w:eastAsia="Arial" w:hAnsi="Arial"/>
                <w:b w:val="false"/>
                <w:bCs w:val="false"/>
                <w:color w:val="111827"/>
                <w:sz w:val="18"/>
                <w:szCs w:val="18"/>
              </w:rPr>
              <w:t xml:space="preserve">API key with agent label (e.g., "claude-board-reporting")</w:t>
            </w:r>
          </w:p>
        </w:tc>
        <w:tc>
          <w:tcPr>
            <w:tcW w:type="dxa" w:w="2400"/>
            <w:tcBorders>
              <w:top w:val="single" w:color="D1D5DB" w:sz="1"/>
              <w:left w:val="single" w:color="D1D5DB" w:sz="1"/>
              <w:bottom w:val="single" w:color="D1D5DB" w:sz="1"/>
              <w:right w:val="single" w:color="D1D5DB" w:sz="1"/>
            </w:tcBorders>
            <w:tcMar>
              <w:top w:type="dxa" w:w="80"/>
              <w:left w:type="dxa" w:w="120"/>
              <w:bottom w:type="dxa" w:w="80"/>
              <w:right w:type="dxa" w:w="120"/>
            </w:tcMar>
          </w:tcPr>
          <w:p>
            <w:r>
              <w:rPr>
                <w:rFonts w:ascii="Arial" w:cs="Arial" w:eastAsia="Arial" w:hAnsi="Arial"/>
                <w:b w:val="false"/>
                <w:bCs w:val="false"/>
                <w:color w:val="111827"/>
                <w:sz w:val="18"/>
                <w:szCs w:val="18"/>
              </w:rPr>
              <w:t xml:space="preserve">Usage attributed to api_keys record. Agent name visible in Activity page and usage dashboard.</w:t>
            </w:r>
          </w:p>
        </w:tc>
        <w:tc>
          <w:tcPr>
            <w:tcW w:type="dxa" w:w="2560"/>
            <w:tcBorders>
              <w:top w:val="single" w:color="D1D5DB" w:sz="1"/>
              <w:left w:val="single" w:color="D1D5DB" w:sz="1"/>
              <w:bottom w:val="single" w:color="D1D5DB" w:sz="1"/>
              <w:right w:val="single" w:color="D1D5DB" w:sz="1"/>
            </w:tcBorders>
            <w:tcMar>
              <w:top w:type="dxa" w:w="80"/>
              <w:left w:type="dxa" w:w="120"/>
              <w:bottom w:type="dxa" w:w="80"/>
              <w:right w:type="dxa" w:w="120"/>
            </w:tcMar>
          </w:tcPr>
          <w:p>
            <w:r>
              <w:rPr>
                <w:rFonts w:ascii="Arial" w:cs="Arial" w:eastAsia="Arial" w:hAnsi="Arial"/>
                <w:b w:val="false"/>
                <w:bCs w:val="false"/>
                <w:color w:val="111827"/>
                <w:sz w:val="18"/>
                <w:szCs w:val="18"/>
              </w:rPr>
              <w:t xml:space="preserve">High FIQ volume per agent. Usage overage revenue driver. Number of agents per customer is the key growth metric.</w:t>
            </w:r>
          </w:p>
        </w:tc>
      </w:tr>
      <w:tr>
        <w:tc>
          <w:tcPr>
            <w:tcW w:type="dxa" w:w="2000"/>
            <w:tcBorders>
              <w:top w:val="single" w:color="D1D5DB" w:sz="1"/>
              <w:left w:val="single" w:color="D1D5DB" w:sz="1"/>
              <w:bottom w:val="single" w:color="D1D5DB" w:sz="1"/>
              <w:right w:val="single" w:color="D1D5DB" w:sz="1"/>
            </w:tcBorders>
            <w:shd w:fill="EFF6FF" w:val="clear"/>
            <w:tcMar>
              <w:top w:type="dxa" w:w="80"/>
              <w:left w:type="dxa" w:w="120"/>
              <w:bottom w:type="dxa" w:w="80"/>
              <w:right w:type="dxa" w:w="120"/>
            </w:tcMar>
          </w:tcPr>
          <w:p>
            <w:r>
              <w:rPr>
                <w:rFonts w:ascii="Arial" w:cs="Arial" w:eastAsia="Arial" w:hAnsi="Arial"/>
                <w:b w:val="false"/>
                <w:bCs w:val="false"/>
                <w:color w:val="111827"/>
                <w:sz w:val="18"/>
                <w:szCs w:val="18"/>
              </w:rPr>
              <w:t xml:space="preserve">System</w:t>
            </w:r>
          </w:p>
        </w:tc>
        <w:tc>
          <w:tcPr>
            <w:tcW w:type="dxa" w:w="2400"/>
            <w:tcBorders>
              <w:top w:val="single" w:color="D1D5DB" w:sz="1"/>
              <w:left w:val="single" w:color="D1D5DB" w:sz="1"/>
              <w:bottom w:val="single" w:color="D1D5DB" w:sz="1"/>
              <w:right w:val="single" w:color="D1D5DB" w:sz="1"/>
            </w:tcBorders>
            <w:shd w:fill="EFF6FF" w:val="clear"/>
            <w:tcMar>
              <w:top w:type="dxa" w:w="80"/>
              <w:left w:type="dxa" w:w="120"/>
              <w:bottom w:type="dxa" w:w="80"/>
              <w:right w:type="dxa" w:w="120"/>
            </w:tcMar>
          </w:tcPr>
          <w:p>
            <w:r>
              <w:rPr>
                <w:rFonts w:ascii="Arial" w:cs="Arial" w:eastAsia="Arial" w:hAnsi="Arial"/>
                <w:b w:val="false"/>
                <w:bCs w:val="false"/>
                <w:color w:val="111827"/>
                <w:sz w:val="18"/>
                <w:szCs w:val="18"/>
              </w:rPr>
              <w:t xml:space="preserve">Internal service account (pipeline runs, scheduled jobs)</w:t>
            </w:r>
          </w:p>
        </w:tc>
        <w:tc>
          <w:tcPr>
            <w:tcW w:type="dxa" w:w="2400"/>
            <w:tcBorders>
              <w:top w:val="single" w:color="D1D5DB" w:sz="1"/>
              <w:left w:val="single" w:color="D1D5DB" w:sz="1"/>
              <w:bottom w:val="single" w:color="D1D5DB" w:sz="1"/>
              <w:right w:val="single" w:color="D1D5DB" w:sz="1"/>
            </w:tcBorders>
            <w:shd w:fill="EFF6FF" w:val="clear"/>
            <w:tcMar>
              <w:top w:type="dxa" w:w="80"/>
              <w:left w:type="dxa" w:w="120"/>
              <w:bottom w:type="dxa" w:w="80"/>
              <w:right w:type="dxa" w:w="120"/>
            </w:tcMar>
          </w:tcPr>
          <w:p>
            <w:r>
              <w:rPr>
                <w:rFonts w:ascii="Arial" w:cs="Arial" w:eastAsia="Arial" w:hAnsi="Arial"/>
                <w:b w:val="false"/>
                <w:bCs w:val="false"/>
                <w:color w:val="111827"/>
                <w:sz w:val="18"/>
                <w:szCs w:val="18"/>
              </w:rPr>
              <w:t xml:space="preserve">Usage attributed to system actor. Not billed as FIQ (covered by FCU).</w:t>
            </w:r>
          </w:p>
        </w:tc>
        <w:tc>
          <w:tcPr>
            <w:tcW w:type="dxa" w:w="2560"/>
            <w:tcBorders>
              <w:top w:val="single" w:color="D1D5DB" w:sz="1"/>
              <w:left w:val="single" w:color="D1D5DB" w:sz="1"/>
              <w:bottom w:val="single" w:color="D1D5DB" w:sz="1"/>
              <w:right w:val="single" w:color="D1D5DB" w:sz="1"/>
            </w:tcBorders>
            <w:shd w:fill="EFF6FF" w:val="clear"/>
            <w:tcMar>
              <w:top w:type="dxa" w:w="80"/>
              <w:left w:type="dxa" w:w="120"/>
              <w:bottom w:type="dxa" w:w="80"/>
              <w:right w:type="dxa" w:w="120"/>
            </w:tcMar>
          </w:tcPr>
          <w:p>
            <w:r>
              <w:rPr>
                <w:rFonts w:ascii="Arial" w:cs="Arial" w:eastAsia="Arial" w:hAnsi="Arial"/>
                <w:b w:val="false"/>
                <w:bCs w:val="false"/>
                <w:color w:val="111827"/>
                <w:sz w:val="18"/>
                <w:szCs w:val="18"/>
              </w:rPr>
              <w:t xml:space="preserve">Pipeline runs are FCU events, not FIQ. System-initiated BigQuery maintenance is not billable.</w:t>
            </w:r>
          </w:p>
        </w:tc>
      </w:tr>
    </w:tbl>
    <w:p>
      <w:pPr>
        <w:spacing w:after="80"/>
      </w:pPr>
    </w:p>
    <w:p>
      <w:pPr>
        <w:pStyle w:val="Heading2"/>
      </w:pPr>
      <w:r>
        <w:t xml:space="preserve">5.3 Metering Pipeline</w:t>
      </w:r>
    </w:p>
    <w:p>
      <w:pPr>
        <w:spacing w:after="160"/>
      </w:pPr>
      <w:r>
        <w:rPr>
          <w:rFonts w:ascii="Arial" w:cs="Arial" w:eastAsia="Arial" w:hAnsi="Arial"/>
          <w:color w:val="111827"/>
          <w:sz w:val="22"/>
          <w:szCs w:val="22"/>
        </w:rPr>
        <w:t xml:space="preserve">Usage events flow from the application to Chargebee for billing via a metering pipeline that ensures accuracy and auditability.</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600"/>
        <w:gridCol w:w="2000"/>
        <w:gridCol w:w="6760"/>
      </w:tblGrid>
      <w:tr>
        <w:tc>
          <w:tcPr>
            <w:tcW w:type="dxa" w:w="600"/>
            <w:tcBorders>
              <w:top w:val="single" w:color="D1D5DB" w:sz="1"/>
              <w:left w:val="single" w:color="D1D5DB" w:sz="1"/>
              <w:bottom w:val="single" w:color="D1D5DB" w:sz="1"/>
              <w:right w:val="single" w:color="D1D5DB" w:sz="1"/>
            </w:tcBorders>
            <w:shd w:fill="1E3A5F" w:val="clear"/>
            <w:tcMar>
              <w:top w:type="dxa" w:w="80"/>
              <w:left w:type="dxa" w:w="120"/>
              <w:bottom w:type="dxa" w:w="80"/>
              <w:right w:type="dxa" w:w="120"/>
            </w:tcMar>
          </w:tcPr>
          <w:p>
            <w:r>
              <w:rPr>
                <w:rFonts w:ascii="Arial" w:cs="Arial" w:eastAsia="Arial" w:hAnsi="Arial"/>
                <w:b/>
                <w:bCs/>
                <w:color w:val="FFFFFF"/>
                <w:sz w:val="17"/>
                <w:szCs w:val="17"/>
              </w:rPr>
              <w:t xml:space="preserve">#</w:t>
            </w:r>
          </w:p>
        </w:tc>
        <w:tc>
          <w:tcPr>
            <w:tcW w:type="dxa" w:w="2000"/>
            <w:tcBorders>
              <w:top w:val="single" w:color="D1D5DB" w:sz="1"/>
              <w:left w:val="single" w:color="D1D5DB" w:sz="1"/>
              <w:bottom w:val="single" w:color="D1D5DB" w:sz="1"/>
              <w:right w:val="single" w:color="D1D5DB" w:sz="1"/>
            </w:tcBorders>
            <w:shd w:fill="1E3A5F" w:val="clear"/>
            <w:tcMar>
              <w:top w:type="dxa" w:w="80"/>
              <w:left w:type="dxa" w:w="120"/>
              <w:bottom w:type="dxa" w:w="80"/>
              <w:right w:type="dxa" w:w="120"/>
            </w:tcMar>
          </w:tcPr>
          <w:p>
            <w:r>
              <w:rPr>
                <w:rFonts w:ascii="Arial" w:cs="Arial" w:eastAsia="Arial" w:hAnsi="Arial"/>
                <w:b/>
                <w:bCs/>
                <w:color w:val="FFFFFF"/>
                <w:sz w:val="17"/>
                <w:szCs w:val="17"/>
              </w:rPr>
              <w:t xml:space="preserve">Step</w:t>
            </w:r>
          </w:p>
        </w:tc>
        <w:tc>
          <w:tcPr>
            <w:tcW w:type="dxa" w:w="6760"/>
            <w:tcBorders>
              <w:top w:val="single" w:color="D1D5DB" w:sz="1"/>
              <w:left w:val="single" w:color="D1D5DB" w:sz="1"/>
              <w:bottom w:val="single" w:color="D1D5DB" w:sz="1"/>
              <w:right w:val="single" w:color="D1D5DB" w:sz="1"/>
            </w:tcBorders>
            <w:shd w:fill="1E3A5F" w:val="clear"/>
            <w:tcMar>
              <w:top w:type="dxa" w:w="80"/>
              <w:left w:type="dxa" w:w="120"/>
              <w:bottom w:type="dxa" w:w="80"/>
              <w:right w:type="dxa" w:w="120"/>
            </w:tcMar>
          </w:tcPr>
          <w:p>
            <w:r>
              <w:rPr>
                <w:rFonts w:ascii="Arial" w:cs="Arial" w:eastAsia="Arial" w:hAnsi="Arial"/>
                <w:b/>
                <w:bCs/>
                <w:color w:val="FFFFFF"/>
                <w:sz w:val="17"/>
                <w:szCs w:val="17"/>
              </w:rPr>
              <w:t xml:space="preserve">Detail</w:t>
            </w:r>
          </w:p>
        </w:tc>
      </w:tr>
      <w:tr>
        <w:tc>
          <w:tcPr>
            <w:tcW w:type="dxa" w:w="600"/>
            <w:tcBorders>
              <w:top w:val="single" w:color="D1D5DB" w:sz="1"/>
              <w:left w:val="single" w:color="D1D5DB" w:sz="1"/>
              <w:bottom w:val="single" w:color="D1D5DB" w:sz="1"/>
              <w:right w:val="single" w:color="D1D5DB" w:sz="1"/>
            </w:tcBorders>
            <w:shd w:fill="EFF6FF" w:val="clear"/>
            <w:tcMar>
              <w:top w:type="dxa" w:w="80"/>
              <w:left w:type="dxa" w:w="120"/>
              <w:bottom w:type="dxa" w:w="80"/>
              <w:right w:type="dxa" w:w="120"/>
            </w:tcMar>
          </w:tcPr>
          <w:p>
            <w:r>
              <w:rPr>
                <w:rFonts w:ascii="Arial" w:cs="Arial" w:eastAsia="Arial" w:hAnsi="Arial"/>
                <w:b w:val="false"/>
                <w:bCs w:val="false"/>
                <w:color w:val="111827"/>
                <w:sz w:val="18"/>
                <w:szCs w:val="18"/>
              </w:rPr>
              <w:t xml:space="preserve">1</w:t>
            </w:r>
          </w:p>
        </w:tc>
        <w:tc>
          <w:tcPr>
            <w:tcW w:type="dxa" w:w="2000"/>
            <w:tcBorders>
              <w:top w:val="single" w:color="D1D5DB" w:sz="1"/>
              <w:left w:val="single" w:color="D1D5DB" w:sz="1"/>
              <w:bottom w:val="single" w:color="D1D5DB" w:sz="1"/>
              <w:right w:val="single" w:color="D1D5DB" w:sz="1"/>
            </w:tcBorders>
            <w:shd w:fill="EFF6FF" w:val="clear"/>
            <w:tcMar>
              <w:top w:type="dxa" w:w="80"/>
              <w:left w:type="dxa" w:w="120"/>
              <w:bottom w:type="dxa" w:w="80"/>
              <w:right w:type="dxa" w:w="120"/>
            </w:tcMar>
          </w:tcPr>
          <w:p>
            <w:r>
              <w:rPr>
                <w:rFonts w:ascii="Arial" w:cs="Arial" w:eastAsia="Arial" w:hAnsi="Arial"/>
                <w:b w:val="false"/>
                <w:bCs w:val="false"/>
                <w:color w:val="111827"/>
                <w:sz w:val="18"/>
                <w:szCs w:val="18"/>
              </w:rPr>
              <w:t xml:space="preserve">Event capture</w:t>
            </w:r>
          </w:p>
        </w:tc>
        <w:tc>
          <w:tcPr>
            <w:tcW w:type="dxa" w:w="6760"/>
            <w:tcBorders>
              <w:top w:val="single" w:color="D1D5DB" w:sz="1"/>
              <w:left w:val="single" w:color="D1D5DB" w:sz="1"/>
              <w:bottom w:val="single" w:color="D1D5DB" w:sz="1"/>
              <w:right w:val="single" w:color="D1D5DB" w:sz="1"/>
            </w:tcBorders>
            <w:shd w:fill="EFF6FF" w:val="clear"/>
            <w:tcMar>
              <w:top w:type="dxa" w:w="80"/>
              <w:left w:type="dxa" w:w="120"/>
              <w:bottom w:type="dxa" w:w="80"/>
              <w:right w:type="dxa" w:w="120"/>
            </w:tcMar>
          </w:tcPr>
          <w:p>
            <w:r>
              <w:rPr>
                <w:rFonts w:ascii="Arial" w:cs="Arial" w:eastAsia="Arial" w:hAnsi="Arial"/>
                <w:b w:val="false"/>
                <w:bCs w:val="false"/>
                <w:color w:val="111827"/>
                <w:sz w:val="18"/>
                <w:szCs w:val="18"/>
              </w:rPr>
              <w:t xml:space="preserve">Application code writes a usage_event row to Supabase on every billable interaction. FCU events are written by the Pipeline Worker after a successful pipeline run. FIQ events are written by the MCP Server and REST API on every query.</w:t>
            </w:r>
          </w:p>
        </w:tc>
      </w:tr>
      <w:tr>
        <w:tc>
          <w:tcPr>
            <w:tcW w:type="dxa" w:w="600"/>
            <w:tcBorders>
              <w:top w:val="single" w:color="D1D5DB" w:sz="1"/>
              <w:left w:val="single" w:color="D1D5DB" w:sz="1"/>
              <w:bottom w:val="single" w:color="D1D5DB" w:sz="1"/>
              <w:right w:val="single" w:color="D1D5DB" w:sz="1"/>
            </w:tcBorders>
            <w:tcMar>
              <w:top w:type="dxa" w:w="80"/>
              <w:left w:type="dxa" w:w="120"/>
              <w:bottom w:type="dxa" w:w="80"/>
              <w:right w:type="dxa" w:w="120"/>
            </w:tcMar>
          </w:tcPr>
          <w:p>
            <w:r>
              <w:rPr>
                <w:rFonts w:ascii="Arial" w:cs="Arial" w:eastAsia="Arial" w:hAnsi="Arial"/>
                <w:b w:val="false"/>
                <w:bCs w:val="false"/>
                <w:color w:val="111827"/>
                <w:sz w:val="18"/>
                <w:szCs w:val="18"/>
              </w:rPr>
              <w:t xml:space="preserve">2</w:t>
            </w:r>
          </w:p>
        </w:tc>
        <w:tc>
          <w:tcPr>
            <w:tcW w:type="dxa" w:w="2000"/>
            <w:tcBorders>
              <w:top w:val="single" w:color="D1D5DB" w:sz="1"/>
              <w:left w:val="single" w:color="D1D5DB" w:sz="1"/>
              <w:bottom w:val="single" w:color="D1D5DB" w:sz="1"/>
              <w:right w:val="single" w:color="D1D5DB" w:sz="1"/>
            </w:tcBorders>
            <w:tcMar>
              <w:top w:type="dxa" w:w="80"/>
              <w:left w:type="dxa" w:w="120"/>
              <w:bottom w:type="dxa" w:w="80"/>
              <w:right w:type="dxa" w:w="120"/>
            </w:tcMar>
          </w:tcPr>
          <w:p>
            <w:r>
              <w:rPr>
                <w:rFonts w:ascii="Arial" w:cs="Arial" w:eastAsia="Arial" w:hAnsi="Arial"/>
                <w:b w:val="false"/>
                <w:bCs w:val="false"/>
                <w:color w:val="111827"/>
                <w:sz w:val="18"/>
                <w:szCs w:val="18"/>
              </w:rPr>
              <w:t xml:space="preserve">Daily aggregation</w:t>
            </w:r>
          </w:p>
        </w:tc>
        <w:tc>
          <w:tcPr>
            <w:tcW w:type="dxa" w:w="6760"/>
            <w:tcBorders>
              <w:top w:val="single" w:color="D1D5DB" w:sz="1"/>
              <w:left w:val="single" w:color="D1D5DB" w:sz="1"/>
              <w:bottom w:val="single" w:color="D1D5DB" w:sz="1"/>
              <w:right w:val="single" w:color="D1D5DB" w:sz="1"/>
            </w:tcBorders>
            <w:tcMar>
              <w:top w:type="dxa" w:w="80"/>
              <w:left w:type="dxa" w:w="120"/>
              <w:bottom w:type="dxa" w:w="80"/>
              <w:right w:type="dxa" w:w="120"/>
            </w:tcMar>
          </w:tcPr>
          <w:p>
            <w:r>
              <w:rPr>
                <w:rFonts w:ascii="Arial" w:cs="Arial" w:eastAsia="Arial" w:hAnsi="Arial"/>
                <w:b w:val="false"/>
                <w:bCs w:val="false"/>
                <w:color w:val="111827"/>
                <w:sz w:val="18"/>
                <w:szCs w:val="18"/>
              </w:rPr>
              <w:t xml:space="preserve">A scheduled Dagster job aggregates usage_events into usage_daily_summary: org_id, billing_period, event_type, total_quantity, total_fiq_weighted. This summary table is the source for the customer-facing usage dashboard.</w:t>
            </w:r>
          </w:p>
        </w:tc>
      </w:tr>
      <w:tr>
        <w:tc>
          <w:tcPr>
            <w:tcW w:type="dxa" w:w="600"/>
            <w:tcBorders>
              <w:top w:val="single" w:color="D1D5DB" w:sz="1"/>
              <w:left w:val="single" w:color="D1D5DB" w:sz="1"/>
              <w:bottom w:val="single" w:color="D1D5DB" w:sz="1"/>
              <w:right w:val="single" w:color="D1D5DB" w:sz="1"/>
            </w:tcBorders>
            <w:shd w:fill="EFF6FF" w:val="clear"/>
            <w:tcMar>
              <w:top w:type="dxa" w:w="80"/>
              <w:left w:type="dxa" w:w="120"/>
              <w:bottom w:type="dxa" w:w="80"/>
              <w:right w:type="dxa" w:w="120"/>
            </w:tcMar>
          </w:tcPr>
          <w:p>
            <w:r>
              <w:rPr>
                <w:rFonts w:ascii="Arial" w:cs="Arial" w:eastAsia="Arial" w:hAnsi="Arial"/>
                <w:b w:val="false"/>
                <w:bCs w:val="false"/>
                <w:color w:val="111827"/>
                <w:sz w:val="18"/>
                <w:szCs w:val="18"/>
              </w:rPr>
              <w:t xml:space="preserve">3</w:t>
            </w:r>
          </w:p>
        </w:tc>
        <w:tc>
          <w:tcPr>
            <w:tcW w:type="dxa" w:w="2000"/>
            <w:tcBorders>
              <w:top w:val="single" w:color="D1D5DB" w:sz="1"/>
              <w:left w:val="single" w:color="D1D5DB" w:sz="1"/>
              <w:bottom w:val="single" w:color="D1D5DB" w:sz="1"/>
              <w:right w:val="single" w:color="D1D5DB" w:sz="1"/>
            </w:tcBorders>
            <w:shd w:fill="EFF6FF" w:val="clear"/>
            <w:tcMar>
              <w:top w:type="dxa" w:w="80"/>
              <w:left w:type="dxa" w:w="120"/>
              <w:bottom w:type="dxa" w:w="80"/>
              <w:right w:type="dxa" w:w="120"/>
            </w:tcMar>
          </w:tcPr>
          <w:p>
            <w:r>
              <w:rPr>
                <w:rFonts w:ascii="Arial" w:cs="Arial" w:eastAsia="Arial" w:hAnsi="Arial"/>
                <w:b w:val="false"/>
                <w:bCs w:val="false"/>
                <w:color w:val="111827"/>
                <w:sz w:val="18"/>
                <w:szCs w:val="18"/>
              </w:rPr>
              <w:t xml:space="preserve">End-of-month calculation</w:t>
            </w:r>
          </w:p>
        </w:tc>
        <w:tc>
          <w:tcPr>
            <w:tcW w:type="dxa" w:w="6760"/>
            <w:tcBorders>
              <w:top w:val="single" w:color="D1D5DB" w:sz="1"/>
              <w:left w:val="single" w:color="D1D5DB" w:sz="1"/>
              <w:bottom w:val="single" w:color="D1D5DB" w:sz="1"/>
              <w:right w:val="single" w:color="D1D5DB" w:sz="1"/>
            </w:tcBorders>
            <w:shd w:fill="EFF6FF" w:val="clear"/>
            <w:tcMar>
              <w:top w:type="dxa" w:w="80"/>
              <w:left w:type="dxa" w:w="120"/>
              <w:bottom w:type="dxa" w:w="80"/>
              <w:right w:type="dxa" w:w="120"/>
            </w:tcMar>
          </w:tcPr>
          <w:p>
            <w:r>
              <w:rPr>
                <w:rFonts w:ascii="Arial" w:cs="Arial" w:eastAsia="Arial" w:hAnsi="Arial"/>
                <w:b w:val="false"/>
                <w:bCs w:val="false"/>
                <w:color w:val="111827"/>
                <w:sz w:val="18"/>
                <w:szCs w:val="18"/>
              </w:rPr>
              <w:t xml:space="preserve">At billing cycle close, a Dagster job calculates: (a) total FCU consumed vs. plan allocation → FCU overage rows, (b) total FIQ consumed vs. plan allocation → FIQ overage units. Applies tiered pricing to overages.</w:t>
            </w:r>
          </w:p>
        </w:tc>
      </w:tr>
      <w:tr>
        <w:tc>
          <w:tcPr>
            <w:tcW w:type="dxa" w:w="600"/>
            <w:tcBorders>
              <w:top w:val="single" w:color="D1D5DB" w:sz="1"/>
              <w:left w:val="single" w:color="D1D5DB" w:sz="1"/>
              <w:bottom w:val="single" w:color="D1D5DB" w:sz="1"/>
              <w:right w:val="single" w:color="D1D5DB" w:sz="1"/>
            </w:tcBorders>
            <w:tcMar>
              <w:top w:type="dxa" w:w="80"/>
              <w:left w:type="dxa" w:w="120"/>
              <w:bottom w:type="dxa" w:w="80"/>
              <w:right w:type="dxa" w:w="120"/>
            </w:tcMar>
          </w:tcPr>
          <w:p>
            <w:r>
              <w:rPr>
                <w:rFonts w:ascii="Arial" w:cs="Arial" w:eastAsia="Arial" w:hAnsi="Arial"/>
                <w:b w:val="false"/>
                <w:bCs w:val="false"/>
                <w:color w:val="111827"/>
                <w:sz w:val="18"/>
                <w:szCs w:val="18"/>
              </w:rPr>
              <w:t xml:space="preserve">4</w:t>
            </w:r>
          </w:p>
        </w:tc>
        <w:tc>
          <w:tcPr>
            <w:tcW w:type="dxa" w:w="2000"/>
            <w:tcBorders>
              <w:top w:val="single" w:color="D1D5DB" w:sz="1"/>
              <w:left w:val="single" w:color="D1D5DB" w:sz="1"/>
              <w:bottom w:val="single" w:color="D1D5DB" w:sz="1"/>
              <w:right w:val="single" w:color="D1D5DB" w:sz="1"/>
            </w:tcBorders>
            <w:tcMar>
              <w:top w:type="dxa" w:w="80"/>
              <w:left w:type="dxa" w:w="120"/>
              <w:bottom w:type="dxa" w:w="80"/>
              <w:right w:type="dxa" w:w="120"/>
            </w:tcMar>
          </w:tcPr>
          <w:p>
            <w:r>
              <w:rPr>
                <w:rFonts w:ascii="Arial" w:cs="Arial" w:eastAsia="Arial" w:hAnsi="Arial"/>
                <w:b w:val="false"/>
                <w:bCs w:val="false"/>
                <w:color w:val="111827"/>
                <w:sz w:val="18"/>
                <w:szCs w:val="18"/>
              </w:rPr>
              <w:t xml:space="preserve">Chargebee sync</w:t>
            </w:r>
          </w:p>
        </w:tc>
        <w:tc>
          <w:tcPr>
            <w:tcW w:type="dxa" w:w="6760"/>
            <w:tcBorders>
              <w:top w:val="single" w:color="D1D5DB" w:sz="1"/>
              <w:left w:val="single" w:color="D1D5DB" w:sz="1"/>
              <w:bottom w:val="single" w:color="D1D5DB" w:sz="1"/>
              <w:right w:val="single" w:color="D1D5DB" w:sz="1"/>
            </w:tcBorders>
            <w:tcMar>
              <w:top w:type="dxa" w:w="80"/>
              <w:left w:type="dxa" w:w="120"/>
              <w:bottom w:type="dxa" w:w="80"/>
              <w:right w:type="dxa" w:w="120"/>
            </w:tcMar>
          </w:tcPr>
          <w:p>
            <w:r>
              <w:rPr>
                <w:rFonts w:ascii="Arial" w:cs="Arial" w:eastAsia="Arial" w:hAnsi="Arial"/>
                <w:b w:val="false"/>
                <w:bCs w:val="false"/>
                <w:color w:val="111827"/>
                <w:sz w:val="18"/>
                <w:szCs w:val="18"/>
              </w:rPr>
              <w:t xml:space="preserve">Overage charges are pushed to Chargebee as metered billing line items via the Chargebee API. Chargebee generates the invoice combining subscription fee + FCU overage + FIQ overage.</w:t>
            </w:r>
          </w:p>
        </w:tc>
      </w:tr>
      <w:tr>
        <w:tc>
          <w:tcPr>
            <w:tcW w:type="dxa" w:w="600"/>
            <w:tcBorders>
              <w:top w:val="single" w:color="D1D5DB" w:sz="1"/>
              <w:left w:val="single" w:color="D1D5DB" w:sz="1"/>
              <w:bottom w:val="single" w:color="D1D5DB" w:sz="1"/>
              <w:right w:val="single" w:color="D1D5DB" w:sz="1"/>
            </w:tcBorders>
            <w:shd w:fill="EFF6FF" w:val="clear"/>
            <w:tcMar>
              <w:top w:type="dxa" w:w="80"/>
              <w:left w:type="dxa" w:w="120"/>
              <w:bottom w:type="dxa" w:w="80"/>
              <w:right w:type="dxa" w:w="120"/>
            </w:tcMar>
          </w:tcPr>
          <w:p>
            <w:r>
              <w:rPr>
                <w:rFonts w:ascii="Arial" w:cs="Arial" w:eastAsia="Arial" w:hAnsi="Arial"/>
                <w:b w:val="false"/>
                <w:bCs w:val="false"/>
                <w:color w:val="111827"/>
                <w:sz w:val="18"/>
                <w:szCs w:val="18"/>
              </w:rPr>
              <w:t xml:space="preserve">5</w:t>
            </w:r>
          </w:p>
        </w:tc>
        <w:tc>
          <w:tcPr>
            <w:tcW w:type="dxa" w:w="2000"/>
            <w:tcBorders>
              <w:top w:val="single" w:color="D1D5DB" w:sz="1"/>
              <w:left w:val="single" w:color="D1D5DB" w:sz="1"/>
              <w:bottom w:val="single" w:color="D1D5DB" w:sz="1"/>
              <w:right w:val="single" w:color="D1D5DB" w:sz="1"/>
            </w:tcBorders>
            <w:shd w:fill="EFF6FF" w:val="clear"/>
            <w:tcMar>
              <w:top w:type="dxa" w:w="80"/>
              <w:left w:type="dxa" w:w="120"/>
              <w:bottom w:type="dxa" w:w="80"/>
              <w:right w:type="dxa" w:w="120"/>
            </w:tcMar>
          </w:tcPr>
          <w:p>
            <w:r>
              <w:rPr>
                <w:rFonts w:ascii="Arial" w:cs="Arial" w:eastAsia="Arial" w:hAnsi="Arial"/>
                <w:b w:val="false"/>
                <w:bCs w:val="false"/>
                <w:color w:val="111827"/>
                <w:sz w:val="18"/>
                <w:szCs w:val="18"/>
              </w:rPr>
              <w:t xml:space="preserve">Invoice delivery</w:t>
            </w:r>
          </w:p>
        </w:tc>
        <w:tc>
          <w:tcPr>
            <w:tcW w:type="dxa" w:w="6760"/>
            <w:tcBorders>
              <w:top w:val="single" w:color="D1D5DB" w:sz="1"/>
              <w:left w:val="single" w:color="D1D5DB" w:sz="1"/>
              <w:bottom w:val="single" w:color="D1D5DB" w:sz="1"/>
              <w:right w:val="single" w:color="D1D5DB" w:sz="1"/>
            </w:tcBorders>
            <w:shd w:fill="EFF6FF" w:val="clear"/>
            <w:tcMar>
              <w:top w:type="dxa" w:w="80"/>
              <w:left w:type="dxa" w:w="120"/>
              <w:bottom w:type="dxa" w:w="80"/>
              <w:right w:type="dxa" w:w="120"/>
            </w:tcMar>
          </w:tcPr>
          <w:p>
            <w:r>
              <w:rPr>
                <w:rFonts w:ascii="Arial" w:cs="Arial" w:eastAsia="Arial" w:hAnsi="Arial"/>
                <w:b w:val="false"/>
                <w:bCs w:val="false"/>
                <w:color w:val="111827"/>
                <w:sz w:val="18"/>
                <w:szCs w:val="18"/>
              </w:rPr>
              <w:t xml:space="preserve">Chargebee sends invoice to customer. Premium/Pro: auto-charged to card on file. Enterprise: NET-30 invoice.</w:t>
            </w:r>
          </w:p>
        </w:tc>
      </w:tr>
      <w:tr>
        <w:tc>
          <w:tcPr>
            <w:tcW w:type="dxa" w:w="600"/>
            <w:tcBorders>
              <w:top w:val="single" w:color="D1D5DB" w:sz="1"/>
              <w:left w:val="single" w:color="D1D5DB" w:sz="1"/>
              <w:bottom w:val="single" w:color="D1D5DB" w:sz="1"/>
              <w:right w:val="single" w:color="D1D5DB" w:sz="1"/>
            </w:tcBorders>
            <w:tcMar>
              <w:top w:type="dxa" w:w="80"/>
              <w:left w:type="dxa" w:w="120"/>
              <w:bottom w:type="dxa" w:w="80"/>
              <w:right w:type="dxa" w:w="120"/>
            </w:tcMar>
          </w:tcPr>
          <w:p>
            <w:r>
              <w:rPr>
                <w:rFonts w:ascii="Arial" w:cs="Arial" w:eastAsia="Arial" w:hAnsi="Arial"/>
                <w:b w:val="false"/>
                <w:bCs w:val="false"/>
                <w:color w:val="111827"/>
                <w:sz w:val="18"/>
                <w:szCs w:val="18"/>
              </w:rPr>
              <w:t xml:space="preserve">6</w:t>
            </w:r>
          </w:p>
        </w:tc>
        <w:tc>
          <w:tcPr>
            <w:tcW w:type="dxa" w:w="2000"/>
            <w:tcBorders>
              <w:top w:val="single" w:color="D1D5DB" w:sz="1"/>
              <w:left w:val="single" w:color="D1D5DB" w:sz="1"/>
              <w:bottom w:val="single" w:color="D1D5DB" w:sz="1"/>
              <w:right w:val="single" w:color="D1D5DB" w:sz="1"/>
            </w:tcBorders>
            <w:tcMar>
              <w:top w:type="dxa" w:w="80"/>
              <w:left w:type="dxa" w:w="120"/>
              <w:bottom w:type="dxa" w:w="80"/>
              <w:right w:type="dxa" w:w="120"/>
            </w:tcMar>
          </w:tcPr>
          <w:p>
            <w:r>
              <w:rPr>
                <w:rFonts w:ascii="Arial" w:cs="Arial" w:eastAsia="Arial" w:hAnsi="Arial"/>
                <w:b w:val="false"/>
                <w:bCs w:val="false"/>
                <w:color w:val="111827"/>
                <w:sz w:val="18"/>
                <w:szCs w:val="18"/>
              </w:rPr>
              <w:t xml:space="preserve">Dispute window</w:t>
            </w:r>
          </w:p>
        </w:tc>
        <w:tc>
          <w:tcPr>
            <w:tcW w:type="dxa" w:w="6760"/>
            <w:tcBorders>
              <w:top w:val="single" w:color="D1D5DB" w:sz="1"/>
              <w:left w:val="single" w:color="D1D5DB" w:sz="1"/>
              <w:bottom w:val="single" w:color="D1D5DB" w:sz="1"/>
              <w:right w:val="single" w:color="D1D5DB" w:sz="1"/>
            </w:tcBorders>
            <w:tcMar>
              <w:top w:type="dxa" w:w="80"/>
              <w:left w:type="dxa" w:w="120"/>
              <w:bottom w:type="dxa" w:w="80"/>
              <w:right w:type="dxa" w:w="120"/>
            </w:tcMar>
          </w:tcPr>
          <w:p>
            <w:r>
              <w:rPr>
                <w:rFonts w:ascii="Arial" w:cs="Arial" w:eastAsia="Arial" w:hAnsi="Arial"/>
                <w:b w:val="false"/>
                <w:bCs w:val="false"/>
                <w:color w:val="111827"/>
                <w:sz w:val="18"/>
                <w:szCs w:val="18"/>
              </w:rPr>
              <w:t xml:space="preserve">Customer has 30 days from invoice date to dispute usage charges. Usage events are exportable from the Activity page for customer self-service verification.</w:t>
            </w:r>
          </w:p>
        </w:tc>
      </w:tr>
    </w:tbl>
    <w:p>
      <w:pPr>
        <w:spacing w:after="80"/>
      </w:pPr>
    </w:p>
    <w:p>
      <w:pPr>
        <w:pStyle w:val="Heading1"/>
      </w:pPr>
      <w:r>
        <w:t xml:space="preserve">6. Chargebee Integration Architecture</w:t>
      </w:r>
    </w:p>
    <w:p>
      <w:pPr>
        <w:spacing w:after="160"/>
      </w:pPr>
      <w:r>
        <w:rPr>
          <w:rFonts w:ascii="Arial" w:cs="Arial" w:eastAsia="Arial" w:hAnsi="Arial"/>
          <w:color w:val="111827"/>
          <w:sz w:val="22"/>
          <w:szCs w:val="22"/>
        </w:rPr>
        <w:t xml:space="preserve">Chargebee is the billing platform for PipeLedger. It handles subscription management, payment processing, invoicing, tax calculation, and revenue recognition. PipeLedger’s application code interacts with Chargebee via webhooks and API calls.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3200"/>
        <w:gridCol w:w="3760"/>
      </w:tblGrid>
      <w:tr>
        <w:tc>
          <w:tcPr>
            <w:tcW w:type="dxa" w:w="2400"/>
            <w:tcBorders>
              <w:top w:val="single" w:color="D1D5DB" w:sz="1"/>
              <w:left w:val="single" w:color="D1D5DB" w:sz="1"/>
              <w:bottom w:val="single" w:color="D1D5DB" w:sz="1"/>
              <w:right w:val="single" w:color="D1D5DB" w:sz="1"/>
            </w:tcBorders>
            <w:shd w:fill="1E3A5F" w:val="clear"/>
            <w:tcMar>
              <w:top w:type="dxa" w:w="80"/>
              <w:left w:type="dxa" w:w="120"/>
              <w:bottom w:type="dxa" w:w="80"/>
              <w:right w:type="dxa" w:w="120"/>
            </w:tcMar>
          </w:tcPr>
          <w:p>
            <w:r>
              <w:rPr>
                <w:rFonts w:ascii="Arial" w:cs="Arial" w:eastAsia="Arial" w:hAnsi="Arial"/>
                <w:b/>
                <w:bCs/>
                <w:color w:val="FFFFFF"/>
                <w:sz w:val="17"/>
                <w:szCs w:val="17"/>
              </w:rPr>
              <w:t xml:space="preserve">Chargebee Entity</w:t>
            </w:r>
          </w:p>
        </w:tc>
        <w:tc>
          <w:tcPr>
            <w:tcW w:type="dxa" w:w="3200"/>
            <w:tcBorders>
              <w:top w:val="single" w:color="D1D5DB" w:sz="1"/>
              <w:left w:val="single" w:color="D1D5DB" w:sz="1"/>
              <w:bottom w:val="single" w:color="D1D5DB" w:sz="1"/>
              <w:right w:val="single" w:color="D1D5DB" w:sz="1"/>
            </w:tcBorders>
            <w:shd w:fill="1E3A5F" w:val="clear"/>
            <w:tcMar>
              <w:top w:type="dxa" w:w="80"/>
              <w:left w:type="dxa" w:w="120"/>
              <w:bottom w:type="dxa" w:w="80"/>
              <w:right w:type="dxa" w:w="120"/>
            </w:tcMar>
          </w:tcPr>
          <w:p>
            <w:r>
              <w:rPr>
                <w:rFonts w:ascii="Arial" w:cs="Arial" w:eastAsia="Arial" w:hAnsi="Arial"/>
                <w:b/>
                <w:bCs/>
                <w:color w:val="FFFFFF"/>
                <w:sz w:val="17"/>
                <w:szCs w:val="17"/>
              </w:rPr>
              <w:t xml:space="preserve">PipeLedger Mapping</w:t>
            </w:r>
          </w:p>
        </w:tc>
        <w:tc>
          <w:tcPr>
            <w:tcW w:type="dxa" w:w="3760"/>
            <w:tcBorders>
              <w:top w:val="single" w:color="D1D5DB" w:sz="1"/>
              <w:left w:val="single" w:color="D1D5DB" w:sz="1"/>
              <w:bottom w:val="single" w:color="D1D5DB" w:sz="1"/>
              <w:right w:val="single" w:color="D1D5DB" w:sz="1"/>
            </w:tcBorders>
            <w:shd w:fill="1E3A5F" w:val="clear"/>
            <w:tcMar>
              <w:top w:type="dxa" w:w="80"/>
              <w:left w:type="dxa" w:w="120"/>
              <w:bottom w:type="dxa" w:w="80"/>
              <w:right w:type="dxa" w:w="120"/>
            </w:tcMar>
          </w:tcPr>
          <w:p>
            <w:r>
              <w:rPr>
                <w:rFonts w:ascii="Arial" w:cs="Arial" w:eastAsia="Arial" w:hAnsi="Arial"/>
                <w:b/>
                <w:bCs/>
                <w:color w:val="FFFFFF"/>
                <w:sz w:val="17"/>
                <w:szCs w:val="17"/>
              </w:rPr>
              <w:t xml:space="preserve">Sync Direction</w:t>
            </w:r>
          </w:p>
        </w:tc>
      </w:tr>
      <w:tr>
        <w:tc>
          <w:tcPr>
            <w:tcW w:type="dxa" w:w="2400"/>
            <w:tcBorders>
              <w:top w:val="single" w:color="D1D5DB" w:sz="1"/>
              <w:left w:val="single" w:color="D1D5DB" w:sz="1"/>
              <w:bottom w:val="single" w:color="D1D5DB" w:sz="1"/>
              <w:right w:val="single" w:color="D1D5DB" w:sz="1"/>
            </w:tcBorders>
            <w:shd w:fill="EFF6FF" w:val="clear"/>
            <w:tcMar>
              <w:top w:type="dxa" w:w="80"/>
              <w:left w:type="dxa" w:w="120"/>
              <w:bottom w:type="dxa" w:w="80"/>
              <w:right w:type="dxa" w:w="120"/>
            </w:tcMar>
          </w:tcPr>
          <w:p>
            <w:r>
              <w:rPr>
                <w:rFonts w:ascii="Arial" w:cs="Arial" w:eastAsia="Arial" w:hAnsi="Arial"/>
                <w:b w:val="false"/>
                <w:bCs w:val="false"/>
                <w:color w:val="111827"/>
                <w:sz w:val="18"/>
                <w:szCs w:val="18"/>
              </w:rPr>
              <w:t xml:space="preserve">Customer</w:t>
            </w:r>
          </w:p>
        </w:tc>
        <w:tc>
          <w:tcPr>
            <w:tcW w:type="dxa" w:w="3200"/>
            <w:tcBorders>
              <w:top w:val="single" w:color="D1D5DB" w:sz="1"/>
              <w:left w:val="single" w:color="D1D5DB" w:sz="1"/>
              <w:bottom w:val="single" w:color="D1D5DB" w:sz="1"/>
              <w:right w:val="single" w:color="D1D5DB" w:sz="1"/>
            </w:tcBorders>
            <w:shd w:fill="EFF6FF" w:val="clear"/>
            <w:tcMar>
              <w:top w:type="dxa" w:w="80"/>
              <w:left w:type="dxa" w:w="120"/>
              <w:bottom w:type="dxa" w:w="80"/>
              <w:right w:type="dxa" w:w="120"/>
            </w:tcMar>
          </w:tcPr>
          <w:p>
            <w:r>
              <w:rPr>
                <w:rFonts w:ascii="Arial" w:cs="Arial" w:eastAsia="Arial" w:hAnsi="Arial"/>
                <w:b w:val="false"/>
                <w:bCs w:val="false"/>
                <w:color w:val="111827"/>
                <w:sz w:val="18"/>
                <w:szCs w:val="18"/>
              </w:rPr>
              <w:t xml:space="preserve">1:1 with organization (org_id)</w:t>
            </w:r>
          </w:p>
        </w:tc>
        <w:tc>
          <w:tcPr>
            <w:tcW w:type="dxa" w:w="3760"/>
            <w:tcBorders>
              <w:top w:val="single" w:color="D1D5DB" w:sz="1"/>
              <w:left w:val="single" w:color="D1D5DB" w:sz="1"/>
              <w:bottom w:val="single" w:color="D1D5DB" w:sz="1"/>
              <w:right w:val="single" w:color="D1D5DB" w:sz="1"/>
            </w:tcBorders>
            <w:shd w:fill="EFF6FF" w:val="clear"/>
            <w:tcMar>
              <w:top w:type="dxa" w:w="80"/>
              <w:left w:type="dxa" w:w="120"/>
              <w:bottom w:type="dxa" w:w="80"/>
              <w:right w:type="dxa" w:w="120"/>
            </w:tcMar>
          </w:tcPr>
          <w:p>
            <w:r>
              <w:rPr>
                <w:rFonts w:ascii="Arial" w:cs="Arial" w:eastAsia="Arial" w:hAnsi="Arial"/>
                <w:b w:val="false"/>
                <w:bCs w:val="false"/>
                <w:color w:val="111827"/>
                <w:sz w:val="18"/>
                <w:szCs w:val="18"/>
              </w:rPr>
              <w:t xml:space="preserve">PipeLedger → Chargebee (created on org signup)</w:t>
            </w:r>
          </w:p>
        </w:tc>
      </w:tr>
      <w:tr>
        <w:tc>
          <w:tcPr>
            <w:tcW w:type="dxa" w:w="2400"/>
            <w:tcBorders>
              <w:top w:val="single" w:color="D1D5DB" w:sz="1"/>
              <w:left w:val="single" w:color="D1D5DB" w:sz="1"/>
              <w:bottom w:val="single" w:color="D1D5DB" w:sz="1"/>
              <w:right w:val="single" w:color="D1D5DB" w:sz="1"/>
            </w:tcBorders>
            <w:tcMar>
              <w:top w:type="dxa" w:w="80"/>
              <w:left w:type="dxa" w:w="120"/>
              <w:bottom w:type="dxa" w:w="80"/>
              <w:right w:type="dxa" w:w="120"/>
            </w:tcMar>
          </w:tcPr>
          <w:p>
            <w:r>
              <w:rPr>
                <w:rFonts w:ascii="Arial" w:cs="Arial" w:eastAsia="Arial" w:hAnsi="Arial"/>
                <w:b w:val="false"/>
                <w:bCs w:val="false"/>
                <w:color w:val="111827"/>
                <w:sz w:val="18"/>
                <w:szCs w:val="18"/>
              </w:rPr>
              <w:t xml:space="preserve">Subscription</w:t>
            </w:r>
          </w:p>
        </w:tc>
        <w:tc>
          <w:tcPr>
            <w:tcW w:type="dxa" w:w="3200"/>
            <w:tcBorders>
              <w:top w:val="single" w:color="D1D5DB" w:sz="1"/>
              <w:left w:val="single" w:color="D1D5DB" w:sz="1"/>
              <w:bottom w:val="single" w:color="D1D5DB" w:sz="1"/>
              <w:right w:val="single" w:color="D1D5DB" w:sz="1"/>
            </w:tcBorders>
            <w:tcMar>
              <w:top w:type="dxa" w:w="80"/>
              <w:left w:type="dxa" w:w="120"/>
              <w:bottom w:type="dxa" w:w="80"/>
              <w:right w:type="dxa" w:w="120"/>
            </w:tcMar>
          </w:tcPr>
          <w:p>
            <w:r>
              <w:rPr>
                <w:rFonts w:ascii="Arial" w:cs="Arial" w:eastAsia="Arial" w:hAnsi="Arial"/>
                <w:b w:val="false"/>
                <w:bCs w:val="false"/>
                <w:color w:val="111827"/>
                <w:sz w:val="18"/>
                <w:szCs w:val="18"/>
              </w:rPr>
              <w:t xml:space="preserve">1:1 with organization’s active plan</w:t>
            </w:r>
          </w:p>
        </w:tc>
        <w:tc>
          <w:tcPr>
            <w:tcW w:type="dxa" w:w="3760"/>
            <w:tcBorders>
              <w:top w:val="single" w:color="D1D5DB" w:sz="1"/>
              <w:left w:val="single" w:color="D1D5DB" w:sz="1"/>
              <w:bottom w:val="single" w:color="D1D5DB" w:sz="1"/>
              <w:right w:val="single" w:color="D1D5DB" w:sz="1"/>
            </w:tcBorders>
            <w:tcMar>
              <w:top w:type="dxa" w:w="80"/>
              <w:left w:type="dxa" w:w="120"/>
              <w:bottom w:type="dxa" w:w="80"/>
              <w:right w:type="dxa" w:w="120"/>
            </w:tcMar>
          </w:tcPr>
          <w:p>
            <w:r>
              <w:rPr>
                <w:rFonts w:ascii="Arial" w:cs="Arial" w:eastAsia="Arial" w:hAnsi="Arial"/>
                <w:b w:val="false"/>
                <w:bCs w:val="false"/>
                <w:color w:val="111827"/>
                <w:sz w:val="18"/>
                <w:szCs w:val="18"/>
              </w:rPr>
              <w:t xml:space="preserve">PipeLedger → Chargebee (created on plan selection, updated on upgrade/downgrade)</w:t>
            </w:r>
          </w:p>
        </w:tc>
      </w:tr>
      <w:tr>
        <w:tc>
          <w:tcPr>
            <w:tcW w:type="dxa" w:w="2400"/>
            <w:tcBorders>
              <w:top w:val="single" w:color="D1D5DB" w:sz="1"/>
              <w:left w:val="single" w:color="D1D5DB" w:sz="1"/>
              <w:bottom w:val="single" w:color="D1D5DB" w:sz="1"/>
              <w:right w:val="single" w:color="D1D5DB" w:sz="1"/>
            </w:tcBorders>
            <w:shd w:fill="EFF6FF" w:val="clear"/>
            <w:tcMar>
              <w:top w:type="dxa" w:w="80"/>
              <w:left w:type="dxa" w:w="120"/>
              <w:bottom w:type="dxa" w:w="80"/>
              <w:right w:type="dxa" w:w="120"/>
            </w:tcMar>
          </w:tcPr>
          <w:p>
            <w:r>
              <w:rPr>
                <w:rFonts w:ascii="Arial" w:cs="Arial" w:eastAsia="Arial" w:hAnsi="Arial"/>
                <w:b w:val="false"/>
                <w:bCs w:val="false"/>
                <w:color w:val="111827"/>
                <w:sz w:val="18"/>
                <w:szCs w:val="18"/>
              </w:rPr>
              <w:t xml:space="preserve">Plan / Item Price</w:t>
            </w:r>
          </w:p>
        </w:tc>
        <w:tc>
          <w:tcPr>
            <w:tcW w:type="dxa" w:w="3200"/>
            <w:tcBorders>
              <w:top w:val="single" w:color="D1D5DB" w:sz="1"/>
              <w:left w:val="single" w:color="D1D5DB" w:sz="1"/>
              <w:bottom w:val="single" w:color="D1D5DB" w:sz="1"/>
              <w:right w:val="single" w:color="D1D5DB" w:sz="1"/>
            </w:tcBorders>
            <w:shd w:fill="EFF6FF" w:val="clear"/>
            <w:tcMar>
              <w:top w:type="dxa" w:w="80"/>
              <w:left w:type="dxa" w:w="120"/>
              <w:bottom w:type="dxa" w:w="80"/>
              <w:right w:type="dxa" w:w="120"/>
            </w:tcMar>
          </w:tcPr>
          <w:p>
            <w:r>
              <w:rPr>
                <w:rFonts w:ascii="Arial" w:cs="Arial" w:eastAsia="Arial" w:hAnsi="Arial"/>
                <w:b w:val="false"/>
                <w:bCs w:val="false"/>
                <w:color w:val="111827"/>
                <w:sz w:val="18"/>
                <w:szCs w:val="18"/>
              </w:rPr>
              <w:t xml:space="preserve">Premium ($2,000), Pro ($5,000), Enterprise (custom)</w:t>
            </w:r>
          </w:p>
        </w:tc>
        <w:tc>
          <w:tcPr>
            <w:tcW w:type="dxa" w:w="3760"/>
            <w:tcBorders>
              <w:top w:val="single" w:color="D1D5DB" w:sz="1"/>
              <w:left w:val="single" w:color="D1D5DB" w:sz="1"/>
              <w:bottom w:val="single" w:color="D1D5DB" w:sz="1"/>
              <w:right w:val="single" w:color="D1D5DB" w:sz="1"/>
            </w:tcBorders>
            <w:shd w:fill="EFF6FF" w:val="clear"/>
            <w:tcMar>
              <w:top w:type="dxa" w:w="80"/>
              <w:left w:type="dxa" w:w="120"/>
              <w:bottom w:type="dxa" w:w="80"/>
              <w:right w:type="dxa" w:w="120"/>
            </w:tcMar>
          </w:tcPr>
          <w:p>
            <w:r>
              <w:rPr>
                <w:rFonts w:ascii="Arial" w:cs="Arial" w:eastAsia="Arial" w:hAnsi="Arial"/>
                <w:b w:val="false"/>
                <w:bCs w:val="false"/>
                <w:color w:val="111827"/>
                <w:sz w:val="18"/>
                <w:szCs w:val="18"/>
              </w:rPr>
              <w:t xml:space="preserve">Configured in Chargebee dashboard. Referenced by plan_id in PipeLedger.</w:t>
            </w:r>
          </w:p>
        </w:tc>
      </w:tr>
      <w:tr>
        <w:tc>
          <w:tcPr>
            <w:tcW w:type="dxa" w:w="2400"/>
            <w:tcBorders>
              <w:top w:val="single" w:color="D1D5DB" w:sz="1"/>
              <w:left w:val="single" w:color="D1D5DB" w:sz="1"/>
              <w:bottom w:val="single" w:color="D1D5DB" w:sz="1"/>
              <w:right w:val="single" w:color="D1D5DB" w:sz="1"/>
            </w:tcBorders>
            <w:tcMar>
              <w:top w:type="dxa" w:w="80"/>
              <w:left w:type="dxa" w:w="120"/>
              <w:bottom w:type="dxa" w:w="80"/>
              <w:right w:type="dxa" w:w="120"/>
            </w:tcMar>
          </w:tcPr>
          <w:p>
            <w:r>
              <w:rPr>
                <w:rFonts w:ascii="Arial" w:cs="Arial" w:eastAsia="Arial" w:hAnsi="Arial"/>
                <w:b w:val="false"/>
                <w:bCs w:val="false"/>
                <w:color w:val="111827"/>
                <w:sz w:val="18"/>
                <w:szCs w:val="18"/>
              </w:rPr>
              <w:t xml:space="preserve">Metered Item: FCU Overage</w:t>
            </w:r>
          </w:p>
        </w:tc>
        <w:tc>
          <w:tcPr>
            <w:tcW w:type="dxa" w:w="3200"/>
            <w:tcBorders>
              <w:top w:val="single" w:color="D1D5DB" w:sz="1"/>
              <w:left w:val="single" w:color="D1D5DB" w:sz="1"/>
              <w:bottom w:val="single" w:color="D1D5DB" w:sz="1"/>
              <w:right w:val="single" w:color="D1D5DB" w:sz="1"/>
            </w:tcBorders>
            <w:tcMar>
              <w:top w:type="dxa" w:w="80"/>
              <w:left w:type="dxa" w:w="120"/>
              <w:bottom w:type="dxa" w:w="80"/>
              <w:right w:type="dxa" w:w="120"/>
            </w:tcMar>
          </w:tcPr>
          <w:p>
            <w:r>
              <w:rPr>
                <w:rFonts w:ascii="Arial" w:cs="Arial" w:eastAsia="Arial" w:hAnsi="Arial"/>
                <w:b w:val="false"/>
                <w:bCs w:val="false"/>
                <w:color w:val="111827"/>
                <w:sz w:val="18"/>
                <w:szCs w:val="18"/>
              </w:rPr>
              <w:t xml:space="preserve">usage_events where event_type = fcu, quantity &gt; plan allocation</w:t>
            </w:r>
          </w:p>
        </w:tc>
        <w:tc>
          <w:tcPr>
            <w:tcW w:type="dxa" w:w="3760"/>
            <w:tcBorders>
              <w:top w:val="single" w:color="D1D5DB" w:sz="1"/>
              <w:left w:val="single" w:color="D1D5DB" w:sz="1"/>
              <w:bottom w:val="single" w:color="D1D5DB" w:sz="1"/>
              <w:right w:val="single" w:color="D1D5DB" w:sz="1"/>
            </w:tcBorders>
            <w:tcMar>
              <w:top w:type="dxa" w:w="80"/>
              <w:left w:type="dxa" w:w="120"/>
              <w:bottom w:type="dxa" w:w="80"/>
              <w:right w:type="dxa" w:w="120"/>
            </w:tcMar>
          </w:tcPr>
          <w:p>
            <w:r>
              <w:rPr>
                <w:rFonts w:ascii="Arial" w:cs="Arial" w:eastAsia="Arial" w:hAnsi="Arial"/>
                <w:b w:val="false"/>
                <w:bCs w:val="false"/>
                <w:color w:val="111827"/>
                <w:sz w:val="18"/>
                <w:szCs w:val="18"/>
              </w:rPr>
              <w:t xml:space="preserve">PipeLedger → Chargebee (end-of-month batch push via API)</w:t>
            </w:r>
          </w:p>
        </w:tc>
      </w:tr>
      <w:tr>
        <w:tc>
          <w:tcPr>
            <w:tcW w:type="dxa" w:w="2400"/>
            <w:tcBorders>
              <w:top w:val="single" w:color="D1D5DB" w:sz="1"/>
              <w:left w:val="single" w:color="D1D5DB" w:sz="1"/>
              <w:bottom w:val="single" w:color="D1D5DB" w:sz="1"/>
              <w:right w:val="single" w:color="D1D5DB" w:sz="1"/>
            </w:tcBorders>
            <w:shd w:fill="EFF6FF" w:val="clear"/>
            <w:tcMar>
              <w:top w:type="dxa" w:w="80"/>
              <w:left w:type="dxa" w:w="120"/>
              <w:bottom w:type="dxa" w:w="80"/>
              <w:right w:type="dxa" w:w="120"/>
            </w:tcMar>
          </w:tcPr>
          <w:p>
            <w:r>
              <w:rPr>
                <w:rFonts w:ascii="Arial" w:cs="Arial" w:eastAsia="Arial" w:hAnsi="Arial"/>
                <w:b w:val="false"/>
                <w:bCs w:val="false"/>
                <w:color w:val="111827"/>
                <w:sz w:val="18"/>
                <w:szCs w:val="18"/>
              </w:rPr>
              <w:t xml:space="preserve">Metered Item: FIQ Overage</w:t>
            </w:r>
          </w:p>
        </w:tc>
        <w:tc>
          <w:tcPr>
            <w:tcW w:type="dxa" w:w="3200"/>
            <w:tcBorders>
              <w:top w:val="single" w:color="D1D5DB" w:sz="1"/>
              <w:left w:val="single" w:color="D1D5DB" w:sz="1"/>
              <w:bottom w:val="single" w:color="D1D5DB" w:sz="1"/>
              <w:right w:val="single" w:color="D1D5DB" w:sz="1"/>
            </w:tcBorders>
            <w:shd w:fill="EFF6FF" w:val="clear"/>
            <w:tcMar>
              <w:top w:type="dxa" w:w="80"/>
              <w:left w:type="dxa" w:w="120"/>
              <w:bottom w:type="dxa" w:w="80"/>
              <w:right w:type="dxa" w:w="120"/>
            </w:tcMar>
          </w:tcPr>
          <w:p>
            <w:r>
              <w:rPr>
                <w:rFonts w:ascii="Arial" w:cs="Arial" w:eastAsia="Arial" w:hAnsi="Arial"/>
                <w:b w:val="false"/>
                <w:bCs w:val="false"/>
                <w:color w:val="111827"/>
                <w:sz w:val="18"/>
                <w:szCs w:val="18"/>
              </w:rPr>
              <w:t xml:space="preserve">usage_events where event_type = fiq, weighted_total &gt; plan allocation</w:t>
            </w:r>
          </w:p>
        </w:tc>
        <w:tc>
          <w:tcPr>
            <w:tcW w:type="dxa" w:w="3760"/>
            <w:tcBorders>
              <w:top w:val="single" w:color="D1D5DB" w:sz="1"/>
              <w:left w:val="single" w:color="D1D5DB" w:sz="1"/>
              <w:bottom w:val="single" w:color="D1D5DB" w:sz="1"/>
              <w:right w:val="single" w:color="D1D5DB" w:sz="1"/>
            </w:tcBorders>
            <w:shd w:fill="EFF6FF" w:val="clear"/>
            <w:tcMar>
              <w:top w:type="dxa" w:w="80"/>
              <w:left w:type="dxa" w:w="120"/>
              <w:bottom w:type="dxa" w:w="80"/>
              <w:right w:type="dxa" w:w="120"/>
            </w:tcMar>
          </w:tcPr>
          <w:p>
            <w:r>
              <w:rPr>
                <w:rFonts w:ascii="Arial" w:cs="Arial" w:eastAsia="Arial" w:hAnsi="Arial"/>
                <w:b w:val="false"/>
                <w:bCs w:val="false"/>
                <w:color w:val="111827"/>
                <w:sz w:val="18"/>
                <w:szCs w:val="18"/>
              </w:rPr>
              <w:t xml:space="preserve">PipeLedger → Chargebee (end-of-month batch push via API)</w:t>
            </w:r>
          </w:p>
        </w:tc>
      </w:tr>
      <w:tr>
        <w:tc>
          <w:tcPr>
            <w:tcW w:type="dxa" w:w="2400"/>
            <w:tcBorders>
              <w:top w:val="single" w:color="D1D5DB" w:sz="1"/>
              <w:left w:val="single" w:color="D1D5DB" w:sz="1"/>
              <w:bottom w:val="single" w:color="D1D5DB" w:sz="1"/>
              <w:right w:val="single" w:color="D1D5DB" w:sz="1"/>
            </w:tcBorders>
            <w:tcMar>
              <w:top w:type="dxa" w:w="80"/>
              <w:left w:type="dxa" w:w="120"/>
              <w:bottom w:type="dxa" w:w="80"/>
              <w:right w:type="dxa" w:w="120"/>
            </w:tcMar>
          </w:tcPr>
          <w:p>
            <w:r>
              <w:rPr>
                <w:rFonts w:ascii="Arial" w:cs="Arial" w:eastAsia="Arial" w:hAnsi="Arial"/>
                <w:b w:val="false"/>
                <w:bCs w:val="false"/>
                <w:color w:val="111827"/>
                <w:sz w:val="18"/>
                <w:szCs w:val="18"/>
              </w:rPr>
              <w:t xml:space="preserve">Invoice</w:t>
            </w:r>
          </w:p>
        </w:tc>
        <w:tc>
          <w:tcPr>
            <w:tcW w:type="dxa" w:w="3200"/>
            <w:tcBorders>
              <w:top w:val="single" w:color="D1D5DB" w:sz="1"/>
              <w:left w:val="single" w:color="D1D5DB" w:sz="1"/>
              <w:bottom w:val="single" w:color="D1D5DB" w:sz="1"/>
              <w:right w:val="single" w:color="D1D5DB" w:sz="1"/>
            </w:tcBorders>
            <w:tcMar>
              <w:top w:type="dxa" w:w="80"/>
              <w:left w:type="dxa" w:w="120"/>
              <w:bottom w:type="dxa" w:w="80"/>
              <w:right w:type="dxa" w:w="120"/>
            </w:tcMar>
          </w:tcPr>
          <w:p>
            <w:r>
              <w:rPr>
                <w:rFonts w:ascii="Arial" w:cs="Arial" w:eastAsia="Arial" w:hAnsi="Arial"/>
                <w:b w:val="false"/>
                <w:bCs w:val="false"/>
                <w:color w:val="111827"/>
                <w:sz w:val="18"/>
                <w:szCs w:val="18"/>
              </w:rPr>
              <w:t xml:space="preserve">Monthly invoice: subscription + FCU overage + FIQ overage + tax</w:t>
            </w:r>
          </w:p>
        </w:tc>
        <w:tc>
          <w:tcPr>
            <w:tcW w:type="dxa" w:w="3760"/>
            <w:tcBorders>
              <w:top w:val="single" w:color="D1D5DB" w:sz="1"/>
              <w:left w:val="single" w:color="D1D5DB" w:sz="1"/>
              <w:bottom w:val="single" w:color="D1D5DB" w:sz="1"/>
              <w:right w:val="single" w:color="D1D5DB" w:sz="1"/>
            </w:tcBorders>
            <w:tcMar>
              <w:top w:type="dxa" w:w="80"/>
              <w:left w:type="dxa" w:w="120"/>
              <w:bottom w:type="dxa" w:w="80"/>
              <w:right w:type="dxa" w:w="120"/>
            </w:tcMar>
          </w:tcPr>
          <w:p>
            <w:r>
              <w:rPr>
                <w:rFonts w:ascii="Arial" w:cs="Arial" w:eastAsia="Arial" w:hAnsi="Arial"/>
                <w:b w:val="false"/>
                <w:bCs w:val="false"/>
                <w:color w:val="111827"/>
                <w:sz w:val="18"/>
                <w:szCs w:val="18"/>
              </w:rPr>
              <w:t xml:space="preserve">Chargebee generates. PipeLedger reads via webhook for status tracking.</w:t>
            </w:r>
          </w:p>
        </w:tc>
      </w:tr>
      <w:tr>
        <w:tc>
          <w:tcPr>
            <w:tcW w:type="dxa" w:w="2400"/>
            <w:tcBorders>
              <w:top w:val="single" w:color="D1D5DB" w:sz="1"/>
              <w:left w:val="single" w:color="D1D5DB" w:sz="1"/>
              <w:bottom w:val="single" w:color="D1D5DB" w:sz="1"/>
              <w:right w:val="single" w:color="D1D5DB" w:sz="1"/>
            </w:tcBorders>
            <w:shd w:fill="EFF6FF" w:val="clear"/>
            <w:tcMar>
              <w:top w:type="dxa" w:w="80"/>
              <w:left w:type="dxa" w:w="120"/>
              <w:bottom w:type="dxa" w:w="80"/>
              <w:right w:type="dxa" w:w="120"/>
            </w:tcMar>
          </w:tcPr>
          <w:p>
            <w:r>
              <w:rPr>
                <w:rFonts w:ascii="Arial" w:cs="Arial" w:eastAsia="Arial" w:hAnsi="Arial"/>
                <w:b w:val="false"/>
                <w:bCs w:val="false"/>
                <w:color w:val="111827"/>
                <w:sz w:val="18"/>
                <w:szCs w:val="18"/>
              </w:rPr>
              <w:t xml:space="preserve">Payment</w:t>
            </w:r>
          </w:p>
        </w:tc>
        <w:tc>
          <w:tcPr>
            <w:tcW w:type="dxa" w:w="3200"/>
            <w:tcBorders>
              <w:top w:val="single" w:color="D1D5DB" w:sz="1"/>
              <w:left w:val="single" w:color="D1D5DB" w:sz="1"/>
              <w:bottom w:val="single" w:color="D1D5DB" w:sz="1"/>
              <w:right w:val="single" w:color="D1D5DB" w:sz="1"/>
            </w:tcBorders>
            <w:shd w:fill="EFF6FF" w:val="clear"/>
            <w:tcMar>
              <w:top w:type="dxa" w:w="80"/>
              <w:left w:type="dxa" w:w="120"/>
              <w:bottom w:type="dxa" w:w="80"/>
              <w:right w:type="dxa" w:w="120"/>
            </w:tcMar>
          </w:tcPr>
          <w:p>
            <w:r>
              <w:rPr>
                <w:rFonts w:ascii="Arial" w:cs="Arial" w:eastAsia="Arial" w:hAnsi="Arial"/>
                <w:b w:val="false"/>
                <w:bCs w:val="false"/>
                <w:color w:val="111827"/>
                <w:sz w:val="18"/>
                <w:szCs w:val="18"/>
              </w:rPr>
              <w:t xml:space="preserve">Credit card charge or invoice payment</w:t>
            </w:r>
          </w:p>
        </w:tc>
        <w:tc>
          <w:tcPr>
            <w:tcW w:type="dxa" w:w="3760"/>
            <w:tcBorders>
              <w:top w:val="single" w:color="D1D5DB" w:sz="1"/>
              <w:left w:val="single" w:color="D1D5DB" w:sz="1"/>
              <w:bottom w:val="single" w:color="D1D5DB" w:sz="1"/>
              <w:right w:val="single" w:color="D1D5DB" w:sz="1"/>
            </w:tcBorders>
            <w:shd w:fill="EFF6FF" w:val="clear"/>
            <w:tcMar>
              <w:top w:type="dxa" w:w="80"/>
              <w:left w:type="dxa" w:w="120"/>
              <w:bottom w:type="dxa" w:w="80"/>
              <w:right w:type="dxa" w:w="120"/>
            </w:tcMar>
          </w:tcPr>
          <w:p>
            <w:r>
              <w:rPr>
                <w:rFonts w:ascii="Arial" w:cs="Arial" w:eastAsia="Arial" w:hAnsi="Arial"/>
                <w:b w:val="false"/>
                <w:bCs w:val="false"/>
                <w:color w:val="111827"/>
                <w:sz w:val="18"/>
                <w:szCs w:val="18"/>
              </w:rPr>
              <w:t xml:space="preserve">Chargebee processes. Webhook notifies PipeLedger of success/failure.</w:t>
            </w:r>
          </w:p>
        </w:tc>
      </w:tr>
      <w:tr>
        <w:tc>
          <w:tcPr>
            <w:tcW w:type="dxa" w:w="2400"/>
            <w:tcBorders>
              <w:top w:val="single" w:color="D1D5DB" w:sz="1"/>
              <w:left w:val="single" w:color="D1D5DB" w:sz="1"/>
              <w:bottom w:val="single" w:color="D1D5DB" w:sz="1"/>
              <w:right w:val="single" w:color="D1D5DB" w:sz="1"/>
            </w:tcBorders>
            <w:tcMar>
              <w:top w:type="dxa" w:w="80"/>
              <w:left w:type="dxa" w:w="120"/>
              <w:bottom w:type="dxa" w:w="80"/>
              <w:right w:type="dxa" w:w="120"/>
            </w:tcMar>
          </w:tcPr>
          <w:p>
            <w:r>
              <w:rPr>
                <w:rFonts w:ascii="Arial" w:cs="Arial" w:eastAsia="Arial" w:hAnsi="Arial"/>
                <w:b w:val="false"/>
                <w:bCs w:val="false"/>
                <w:color w:val="111827"/>
                <w:sz w:val="18"/>
                <w:szCs w:val="18"/>
              </w:rPr>
              <w:t xml:space="preserve">Webhook: subscription_changed</w:t>
            </w:r>
          </w:p>
        </w:tc>
        <w:tc>
          <w:tcPr>
            <w:tcW w:type="dxa" w:w="3200"/>
            <w:tcBorders>
              <w:top w:val="single" w:color="D1D5DB" w:sz="1"/>
              <w:left w:val="single" w:color="D1D5DB" w:sz="1"/>
              <w:bottom w:val="single" w:color="D1D5DB" w:sz="1"/>
              <w:right w:val="single" w:color="D1D5DB" w:sz="1"/>
            </w:tcBorders>
            <w:tcMar>
              <w:top w:type="dxa" w:w="80"/>
              <w:left w:type="dxa" w:w="120"/>
              <w:bottom w:type="dxa" w:w="80"/>
              <w:right w:type="dxa" w:w="120"/>
            </w:tcMar>
          </w:tcPr>
          <w:p>
            <w:r>
              <w:rPr>
                <w:rFonts w:ascii="Arial" w:cs="Arial" w:eastAsia="Arial" w:hAnsi="Arial"/>
                <w:b w:val="false"/>
                <w:bCs w:val="false"/>
                <w:color w:val="111827"/>
                <w:sz w:val="18"/>
                <w:szCs w:val="18"/>
              </w:rPr>
              <w:t xml:space="preserve">Plan upgrade or downgrade</w:t>
            </w:r>
          </w:p>
        </w:tc>
        <w:tc>
          <w:tcPr>
            <w:tcW w:type="dxa" w:w="3760"/>
            <w:tcBorders>
              <w:top w:val="single" w:color="D1D5DB" w:sz="1"/>
              <w:left w:val="single" w:color="D1D5DB" w:sz="1"/>
              <w:bottom w:val="single" w:color="D1D5DB" w:sz="1"/>
              <w:right w:val="single" w:color="D1D5DB" w:sz="1"/>
            </w:tcBorders>
            <w:tcMar>
              <w:top w:type="dxa" w:w="80"/>
              <w:left w:type="dxa" w:w="120"/>
              <w:bottom w:type="dxa" w:w="80"/>
              <w:right w:type="dxa" w:w="120"/>
            </w:tcMar>
          </w:tcPr>
          <w:p>
            <w:r>
              <w:rPr>
                <w:rFonts w:ascii="Arial" w:cs="Arial" w:eastAsia="Arial" w:hAnsi="Arial"/>
                <w:b w:val="false"/>
                <w:bCs w:val="false"/>
                <w:color w:val="111827"/>
                <w:sz w:val="18"/>
                <w:szCs w:val="18"/>
              </w:rPr>
              <w:t xml:space="preserve">Chargebee → PipeLedger (triggers plan allocation update in organizations table)</w:t>
            </w:r>
          </w:p>
        </w:tc>
      </w:tr>
      <w:tr>
        <w:tc>
          <w:tcPr>
            <w:tcW w:type="dxa" w:w="2400"/>
            <w:tcBorders>
              <w:top w:val="single" w:color="D1D5DB" w:sz="1"/>
              <w:left w:val="single" w:color="D1D5DB" w:sz="1"/>
              <w:bottom w:val="single" w:color="D1D5DB" w:sz="1"/>
              <w:right w:val="single" w:color="D1D5DB" w:sz="1"/>
            </w:tcBorders>
            <w:shd w:fill="EFF6FF" w:val="clear"/>
            <w:tcMar>
              <w:top w:type="dxa" w:w="80"/>
              <w:left w:type="dxa" w:w="120"/>
              <w:bottom w:type="dxa" w:w="80"/>
              <w:right w:type="dxa" w:w="120"/>
            </w:tcMar>
          </w:tcPr>
          <w:p>
            <w:r>
              <w:rPr>
                <w:rFonts w:ascii="Arial" w:cs="Arial" w:eastAsia="Arial" w:hAnsi="Arial"/>
                <w:b w:val="false"/>
                <w:bCs w:val="false"/>
                <w:color w:val="111827"/>
                <w:sz w:val="18"/>
                <w:szCs w:val="18"/>
              </w:rPr>
              <w:t xml:space="preserve">Webhook: payment_failed</w:t>
            </w:r>
          </w:p>
        </w:tc>
        <w:tc>
          <w:tcPr>
            <w:tcW w:type="dxa" w:w="3200"/>
            <w:tcBorders>
              <w:top w:val="single" w:color="D1D5DB" w:sz="1"/>
              <w:left w:val="single" w:color="D1D5DB" w:sz="1"/>
              <w:bottom w:val="single" w:color="D1D5DB" w:sz="1"/>
              <w:right w:val="single" w:color="D1D5DB" w:sz="1"/>
            </w:tcBorders>
            <w:shd w:fill="EFF6FF" w:val="clear"/>
            <w:tcMar>
              <w:top w:type="dxa" w:w="80"/>
              <w:left w:type="dxa" w:w="120"/>
              <w:bottom w:type="dxa" w:w="80"/>
              <w:right w:type="dxa" w:w="120"/>
            </w:tcMar>
          </w:tcPr>
          <w:p>
            <w:r>
              <w:rPr>
                <w:rFonts w:ascii="Arial" w:cs="Arial" w:eastAsia="Arial" w:hAnsi="Arial"/>
                <w:b w:val="false"/>
                <w:bCs w:val="false"/>
                <w:color w:val="111827"/>
                <w:sz w:val="18"/>
                <w:szCs w:val="18"/>
              </w:rPr>
              <w:t xml:space="preserve">Card declined or invoice overdue</w:t>
            </w:r>
          </w:p>
        </w:tc>
        <w:tc>
          <w:tcPr>
            <w:tcW w:type="dxa" w:w="3760"/>
            <w:tcBorders>
              <w:top w:val="single" w:color="D1D5DB" w:sz="1"/>
              <w:left w:val="single" w:color="D1D5DB" w:sz="1"/>
              <w:bottom w:val="single" w:color="D1D5DB" w:sz="1"/>
              <w:right w:val="single" w:color="D1D5DB" w:sz="1"/>
            </w:tcBorders>
            <w:shd w:fill="EFF6FF" w:val="clear"/>
            <w:tcMar>
              <w:top w:type="dxa" w:w="80"/>
              <w:left w:type="dxa" w:w="120"/>
              <w:bottom w:type="dxa" w:w="80"/>
              <w:right w:type="dxa" w:w="120"/>
            </w:tcMar>
          </w:tcPr>
          <w:p>
            <w:r>
              <w:rPr>
                <w:rFonts w:ascii="Arial" w:cs="Arial" w:eastAsia="Arial" w:hAnsi="Arial"/>
                <w:b w:val="false"/>
                <w:bCs w:val="false"/>
                <w:color w:val="111827"/>
                <w:sz w:val="18"/>
                <w:szCs w:val="18"/>
              </w:rPr>
              <w:t xml:space="preserve">Chargebee → PipeLedger (triggers grace period logic, see Section 7)</w:t>
            </w:r>
          </w:p>
        </w:tc>
      </w:tr>
    </w:tbl>
    <w:p>
      <w:pPr>
        <w:spacing w:after="80"/>
      </w:pPr>
    </w:p>
    <w:p>
      <w:pPr>
        <w:spacing w:after="20"/>
        <w:ind w:left="360"/>
      </w:pPr>
      <w:r>
        <w:rPr>
          <w:rFonts w:ascii="Courier New" w:cs="Courier New" w:eastAsia="Courier New" w:hAnsi="Courier New"/>
          <w:color w:val="4B5563"/>
          <w:sz w:val="17"/>
          <w:szCs w:val="17"/>
        </w:rPr>
        <w:t xml:space="preserve">// Chargebee metered usage push (end-of-month)</w:t>
      </w:r>
    </w:p>
    <w:p>
      <w:pPr>
        <w:spacing w:after="20"/>
        <w:ind w:left="360"/>
      </w:pPr>
      <w:r>
        <w:rPr>
          <w:rFonts w:ascii="Courier New" w:cs="Courier New" w:eastAsia="Courier New" w:hAnsi="Courier New"/>
          <w:color w:val="4B5563"/>
          <w:sz w:val="17"/>
          <w:szCs w:val="17"/>
        </w:rPr>
        <w:t xml:space="preserve">chargebee.usage.create(subscription_id, {</w:t>
      </w:r>
    </w:p>
    <w:p>
      <w:pPr>
        <w:spacing w:after="20"/>
        <w:ind w:left="360"/>
      </w:pPr>
      <w:r>
        <w:rPr>
          <w:rFonts w:ascii="Courier New" w:cs="Courier New" w:eastAsia="Courier New" w:hAnsi="Courier New"/>
          <w:color w:val="4B5563"/>
          <w:sz w:val="17"/>
          <w:szCs w:val="17"/>
        </w:rPr>
        <w:t xml:space="preserve">  item_price_id: 'fcu-overage-per-1000',</w:t>
      </w:r>
    </w:p>
    <w:p>
      <w:pPr>
        <w:spacing w:after="20"/>
        <w:ind w:left="360"/>
      </w:pPr>
      <w:r>
        <w:rPr>
          <w:rFonts w:ascii="Courier New" w:cs="Courier New" w:eastAsia="Courier New" w:hAnsi="Courier New"/>
          <w:color w:val="4B5563"/>
          <w:sz w:val="17"/>
          <w:szCs w:val="17"/>
        </w:rPr>
        <w:t xml:space="preserve">  quantity: Math.ceil(fcu_overage / 1000),</w:t>
      </w:r>
    </w:p>
    <w:p>
      <w:pPr>
        <w:spacing w:after="20"/>
        <w:ind w:left="360"/>
      </w:pPr>
      <w:r>
        <w:rPr>
          <w:rFonts w:ascii="Courier New" w:cs="Courier New" w:eastAsia="Courier New" w:hAnsi="Courier New"/>
          <w:color w:val="4B5563"/>
          <w:sz w:val="17"/>
          <w:szCs w:val="17"/>
        </w:rPr>
        <w:t xml:space="preserve">  usage_date: billing_period_end,</w:t>
      </w:r>
    </w:p>
    <w:p>
      <w:pPr>
        <w:spacing w:after="20"/>
        <w:ind w:left="360"/>
      </w:pPr>
      <w:r>
        <w:rPr>
          <w:rFonts w:ascii="Courier New" w:cs="Courier New" w:eastAsia="Courier New" w:hAnsi="Courier New"/>
          <w:color w:val="4B5563"/>
          <w:sz w:val="17"/>
          <w:szCs w:val="17"/>
        </w:rPr>
        <w:t xml:space="preserve">  note: `FCU overage: ${fcu_overage} rows over ${plan_allocation} allocation`</w:t>
      </w:r>
    </w:p>
    <w:p>
      <w:pPr>
        <w:spacing w:after="20"/>
        <w:ind w:left="360"/>
      </w:pPr>
      <w:r>
        <w:rPr>
          <w:rFonts w:ascii="Courier New" w:cs="Courier New" w:eastAsia="Courier New" w:hAnsi="Courier New"/>
          <w:color w:val="4B5563"/>
          <w:sz w:val="17"/>
          <w:szCs w:val="17"/>
        </w:rPr>
        <w:t xml:space="preserve">});</w:t>
      </w:r>
    </w:p>
    <w:p>
      <w:pPr>
        <w:spacing w:after="20"/>
        <w:ind w:left="360"/>
      </w:pPr>
      <w:r>
        <w:rPr>
          <w:rFonts w:ascii="Courier New" w:cs="Courier New" w:eastAsia="Courier New" w:hAnsi="Courier New"/>
          <w:color w:val="4B5563"/>
          <w:sz w:val="17"/>
          <w:szCs w:val="17"/>
        </w:rPr>
        <w:t xml:space="preserve"/>
      </w:r>
    </w:p>
    <w:p>
      <w:pPr>
        <w:spacing w:after="20"/>
        <w:ind w:left="360"/>
      </w:pPr>
      <w:r>
        <w:rPr>
          <w:rFonts w:ascii="Courier New" w:cs="Courier New" w:eastAsia="Courier New" w:hAnsi="Courier New"/>
          <w:color w:val="4B5563"/>
          <w:sz w:val="17"/>
          <w:szCs w:val="17"/>
        </w:rPr>
        <w:t xml:space="preserve">chargebee.usage.create(subscription_id, {</w:t>
      </w:r>
    </w:p>
    <w:p>
      <w:pPr>
        <w:spacing w:after="20"/>
        <w:ind w:left="360"/>
      </w:pPr>
      <w:r>
        <w:rPr>
          <w:rFonts w:ascii="Courier New" w:cs="Courier New" w:eastAsia="Courier New" w:hAnsi="Courier New"/>
          <w:color w:val="4B5563"/>
          <w:sz w:val="17"/>
          <w:szCs w:val="17"/>
        </w:rPr>
        <w:t xml:space="preserve">  item_price_id: 'fiq-overage-per-1000',</w:t>
      </w:r>
    </w:p>
    <w:p>
      <w:pPr>
        <w:spacing w:after="20"/>
        <w:ind w:left="360"/>
      </w:pPr>
      <w:r>
        <w:rPr>
          <w:rFonts w:ascii="Courier New" w:cs="Courier New" w:eastAsia="Courier New" w:hAnsi="Courier New"/>
          <w:color w:val="4B5563"/>
          <w:sz w:val="17"/>
          <w:szCs w:val="17"/>
        </w:rPr>
        <w:t xml:space="preserve">  quantity: Math.ceil(fiq_overage / 1000),</w:t>
      </w:r>
    </w:p>
    <w:p>
      <w:pPr>
        <w:spacing w:after="20"/>
        <w:ind w:left="360"/>
      </w:pPr>
      <w:r>
        <w:rPr>
          <w:rFonts w:ascii="Courier New" w:cs="Courier New" w:eastAsia="Courier New" w:hAnsi="Courier New"/>
          <w:color w:val="4B5563"/>
          <w:sz w:val="17"/>
          <w:szCs w:val="17"/>
        </w:rPr>
        <w:t xml:space="preserve">  usage_date: billing_period_end,</w:t>
      </w:r>
    </w:p>
    <w:p>
      <w:pPr>
        <w:spacing w:after="20"/>
        <w:ind w:left="360"/>
      </w:pPr>
      <w:r>
        <w:rPr>
          <w:rFonts w:ascii="Courier New" w:cs="Courier New" w:eastAsia="Courier New" w:hAnsi="Courier New"/>
          <w:color w:val="4B5563"/>
          <w:sz w:val="17"/>
          <w:szCs w:val="17"/>
        </w:rPr>
        <w:t xml:space="preserve">  note: `FIQ overage: ${fiq_overage} FIQ over ${plan_allocation} allocation`</w:t>
      </w:r>
    </w:p>
    <w:p>
      <w:pPr>
        <w:spacing w:after="160"/>
        <w:ind w:left="360"/>
      </w:pPr>
      <w:r>
        <w:rPr>
          <w:rFonts w:ascii="Courier New" w:cs="Courier New" w:eastAsia="Courier New" w:hAnsi="Courier New"/>
          <w:color w:val="4B5563"/>
          <w:sz w:val="17"/>
          <w:szCs w:val="17"/>
        </w:rPr>
        <w:t xml:space="preserve">});</w:t>
      </w:r>
    </w:p>
    <w:p>
      <w:pPr>
        <w:pStyle w:val="Heading1"/>
      </w:pPr>
      <w:r>
        <w:t xml:space="preserve">7. Payment Failure and Account Lifecycle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400"/>
        <w:gridCol w:w="2200"/>
        <w:gridCol w:w="2600"/>
        <w:gridCol w:w="3160"/>
      </w:tblGrid>
      <w:tr>
        <w:tc>
          <w:tcPr>
            <w:tcW w:type="dxa" w:w="1400"/>
            <w:tcBorders>
              <w:top w:val="single" w:color="D1D5DB" w:sz="1"/>
              <w:left w:val="single" w:color="D1D5DB" w:sz="1"/>
              <w:bottom w:val="single" w:color="D1D5DB" w:sz="1"/>
              <w:right w:val="single" w:color="D1D5DB" w:sz="1"/>
            </w:tcBorders>
            <w:shd w:fill="1E3A5F" w:val="clear"/>
            <w:tcMar>
              <w:top w:type="dxa" w:w="80"/>
              <w:left w:type="dxa" w:w="120"/>
              <w:bottom w:type="dxa" w:w="80"/>
              <w:right w:type="dxa" w:w="120"/>
            </w:tcMar>
          </w:tcPr>
          <w:p>
            <w:r>
              <w:rPr>
                <w:rFonts w:ascii="Arial" w:cs="Arial" w:eastAsia="Arial" w:hAnsi="Arial"/>
                <w:b/>
                <w:bCs/>
                <w:color w:val="FFFFFF"/>
                <w:sz w:val="17"/>
                <w:szCs w:val="17"/>
              </w:rPr>
              <w:t xml:space="preserve">Day</w:t>
            </w:r>
          </w:p>
        </w:tc>
        <w:tc>
          <w:tcPr>
            <w:tcW w:type="dxa" w:w="2200"/>
            <w:tcBorders>
              <w:top w:val="single" w:color="D1D5DB" w:sz="1"/>
              <w:left w:val="single" w:color="D1D5DB" w:sz="1"/>
              <w:bottom w:val="single" w:color="D1D5DB" w:sz="1"/>
              <w:right w:val="single" w:color="D1D5DB" w:sz="1"/>
            </w:tcBorders>
            <w:shd w:fill="1E3A5F" w:val="clear"/>
            <w:tcMar>
              <w:top w:type="dxa" w:w="80"/>
              <w:left w:type="dxa" w:w="120"/>
              <w:bottom w:type="dxa" w:w="80"/>
              <w:right w:type="dxa" w:w="120"/>
            </w:tcMar>
          </w:tcPr>
          <w:p>
            <w:r>
              <w:rPr>
                <w:rFonts w:ascii="Arial" w:cs="Arial" w:eastAsia="Arial" w:hAnsi="Arial"/>
                <w:b/>
                <w:bCs/>
                <w:color w:val="FFFFFF"/>
                <w:sz w:val="17"/>
                <w:szCs w:val="17"/>
              </w:rPr>
              <w:t xml:space="preserve">Status</w:t>
            </w:r>
          </w:p>
        </w:tc>
        <w:tc>
          <w:tcPr>
            <w:tcW w:type="dxa" w:w="2600"/>
            <w:tcBorders>
              <w:top w:val="single" w:color="D1D5DB" w:sz="1"/>
              <w:left w:val="single" w:color="D1D5DB" w:sz="1"/>
              <w:bottom w:val="single" w:color="D1D5DB" w:sz="1"/>
              <w:right w:val="single" w:color="D1D5DB" w:sz="1"/>
            </w:tcBorders>
            <w:shd w:fill="1E3A5F" w:val="clear"/>
            <w:tcMar>
              <w:top w:type="dxa" w:w="80"/>
              <w:left w:type="dxa" w:w="120"/>
              <w:bottom w:type="dxa" w:w="80"/>
              <w:right w:type="dxa" w:w="120"/>
            </w:tcMar>
          </w:tcPr>
          <w:p>
            <w:r>
              <w:rPr>
                <w:rFonts w:ascii="Arial" w:cs="Arial" w:eastAsia="Arial" w:hAnsi="Arial"/>
                <w:b/>
                <w:bCs/>
                <w:color w:val="FFFFFF"/>
                <w:sz w:val="17"/>
                <w:szCs w:val="17"/>
              </w:rPr>
              <w:t xml:space="preserve">Customer Impact</w:t>
            </w:r>
          </w:p>
        </w:tc>
        <w:tc>
          <w:tcPr>
            <w:tcW w:type="dxa" w:w="3160"/>
            <w:tcBorders>
              <w:top w:val="single" w:color="D1D5DB" w:sz="1"/>
              <w:left w:val="single" w:color="D1D5DB" w:sz="1"/>
              <w:bottom w:val="single" w:color="D1D5DB" w:sz="1"/>
              <w:right w:val="single" w:color="D1D5DB" w:sz="1"/>
            </w:tcBorders>
            <w:shd w:fill="1E3A5F" w:val="clear"/>
            <w:tcMar>
              <w:top w:type="dxa" w:w="80"/>
              <w:left w:type="dxa" w:w="120"/>
              <w:bottom w:type="dxa" w:w="80"/>
              <w:right w:type="dxa" w:w="120"/>
            </w:tcMar>
          </w:tcPr>
          <w:p>
            <w:r>
              <w:rPr>
                <w:rFonts w:ascii="Arial" w:cs="Arial" w:eastAsia="Arial" w:hAnsi="Arial"/>
                <w:b/>
                <w:bCs/>
                <w:color w:val="FFFFFF"/>
                <w:sz w:val="17"/>
                <w:szCs w:val="17"/>
              </w:rPr>
              <w:t xml:space="preserve">System Behavior</w:t>
            </w:r>
          </w:p>
        </w:tc>
      </w:tr>
      <w:tr>
        <w:tc>
          <w:tcPr>
            <w:tcW w:type="dxa" w:w="1400"/>
            <w:tcBorders>
              <w:top w:val="single" w:color="D1D5DB" w:sz="1"/>
              <w:left w:val="single" w:color="D1D5DB" w:sz="1"/>
              <w:bottom w:val="single" w:color="D1D5DB" w:sz="1"/>
              <w:right w:val="single" w:color="D1D5DB" w:sz="1"/>
            </w:tcBorders>
            <w:shd w:fill="EFF6FF" w:val="clear"/>
            <w:tcMar>
              <w:top w:type="dxa" w:w="80"/>
              <w:left w:type="dxa" w:w="120"/>
              <w:bottom w:type="dxa" w:w="80"/>
              <w:right w:type="dxa" w:w="120"/>
            </w:tcMar>
          </w:tcPr>
          <w:p>
            <w:r>
              <w:rPr>
                <w:rFonts w:ascii="Arial" w:cs="Arial" w:eastAsia="Arial" w:hAnsi="Arial"/>
                <w:b w:val="false"/>
                <w:bCs w:val="false"/>
                <w:color w:val="111827"/>
                <w:sz w:val="18"/>
                <w:szCs w:val="18"/>
              </w:rPr>
              <w:t xml:space="preserve">Day 0</w:t>
            </w:r>
          </w:p>
        </w:tc>
        <w:tc>
          <w:tcPr>
            <w:tcW w:type="dxa" w:w="2200"/>
            <w:tcBorders>
              <w:top w:val="single" w:color="D1D5DB" w:sz="1"/>
              <w:left w:val="single" w:color="D1D5DB" w:sz="1"/>
              <w:bottom w:val="single" w:color="D1D5DB" w:sz="1"/>
              <w:right w:val="single" w:color="D1D5DB" w:sz="1"/>
            </w:tcBorders>
            <w:shd w:fill="EFF6FF" w:val="clear"/>
            <w:tcMar>
              <w:top w:type="dxa" w:w="80"/>
              <w:left w:type="dxa" w:w="120"/>
              <w:bottom w:type="dxa" w:w="80"/>
              <w:right w:type="dxa" w:w="120"/>
            </w:tcMar>
          </w:tcPr>
          <w:p>
            <w:r>
              <w:rPr>
                <w:rFonts w:ascii="Arial" w:cs="Arial" w:eastAsia="Arial" w:hAnsi="Arial"/>
                <w:b w:val="false"/>
                <w:bCs w:val="false"/>
                <w:color w:val="111827"/>
                <w:sz w:val="18"/>
                <w:szCs w:val="18"/>
              </w:rPr>
              <w:t xml:space="preserve">Payment failed</w:t>
            </w:r>
          </w:p>
        </w:tc>
        <w:tc>
          <w:tcPr>
            <w:tcW w:type="dxa" w:w="2600"/>
            <w:tcBorders>
              <w:top w:val="single" w:color="D1D5DB" w:sz="1"/>
              <w:left w:val="single" w:color="D1D5DB" w:sz="1"/>
              <w:bottom w:val="single" w:color="D1D5DB" w:sz="1"/>
              <w:right w:val="single" w:color="D1D5DB" w:sz="1"/>
            </w:tcBorders>
            <w:shd w:fill="EFF6FF" w:val="clear"/>
            <w:tcMar>
              <w:top w:type="dxa" w:w="80"/>
              <w:left w:type="dxa" w:w="120"/>
              <w:bottom w:type="dxa" w:w="80"/>
              <w:right w:type="dxa" w:w="120"/>
            </w:tcMar>
          </w:tcPr>
          <w:p>
            <w:r>
              <w:rPr>
                <w:rFonts w:ascii="Arial" w:cs="Arial" w:eastAsia="Arial" w:hAnsi="Arial"/>
                <w:b w:val="false"/>
                <w:bCs w:val="false"/>
                <w:color w:val="111827"/>
                <w:sz w:val="18"/>
                <w:szCs w:val="18"/>
              </w:rPr>
              <w:t xml:space="preserve">Chargebee retries payment automatically (3 attempts over 7 days). Customer notified via email.</w:t>
            </w:r>
          </w:p>
        </w:tc>
        <w:tc>
          <w:tcPr>
            <w:tcW w:type="dxa" w:w="3160"/>
            <w:tcBorders>
              <w:top w:val="single" w:color="D1D5DB" w:sz="1"/>
              <w:left w:val="single" w:color="D1D5DB" w:sz="1"/>
              <w:bottom w:val="single" w:color="D1D5DB" w:sz="1"/>
              <w:right w:val="single" w:color="D1D5DB" w:sz="1"/>
            </w:tcBorders>
            <w:shd w:fill="EFF6FF" w:val="clear"/>
            <w:tcMar>
              <w:top w:type="dxa" w:w="80"/>
              <w:left w:type="dxa" w:w="120"/>
              <w:bottom w:type="dxa" w:w="80"/>
              <w:right w:type="dxa" w:w="120"/>
            </w:tcMar>
          </w:tcPr>
          <w:p>
            <w:r>
              <w:rPr>
                <w:rFonts w:ascii="Arial" w:cs="Arial" w:eastAsia="Arial" w:hAnsi="Arial"/>
                <w:b w:val="false"/>
                <w:bCs w:val="false"/>
                <w:color w:val="111827"/>
                <w:sz w:val="18"/>
                <w:szCs w:val="18"/>
              </w:rPr>
              <w:t xml:space="preserve">PipeLedger continues normal operation. No service disruption.</w:t>
            </w:r>
          </w:p>
        </w:tc>
      </w:tr>
      <w:tr>
        <w:tc>
          <w:tcPr>
            <w:tcW w:type="dxa" w:w="1400"/>
            <w:tcBorders>
              <w:top w:val="single" w:color="D1D5DB" w:sz="1"/>
              <w:left w:val="single" w:color="D1D5DB" w:sz="1"/>
              <w:bottom w:val="single" w:color="D1D5DB" w:sz="1"/>
              <w:right w:val="single" w:color="D1D5DB" w:sz="1"/>
            </w:tcBorders>
            <w:tcMar>
              <w:top w:type="dxa" w:w="80"/>
              <w:left w:type="dxa" w:w="120"/>
              <w:bottom w:type="dxa" w:w="80"/>
              <w:right w:type="dxa" w:w="120"/>
            </w:tcMar>
          </w:tcPr>
          <w:p>
            <w:r>
              <w:rPr>
                <w:rFonts w:ascii="Arial" w:cs="Arial" w:eastAsia="Arial" w:hAnsi="Arial"/>
                <w:b w:val="false"/>
                <w:bCs w:val="false"/>
                <w:color w:val="111827"/>
                <w:sz w:val="18"/>
                <w:szCs w:val="18"/>
              </w:rPr>
              <w:t xml:space="preserve">Day 7</w:t>
            </w:r>
          </w:p>
        </w:tc>
        <w:tc>
          <w:tcPr>
            <w:tcW w:type="dxa" w:w="2200"/>
            <w:tcBorders>
              <w:top w:val="single" w:color="D1D5DB" w:sz="1"/>
              <w:left w:val="single" w:color="D1D5DB" w:sz="1"/>
              <w:bottom w:val="single" w:color="D1D5DB" w:sz="1"/>
              <w:right w:val="single" w:color="D1D5DB" w:sz="1"/>
            </w:tcBorders>
            <w:tcMar>
              <w:top w:type="dxa" w:w="80"/>
              <w:left w:type="dxa" w:w="120"/>
              <w:bottom w:type="dxa" w:w="80"/>
              <w:right w:type="dxa" w:w="120"/>
            </w:tcMar>
          </w:tcPr>
          <w:p>
            <w:r>
              <w:rPr>
                <w:rFonts w:ascii="Arial" w:cs="Arial" w:eastAsia="Arial" w:hAnsi="Arial"/>
                <w:b w:val="false"/>
                <w:bCs w:val="false"/>
                <w:color w:val="111827"/>
                <w:sz w:val="18"/>
                <w:szCs w:val="18"/>
              </w:rPr>
              <w:t xml:space="preserve">Grace period starts</w:t>
            </w:r>
          </w:p>
        </w:tc>
        <w:tc>
          <w:tcPr>
            <w:tcW w:type="dxa" w:w="2600"/>
            <w:tcBorders>
              <w:top w:val="single" w:color="D1D5DB" w:sz="1"/>
              <w:left w:val="single" w:color="D1D5DB" w:sz="1"/>
              <w:bottom w:val="single" w:color="D1D5DB" w:sz="1"/>
              <w:right w:val="single" w:color="D1D5DB" w:sz="1"/>
            </w:tcBorders>
            <w:tcMar>
              <w:top w:type="dxa" w:w="80"/>
              <w:left w:type="dxa" w:w="120"/>
              <w:bottom w:type="dxa" w:w="80"/>
              <w:right w:type="dxa" w:w="120"/>
            </w:tcMar>
          </w:tcPr>
          <w:p>
            <w:r>
              <w:rPr>
                <w:rFonts w:ascii="Arial" w:cs="Arial" w:eastAsia="Arial" w:hAnsi="Arial"/>
                <w:b w:val="false"/>
                <w:bCs w:val="false"/>
                <w:color w:val="111827"/>
                <w:sz w:val="18"/>
                <w:szCs w:val="18"/>
              </w:rPr>
              <w:t xml:space="preserve">All Chargebee retry attempts exhausted. Customer receives “update payment method” email with direct link.</w:t>
            </w:r>
          </w:p>
        </w:tc>
        <w:tc>
          <w:tcPr>
            <w:tcW w:type="dxa" w:w="3160"/>
            <w:tcBorders>
              <w:top w:val="single" w:color="D1D5DB" w:sz="1"/>
              <w:left w:val="single" w:color="D1D5DB" w:sz="1"/>
              <w:bottom w:val="single" w:color="D1D5DB" w:sz="1"/>
              <w:right w:val="single" w:color="D1D5DB" w:sz="1"/>
            </w:tcBorders>
            <w:tcMar>
              <w:top w:type="dxa" w:w="80"/>
              <w:left w:type="dxa" w:w="120"/>
              <w:bottom w:type="dxa" w:w="80"/>
              <w:right w:type="dxa" w:w="120"/>
            </w:tcMar>
          </w:tcPr>
          <w:p>
            <w:r>
              <w:rPr>
                <w:rFonts w:ascii="Arial" w:cs="Arial" w:eastAsia="Arial" w:hAnsi="Arial"/>
                <w:b w:val="false"/>
                <w:bCs w:val="false"/>
                <w:color w:val="111827"/>
                <w:sz w:val="18"/>
                <w:szCs w:val="18"/>
              </w:rPr>
              <w:t xml:space="preserve">PipeLedger continues normal operation. In-app banner: “Payment overdue — update payment method.”</w:t>
            </w:r>
          </w:p>
        </w:tc>
      </w:tr>
      <w:tr>
        <w:tc>
          <w:tcPr>
            <w:tcW w:type="dxa" w:w="1400"/>
            <w:tcBorders>
              <w:top w:val="single" w:color="D1D5DB" w:sz="1"/>
              <w:left w:val="single" w:color="D1D5DB" w:sz="1"/>
              <w:bottom w:val="single" w:color="D1D5DB" w:sz="1"/>
              <w:right w:val="single" w:color="D1D5DB" w:sz="1"/>
            </w:tcBorders>
            <w:shd w:fill="EFF6FF" w:val="clear"/>
            <w:tcMar>
              <w:top w:type="dxa" w:w="80"/>
              <w:left w:type="dxa" w:w="120"/>
              <w:bottom w:type="dxa" w:w="80"/>
              <w:right w:type="dxa" w:w="120"/>
            </w:tcMar>
          </w:tcPr>
          <w:p>
            <w:r>
              <w:rPr>
                <w:rFonts w:ascii="Arial" w:cs="Arial" w:eastAsia="Arial" w:hAnsi="Arial"/>
                <w:b w:val="false"/>
                <w:bCs w:val="false"/>
                <w:color w:val="111827"/>
                <w:sz w:val="18"/>
                <w:szCs w:val="18"/>
              </w:rPr>
              <w:t xml:space="preserve">Day 14</w:t>
            </w:r>
          </w:p>
        </w:tc>
        <w:tc>
          <w:tcPr>
            <w:tcW w:type="dxa" w:w="2200"/>
            <w:tcBorders>
              <w:top w:val="single" w:color="D1D5DB" w:sz="1"/>
              <w:left w:val="single" w:color="D1D5DB" w:sz="1"/>
              <w:bottom w:val="single" w:color="D1D5DB" w:sz="1"/>
              <w:right w:val="single" w:color="D1D5DB" w:sz="1"/>
            </w:tcBorders>
            <w:shd w:fill="EFF6FF" w:val="clear"/>
            <w:tcMar>
              <w:top w:type="dxa" w:w="80"/>
              <w:left w:type="dxa" w:w="120"/>
              <w:bottom w:type="dxa" w:w="80"/>
              <w:right w:type="dxa" w:w="120"/>
            </w:tcMar>
          </w:tcPr>
          <w:p>
            <w:r>
              <w:rPr>
                <w:rFonts w:ascii="Arial" w:cs="Arial" w:eastAsia="Arial" w:hAnsi="Arial"/>
                <w:b w:val="false"/>
                <w:bCs w:val="false"/>
                <w:color w:val="111827"/>
                <w:sz w:val="18"/>
                <w:szCs w:val="18"/>
              </w:rPr>
              <w:t xml:space="preserve">Read-only mode</w:t>
            </w:r>
          </w:p>
        </w:tc>
        <w:tc>
          <w:tcPr>
            <w:tcW w:type="dxa" w:w="2600"/>
            <w:tcBorders>
              <w:top w:val="single" w:color="D1D5DB" w:sz="1"/>
              <w:left w:val="single" w:color="D1D5DB" w:sz="1"/>
              <w:bottom w:val="single" w:color="D1D5DB" w:sz="1"/>
              <w:right w:val="single" w:color="D1D5DB" w:sz="1"/>
            </w:tcBorders>
            <w:shd w:fill="EFF6FF" w:val="clear"/>
            <w:tcMar>
              <w:top w:type="dxa" w:w="80"/>
              <w:left w:type="dxa" w:w="120"/>
              <w:bottom w:type="dxa" w:w="80"/>
              <w:right w:type="dxa" w:w="120"/>
            </w:tcMar>
          </w:tcPr>
          <w:p>
            <w:r>
              <w:rPr>
                <w:rFonts w:ascii="Arial" w:cs="Arial" w:eastAsia="Arial" w:hAnsi="Arial"/>
                <w:b w:val="false"/>
                <w:bCs w:val="false"/>
                <w:color w:val="111827"/>
                <w:sz w:val="18"/>
                <w:szCs w:val="18"/>
              </w:rPr>
              <w:t xml:space="preserve">Customer can view data but cannot run new pipelines, create exports, or modify configurations.</w:t>
            </w:r>
          </w:p>
        </w:tc>
        <w:tc>
          <w:tcPr>
            <w:tcW w:type="dxa" w:w="3160"/>
            <w:tcBorders>
              <w:top w:val="single" w:color="D1D5DB" w:sz="1"/>
              <w:left w:val="single" w:color="D1D5DB" w:sz="1"/>
              <w:bottom w:val="single" w:color="D1D5DB" w:sz="1"/>
              <w:right w:val="single" w:color="D1D5DB" w:sz="1"/>
            </w:tcBorders>
            <w:shd w:fill="EFF6FF" w:val="clear"/>
            <w:tcMar>
              <w:top w:type="dxa" w:w="80"/>
              <w:left w:type="dxa" w:w="120"/>
              <w:bottom w:type="dxa" w:w="80"/>
              <w:right w:type="dxa" w:w="120"/>
            </w:tcMar>
          </w:tcPr>
          <w:p>
            <w:r>
              <w:rPr>
                <w:rFonts w:ascii="Arial" w:cs="Arial" w:eastAsia="Arial" w:hAnsi="Arial"/>
                <w:b w:val="false"/>
                <w:bCs w:val="false"/>
                <w:color w:val="111827"/>
                <w:sz w:val="18"/>
                <w:szCs w:val="18"/>
              </w:rPr>
              <w:t xml:space="preserve">Pipeline scheduling paused. MCP server returns 402 Payment Required. API keys return 402.</w:t>
            </w:r>
          </w:p>
        </w:tc>
      </w:tr>
      <w:tr>
        <w:tc>
          <w:tcPr>
            <w:tcW w:type="dxa" w:w="1400"/>
            <w:tcBorders>
              <w:top w:val="single" w:color="D1D5DB" w:sz="1"/>
              <w:left w:val="single" w:color="D1D5DB" w:sz="1"/>
              <w:bottom w:val="single" w:color="D1D5DB" w:sz="1"/>
              <w:right w:val="single" w:color="D1D5DB" w:sz="1"/>
            </w:tcBorders>
            <w:tcMar>
              <w:top w:type="dxa" w:w="80"/>
              <w:left w:type="dxa" w:w="120"/>
              <w:bottom w:type="dxa" w:w="80"/>
              <w:right w:type="dxa" w:w="120"/>
            </w:tcMar>
          </w:tcPr>
          <w:p>
            <w:r>
              <w:rPr>
                <w:rFonts w:ascii="Arial" w:cs="Arial" w:eastAsia="Arial" w:hAnsi="Arial"/>
                <w:b w:val="false"/>
                <w:bCs w:val="false"/>
                <w:color w:val="111827"/>
                <w:sz w:val="18"/>
                <w:szCs w:val="18"/>
              </w:rPr>
              <w:t xml:space="preserve">Day 30</w:t>
            </w:r>
          </w:p>
        </w:tc>
        <w:tc>
          <w:tcPr>
            <w:tcW w:type="dxa" w:w="2200"/>
            <w:tcBorders>
              <w:top w:val="single" w:color="D1D5DB" w:sz="1"/>
              <w:left w:val="single" w:color="D1D5DB" w:sz="1"/>
              <w:bottom w:val="single" w:color="D1D5DB" w:sz="1"/>
              <w:right w:val="single" w:color="D1D5DB" w:sz="1"/>
            </w:tcBorders>
            <w:tcMar>
              <w:top w:type="dxa" w:w="80"/>
              <w:left w:type="dxa" w:w="120"/>
              <w:bottom w:type="dxa" w:w="80"/>
              <w:right w:type="dxa" w:w="120"/>
            </w:tcMar>
          </w:tcPr>
          <w:p>
            <w:r>
              <w:rPr>
                <w:rFonts w:ascii="Arial" w:cs="Arial" w:eastAsia="Arial" w:hAnsi="Arial"/>
                <w:b w:val="false"/>
                <w:bCs w:val="false"/>
                <w:color w:val="111827"/>
                <w:sz w:val="18"/>
                <w:szCs w:val="18"/>
              </w:rPr>
              <w:t xml:space="preserve">Account suspended</w:t>
            </w:r>
          </w:p>
        </w:tc>
        <w:tc>
          <w:tcPr>
            <w:tcW w:type="dxa" w:w="2600"/>
            <w:tcBorders>
              <w:top w:val="single" w:color="D1D5DB" w:sz="1"/>
              <w:left w:val="single" w:color="D1D5DB" w:sz="1"/>
              <w:bottom w:val="single" w:color="D1D5DB" w:sz="1"/>
              <w:right w:val="single" w:color="D1D5DB" w:sz="1"/>
            </w:tcBorders>
            <w:tcMar>
              <w:top w:type="dxa" w:w="80"/>
              <w:left w:type="dxa" w:w="120"/>
              <w:bottom w:type="dxa" w:w="80"/>
              <w:right w:type="dxa" w:w="120"/>
            </w:tcMar>
          </w:tcPr>
          <w:p>
            <w:r>
              <w:rPr>
                <w:rFonts w:ascii="Arial" w:cs="Arial" w:eastAsia="Arial" w:hAnsi="Arial"/>
                <w:b w:val="false"/>
                <w:bCs w:val="false"/>
                <w:color w:val="111827"/>
                <w:sz w:val="18"/>
                <w:szCs w:val="18"/>
              </w:rPr>
              <w:t xml:space="preserve">Customer cannot access the application. Login redirects to payment update page.</w:t>
            </w:r>
          </w:p>
        </w:tc>
        <w:tc>
          <w:tcPr>
            <w:tcW w:type="dxa" w:w="3160"/>
            <w:tcBorders>
              <w:top w:val="single" w:color="D1D5DB" w:sz="1"/>
              <w:left w:val="single" w:color="D1D5DB" w:sz="1"/>
              <w:bottom w:val="single" w:color="D1D5DB" w:sz="1"/>
              <w:right w:val="single" w:color="D1D5DB" w:sz="1"/>
            </w:tcBorders>
            <w:tcMar>
              <w:top w:type="dxa" w:w="80"/>
              <w:left w:type="dxa" w:w="120"/>
              <w:bottom w:type="dxa" w:w="80"/>
              <w:right w:type="dxa" w:w="120"/>
            </w:tcMar>
          </w:tcPr>
          <w:p>
            <w:r>
              <w:rPr>
                <w:rFonts w:ascii="Arial" w:cs="Arial" w:eastAsia="Arial" w:hAnsi="Arial"/>
                <w:b w:val="false"/>
                <w:bCs w:val="false"/>
                <w:color w:val="111827"/>
                <w:sz w:val="18"/>
                <w:szCs w:val="18"/>
              </w:rPr>
              <w:t xml:space="preserve">All services suspended. Data retained for 90 days.</w:t>
            </w:r>
          </w:p>
        </w:tc>
      </w:tr>
      <w:tr>
        <w:tc>
          <w:tcPr>
            <w:tcW w:type="dxa" w:w="1400"/>
            <w:tcBorders>
              <w:top w:val="single" w:color="D1D5DB" w:sz="1"/>
              <w:left w:val="single" w:color="D1D5DB" w:sz="1"/>
              <w:bottom w:val="single" w:color="D1D5DB" w:sz="1"/>
              <w:right w:val="single" w:color="D1D5DB" w:sz="1"/>
            </w:tcBorders>
            <w:shd w:fill="EFF6FF" w:val="clear"/>
            <w:tcMar>
              <w:top w:type="dxa" w:w="80"/>
              <w:left w:type="dxa" w:w="120"/>
              <w:bottom w:type="dxa" w:w="80"/>
              <w:right w:type="dxa" w:w="120"/>
            </w:tcMar>
          </w:tcPr>
          <w:p>
            <w:r>
              <w:rPr>
                <w:rFonts w:ascii="Arial" w:cs="Arial" w:eastAsia="Arial" w:hAnsi="Arial"/>
                <w:b w:val="false"/>
                <w:bCs w:val="false"/>
                <w:color w:val="111827"/>
                <w:sz w:val="18"/>
                <w:szCs w:val="18"/>
              </w:rPr>
              <w:t xml:space="preserve">Day 120</w:t>
            </w:r>
          </w:p>
        </w:tc>
        <w:tc>
          <w:tcPr>
            <w:tcW w:type="dxa" w:w="2200"/>
            <w:tcBorders>
              <w:top w:val="single" w:color="D1D5DB" w:sz="1"/>
              <w:left w:val="single" w:color="D1D5DB" w:sz="1"/>
              <w:bottom w:val="single" w:color="D1D5DB" w:sz="1"/>
              <w:right w:val="single" w:color="D1D5DB" w:sz="1"/>
            </w:tcBorders>
            <w:shd w:fill="EFF6FF" w:val="clear"/>
            <w:tcMar>
              <w:top w:type="dxa" w:w="80"/>
              <w:left w:type="dxa" w:w="120"/>
              <w:bottom w:type="dxa" w:w="80"/>
              <w:right w:type="dxa" w:w="120"/>
            </w:tcMar>
          </w:tcPr>
          <w:p>
            <w:r>
              <w:rPr>
                <w:rFonts w:ascii="Arial" w:cs="Arial" w:eastAsia="Arial" w:hAnsi="Arial"/>
                <w:b w:val="false"/>
                <w:bCs w:val="false"/>
                <w:color w:val="111827"/>
                <w:sz w:val="18"/>
                <w:szCs w:val="18"/>
              </w:rPr>
              <w:t xml:space="preserve">Account terminated</w:t>
            </w:r>
          </w:p>
        </w:tc>
        <w:tc>
          <w:tcPr>
            <w:tcW w:type="dxa" w:w="2600"/>
            <w:tcBorders>
              <w:top w:val="single" w:color="D1D5DB" w:sz="1"/>
              <w:left w:val="single" w:color="D1D5DB" w:sz="1"/>
              <w:bottom w:val="single" w:color="D1D5DB" w:sz="1"/>
              <w:right w:val="single" w:color="D1D5DB" w:sz="1"/>
            </w:tcBorders>
            <w:shd w:fill="EFF6FF" w:val="clear"/>
            <w:tcMar>
              <w:top w:type="dxa" w:w="80"/>
              <w:left w:type="dxa" w:w="120"/>
              <w:bottom w:type="dxa" w:w="80"/>
              <w:right w:type="dxa" w:w="120"/>
            </w:tcMar>
          </w:tcPr>
          <w:p>
            <w:r>
              <w:rPr>
                <w:rFonts w:ascii="Arial" w:cs="Arial" w:eastAsia="Arial" w:hAnsi="Arial"/>
                <w:b w:val="false"/>
                <w:bCs w:val="false"/>
                <w:color w:val="111827"/>
                <w:sz w:val="18"/>
                <w:szCs w:val="18"/>
              </w:rPr>
              <w:t xml:space="preserve">Data deleted per retention policy. Customer notified 30 days before deletion.</w:t>
            </w:r>
          </w:p>
        </w:tc>
        <w:tc>
          <w:tcPr>
            <w:tcW w:type="dxa" w:w="3160"/>
            <w:tcBorders>
              <w:top w:val="single" w:color="D1D5DB" w:sz="1"/>
              <w:left w:val="single" w:color="D1D5DB" w:sz="1"/>
              <w:bottom w:val="single" w:color="D1D5DB" w:sz="1"/>
              <w:right w:val="single" w:color="D1D5DB" w:sz="1"/>
            </w:tcBorders>
            <w:shd w:fill="EFF6FF" w:val="clear"/>
            <w:tcMar>
              <w:top w:type="dxa" w:w="80"/>
              <w:left w:type="dxa" w:w="120"/>
              <w:bottom w:type="dxa" w:w="80"/>
              <w:right w:type="dxa" w:w="120"/>
            </w:tcMar>
          </w:tcPr>
          <w:p>
            <w:r>
              <w:rPr>
                <w:rFonts w:ascii="Arial" w:cs="Arial" w:eastAsia="Arial" w:hAnsi="Arial"/>
                <w:b w:val="false"/>
                <w:bCs w:val="false"/>
                <w:color w:val="111827"/>
                <w:sz w:val="18"/>
                <w:szCs w:val="18"/>
              </w:rPr>
              <w:t xml:space="preserve">Automated data cleanup. audit_logs preserved for 7 years per compliance policy.</w:t>
            </w:r>
          </w:p>
        </w:tc>
      </w:tr>
    </w:tbl>
    <w:p>
      <w:pPr>
        <w:spacing w:after="80"/>
      </w:pPr>
    </w:p>
    <w:p>
      <w:pPr>
        <w:spacing w:after="160"/>
      </w:pPr>
      <w:r>
        <w:rPr>
          <w:rFonts w:ascii="Arial" w:cs="Arial" w:eastAsia="Arial" w:hAnsi="Arial"/>
          <w:b/>
          <w:bCs/>
          <w:color w:val="111827"/>
          <w:sz w:val="22"/>
          <w:szCs w:val="22"/>
        </w:rPr>
        <w:t xml:space="preserve">Enterprise exception: </w:t>
      </w:r>
      <w:r>
        <w:rPr>
          <w:rFonts w:ascii="Arial" w:cs="Arial" w:eastAsia="Arial" w:hAnsi="Arial"/>
          <w:color w:val="111827"/>
          <w:sz w:val="22"/>
          <w:szCs w:val="22"/>
        </w:rPr>
        <w:t xml:space="preserve">Enterprise customers on NET-30 invoicing follow their contractual payment terms. The grace period above applies to credit card customers only. Enterprise payment disputes are handled by the account team, not by automated dunning.</w:t>
      </w:r>
    </w:p>
    <w:p>
      <w:pPr>
        <w:pStyle w:val="Heading1"/>
      </w:pPr>
      <w:r>
        <w:t xml:space="preserve">8. Revenue Model Scenarios</w:t>
      </w:r>
    </w:p>
    <w:p>
      <w:pPr>
        <w:spacing w:after="160"/>
      </w:pPr>
      <w:r>
        <w:rPr>
          <w:rFonts w:ascii="Arial" w:cs="Arial" w:eastAsia="Arial" w:hAnsi="Arial"/>
          <w:color w:val="111827"/>
          <w:sz w:val="22"/>
          <w:szCs w:val="22"/>
        </w:rPr>
        <w:t xml:space="preserve">The following scenarios illustrate how the three revenue components combine for different customer profiles. These are used for financial modeling, investor conversations, and sales team guidance.</w:t>
      </w:r>
    </w:p>
    <w:p>
      <w:pPr>
        <w:pStyle w:val="Heading2"/>
      </w:pPr>
      <w:r>
        <w:t xml:space="preserve">8.1 Scenario A: Premium Customer (Small Mid-Market)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200"/>
        <w:gridCol w:w="3200"/>
        <w:gridCol w:w="2960"/>
      </w:tblGrid>
      <w:tr>
        <w:tc>
          <w:tcPr>
            <w:tcW w:type="dxa" w:w="3200"/>
            <w:tcBorders>
              <w:top w:val="single" w:color="D1D5DB" w:sz="1"/>
              <w:left w:val="single" w:color="D1D5DB" w:sz="1"/>
              <w:bottom w:val="single" w:color="D1D5DB" w:sz="1"/>
              <w:right w:val="single" w:color="D1D5DB" w:sz="1"/>
            </w:tcBorders>
            <w:shd w:fill="1E3A5F" w:val="clear"/>
            <w:tcMar>
              <w:top w:type="dxa" w:w="80"/>
              <w:left w:type="dxa" w:w="120"/>
              <w:bottom w:type="dxa" w:w="80"/>
              <w:right w:type="dxa" w:w="120"/>
            </w:tcMar>
          </w:tcPr>
          <w:p>
            <w:r>
              <w:rPr>
                <w:rFonts w:ascii="Arial" w:cs="Arial" w:eastAsia="Arial" w:hAnsi="Arial"/>
                <w:b/>
                <w:bCs/>
                <w:color w:val="FFFFFF"/>
                <w:sz w:val="17"/>
                <w:szCs w:val="17"/>
              </w:rPr>
              <w:t xml:space="preserve">Component</w:t>
            </w:r>
          </w:p>
        </w:tc>
        <w:tc>
          <w:tcPr>
            <w:tcW w:type="dxa" w:w="3200"/>
            <w:tcBorders>
              <w:top w:val="single" w:color="D1D5DB" w:sz="1"/>
              <w:left w:val="single" w:color="D1D5DB" w:sz="1"/>
              <w:bottom w:val="single" w:color="D1D5DB" w:sz="1"/>
              <w:right w:val="single" w:color="D1D5DB" w:sz="1"/>
            </w:tcBorders>
            <w:shd w:fill="1E3A5F" w:val="clear"/>
            <w:tcMar>
              <w:top w:type="dxa" w:w="80"/>
              <w:left w:type="dxa" w:w="120"/>
              <w:bottom w:type="dxa" w:w="80"/>
              <w:right w:type="dxa" w:w="120"/>
            </w:tcMar>
          </w:tcPr>
          <w:p>
            <w:r>
              <w:rPr>
                <w:rFonts w:ascii="Arial" w:cs="Arial" w:eastAsia="Arial" w:hAnsi="Arial"/>
                <w:b/>
                <w:bCs/>
                <w:color w:val="FFFFFF"/>
                <w:sz w:val="17"/>
                <w:szCs w:val="17"/>
              </w:rPr>
              <w:t xml:space="preserve">Usage</w:t>
            </w:r>
          </w:p>
        </w:tc>
        <w:tc>
          <w:tcPr>
            <w:tcW w:type="dxa" w:w="2960"/>
            <w:tcBorders>
              <w:top w:val="single" w:color="D1D5DB" w:sz="1"/>
              <w:left w:val="single" w:color="D1D5DB" w:sz="1"/>
              <w:bottom w:val="single" w:color="D1D5DB" w:sz="1"/>
              <w:right w:val="single" w:color="D1D5DB" w:sz="1"/>
            </w:tcBorders>
            <w:shd w:fill="1E3A5F" w:val="clear"/>
            <w:tcMar>
              <w:top w:type="dxa" w:w="80"/>
              <w:left w:type="dxa" w:w="120"/>
              <w:bottom w:type="dxa" w:w="80"/>
              <w:right w:type="dxa" w:w="120"/>
            </w:tcMar>
          </w:tcPr>
          <w:p>
            <w:r>
              <w:rPr>
                <w:rFonts w:ascii="Arial" w:cs="Arial" w:eastAsia="Arial" w:hAnsi="Arial"/>
                <w:b/>
                <w:bCs/>
                <w:color w:val="FFFFFF"/>
                <w:sz w:val="17"/>
                <w:szCs w:val="17"/>
              </w:rPr>
              <w:t xml:space="preserve">Monthly Revenue</w:t>
            </w:r>
          </w:p>
        </w:tc>
      </w:tr>
      <w:tr>
        <w:tc>
          <w:tcPr>
            <w:tcW w:type="dxa" w:w="3200"/>
            <w:tcBorders>
              <w:top w:val="single" w:color="D1D5DB" w:sz="1"/>
              <w:left w:val="single" w:color="D1D5DB" w:sz="1"/>
              <w:bottom w:val="single" w:color="D1D5DB" w:sz="1"/>
              <w:right w:val="single" w:color="D1D5DB" w:sz="1"/>
            </w:tcBorders>
            <w:shd w:fill="EFF6FF" w:val="clear"/>
            <w:tcMar>
              <w:top w:type="dxa" w:w="80"/>
              <w:left w:type="dxa" w:w="120"/>
              <w:bottom w:type="dxa" w:w="80"/>
              <w:right w:type="dxa" w:w="120"/>
            </w:tcMar>
          </w:tcPr>
          <w:p>
            <w:r>
              <w:rPr>
                <w:rFonts w:ascii="Arial" w:cs="Arial" w:eastAsia="Arial" w:hAnsi="Arial"/>
                <w:b w:val="false"/>
                <w:bCs w:val="false"/>
                <w:color w:val="111827"/>
                <w:sz w:val="18"/>
                <w:szCs w:val="18"/>
              </w:rPr>
              <w:t xml:space="preserve">Subscription (Premium)</w:t>
            </w:r>
          </w:p>
        </w:tc>
        <w:tc>
          <w:tcPr>
            <w:tcW w:type="dxa" w:w="3200"/>
            <w:tcBorders>
              <w:top w:val="single" w:color="D1D5DB" w:sz="1"/>
              <w:left w:val="single" w:color="D1D5DB" w:sz="1"/>
              <w:bottom w:val="single" w:color="D1D5DB" w:sz="1"/>
              <w:right w:val="single" w:color="D1D5DB" w:sz="1"/>
            </w:tcBorders>
            <w:shd w:fill="EFF6FF" w:val="clear"/>
            <w:tcMar>
              <w:top w:type="dxa" w:w="80"/>
              <w:left w:type="dxa" w:w="120"/>
              <w:bottom w:type="dxa" w:w="80"/>
              <w:right w:type="dxa" w:w="120"/>
            </w:tcMar>
          </w:tcPr>
          <w:p>
            <w:r>
              <w:rPr>
                <w:rFonts w:ascii="Arial" w:cs="Arial" w:eastAsia="Arial" w:hAnsi="Arial"/>
                <w:b w:val="false"/>
                <w:bCs w:val="false"/>
                <w:color w:val="111827"/>
                <w:sz w:val="18"/>
                <w:szCs w:val="18"/>
              </w:rPr>
              <w:t xml:space="preserve">Base plan</w:t>
            </w:r>
          </w:p>
        </w:tc>
        <w:tc>
          <w:tcPr>
            <w:tcW w:type="dxa" w:w="2960"/>
            <w:tcBorders>
              <w:top w:val="single" w:color="D1D5DB" w:sz="1"/>
              <w:left w:val="single" w:color="D1D5DB" w:sz="1"/>
              <w:bottom w:val="single" w:color="D1D5DB" w:sz="1"/>
              <w:right w:val="single" w:color="D1D5DB" w:sz="1"/>
            </w:tcBorders>
            <w:shd w:fill="EFF6FF" w:val="clear"/>
            <w:tcMar>
              <w:top w:type="dxa" w:w="80"/>
              <w:left w:type="dxa" w:w="120"/>
              <w:bottom w:type="dxa" w:w="80"/>
              <w:right w:type="dxa" w:w="120"/>
            </w:tcMar>
          </w:tcPr>
          <w:p>
            <w:r>
              <w:rPr>
                <w:rFonts w:ascii="Arial" w:cs="Arial" w:eastAsia="Arial" w:hAnsi="Arial"/>
                <w:b w:val="false"/>
                <w:bCs w:val="false"/>
                <w:color w:val="111827"/>
                <w:sz w:val="18"/>
                <w:szCs w:val="18"/>
              </w:rPr>
              <w:t xml:space="preserve">$2,000</w:t>
            </w:r>
          </w:p>
        </w:tc>
      </w:tr>
      <w:tr>
        <w:tc>
          <w:tcPr>
            <w:tcW w:type="dxa" w:w="3200"/>
            <w:tcBorders>
              <w:top w:val="single" w:color="D1D5DB" w:sz="1"/>
              <w:left w:val="single" w:color="D1D5DB" w:sz="1"/>
              <w:bottom w:val="single" w:color="D1D5DB" w:sz="1"/>
              <w:right w:val="single" w:color="D1D5DB" w:sz="1"/>
            </w:tcBorders>
            <w:tcMar>
              <w:top w:type="dxa" w:w="80"/>
              <w:left w:type="dxa" w:w="120"/>
              <w:bottom w:type="dxa" w:w="80"/>
              <w:right w:type="dxa" w:w="120"/>
            </w:tcMar>
          </w:tcPr>
          <w:p>
            <w:r>
              <w:rPr>
                <w:rFonts w:ascii="Arial" w:cs="Arial" w:eastAsia="Arial" w:hAnsi="Arial"/>
                <w:b w:val="false"/>
                <w:bCs w:val="false"/>
                <w:color w:val="111827"/>
                <w:sz w:val="18"/>
                <w:szCs w:val="18"/>
              </w:rPr>
              <w:t xml:space="preserve">FCU: 800K rows processed</w:t>
            </w:r>
          </w:p>
        </w:tc>
        <w:tc>
          <w:tcPr>
            <w:tcW w:type="dxa" w:w="3200"/>
            <w:tcBorders>
              <w:top w:val="single" w:color="D1D5DB" w:sz="1"/>
              <w:left w:val="single" w:color="D1D5DB" w:sz="1"/>
              <w:bottom w:val="single" w:color="D1D5DB" w:sz="1"/>
              <w:right w:val="single" w:color="D1D5DB" w:sz="1"/>
            </w:tcBorders>
            <w:tcMar>
              <w:top w:type="dxa" w:w="80"/>
              <w:left w:type="dxa" w:w="120"/>
              <w:bottom w:type="dxa" w:w="80"/>
              <w:right w:type="dxa" w:w="120"/>
            </w:tcMar>
          </w:tcPr>
          <w:p>
            <w:r>
              <w:rPr>
                <w:rFonts w:ascii="Arial" w:cs="Arial" w:eastAsia="Arial" w:hAnsi="Arial"/>
                <w:b w:val="false"/>
                <w:bCs w:val="false"/>
                <w:color w:val="111827"/>
                <w:sz w:val="18"/>
                <w:szCs w:val="18"/>
              </w:rPr>
              <w:t xml:space="preserve">500K included + 300K overage at $2.00/1K</w:t>
            </w:r>
          </w:p>
        </w:tc>
        <w:tc>
          <w:tcPr>
            <w:tcW w:type="dxa" w:w="2960"/>
            <w:tcBorders>
              <w:top w:val="single" w:color="D1D5DB" w:sz="1"/>
              <w:left w:val="single" w:color="D1D5DB" w:sz="1"/>
              <w:bottom w:val="single" w:color="D1D5DB" w:sz="1"/>
              <w:right w:val="single" w:color="D1D5DB" w:sz="1"/>
            </w:tcBorders>
            <w:tcMar>
              <w:top w:type="dxa" w:w="80"/>
              <w:left w:type="dxa" w:w="120"/>
              <w:bottom w:type="dxa" w:w="80"/>
              <w:right w:type="dxa" w:w="120"/>
            </w:tcMar>
          </w:tcPr>
          <w:p>
            <w:r>
              <w:rPr>
                <w:rFonts w:ascii="Arial" w:cs="Arial" w:eastAsia="Arial" w:hAnsi="Arial"/>
                <w:b w:val="false"/>
                <w:bCs w:val="false"/>
                <w:color w:val="111827"/>
                <w:sz w:val="18"/>
                <w:szCs w:val="18"/>
              </w:rPr>
              <w:t xml:space="preserve">$600</w:t>
            </w:r>
          </w:p>
        </w:tc>
      </w:tr>
      <w:tr>
        <w:tc>
          <w:tcPr>
            <w:tcW w:type="dxa" w:w="3200"/>
            <w:tcBorders>
              <w:top w:val="single" w:color="D1D5DB" w:sz="1"/>
              <w:left w:val="single" w:color="D1D5DB" w:sz="1"/>
              <w:bottom w:val="single" w:color="D1D5DB" w:sz="1"/>
              <w:right w:val="single" w:color="D1D5DB" w:sz="1"/>
            </w:tcBorders>
            <w:shd w:fill="EFF6FF" w:val="clear"/>
            <w:tcMar>
              <w:top w:type="dxa" w:w="80"/>
              <w:left w:type="dxa" w:w="120"/>
              <w:bottom w:type="dxa" w:w="80"/>
              <w:right w:type="dxa" w:w="120"/>
            </w:tcMar>
          </w:tcPr>
          <w:p>
            <w:r>
              <w:rPr>
                <w:rFonts w:ascii="Arial" w:cs="Arial" w:eastAsia="Arial" w:hAnsi="Arial"/>
                <w:b w:val="false"/>
                <w:bCs w:val="false"/>
                <w:color w:val="111827"/>
                <w:sz w:val="18"/>
                <w:szCs w:val="18"/>
              </w:rPr>
              <w:t xml:space="preserve">FIQ: 1,800 queries</w:t>
            </w:r>
          </w:p>
        </w:tc>
        <w:tc>
          <w:tcPr>
            <w:tcW w:type="dxa" w:w="3200"/>
            <w:tcBorders>
              <w:top w:val="single" w:color="D1D5DB" w:sz="1"/>
              <w:left w:val="single" w:color="D1D5DB" w:sz="1"/>
              <w:bottom w:val="single" w:color="D1D5DB" w:sz="1"/>
              <w:right w:val="single" w:color="D1D5DB" w:sz="1"/>
            </w:tcBorders>
            <w:shd w:fill="EFF6FF" w:val="clear"/>
            <w:tcMar>
              <w:top w:type="dxa" w:w="80"/>
              <w:left w:type="dxa" w:w="120"/>
              <w:bottom w:type="dxa" w:w="80"/>
              <w:right w:type="dxa" w:w="120"/>
            </w:tcMar>
          </w:tcPr>
          <w:p>
            <w:r>
              <w:rPr>
                <w:rFonts w:ascii="Arial" w:cs="Arial" w:eastAsia="Arial" w:hAnsi="Arial"/>
                <w:b w:val="false"/>
                <w:bCs w:val="false"/>
                <w:color w:val="111827"/>
                <w:sz w:val="18"/>
                <w:szCs w:val="18"/>
              </w:rPr>
              <w:t xml:space="preserve">2,000 included — no overage</w:t>
            </w:r>
          </w:p>
        </w:tc>
        <w:tc>
          <w:tcPr>
            <w:tcW w:type="dxa" w:w="2960"/>
            <w:tcBorders>
              <w:top w:val="single" w:color="D1D5DB" w:sz="1"/>
              <w:left w:val="single" w:color="D1D5DB" w:sz="1"/>
              <w:bottom w:val="single" w:color="D1D5DB" w:sz="1"/>
              <w:right w:val="single" w:color="D1D5DB" w:sz="1"/>
            </w:tcBorders>
            <w:shd w:fill="EFF6FF" w:val="clear"/>
            <w:tcMar>
              <w:top w:type="dxa" w:w="80"/>
              <w:left w:type="dxa" w:w="120"/>
              <w:bottom w:type="dxa" w:w="80"/>
              <w:right w:type="dxa" w:w="120"/>
            </w:tcMar>
          </w:tcPr>
          <w:p>
            <w:r>
              <w:rPr>
                <w:rFonts w:ascii="Arial" w:cs="Arial" w:eastAsia="Arial" w:hAnsi="Arial"/>
                <w:b w:val="false"/>
                <w:bCs w:val="false"/>
                <w:color w:val="111827"/>
                <w:sz w:val="18"/>
                <w:szCs w:val="18"/>
              </w:rPr>
              <w:t xml:space="preserve">$0</w:t>
            </w:r>
          </w:p>
        </w:tc>
      </w:tr>
      <w:tr>
        <w:tc>
          <w:tcPr>
            <w:tcW w:type="dxa" w:w="3200"/>
            <w:tcBorders>
              <w:top w:val="single" w:color="D1D5DB" w:sz="1"/>
              <w:left w:val="single" w:color="D1D5DB" w:sz="1"/>
              <w:bottom w:val="single" w:color="D1D5DB" w:sz="1"/>
              <w:right w:val="single" w:color="D1D5DB" w:sz="1"/>
            </w:tcBorders>
            <w:tcMar>
              <w:top w:type="dxa" w:w="80"/>
              <w:left w:type="dxa" w:w="120"/>
              <w:bottom w:type="dxa" w:w="80"/>
              <w:right w:type="dxa" w:w="120"/>
            </w:tcMar>
          </w:tcPr>
          <w:p>
            <w:r>
              <w:rPr>
                <w:rFonts w:ascii="Arial" w:cs="Arial" w:eastAsia="Arial" w:hAnsi="Arial"/>
                <w:b w:val="false"/>
                <w:bCs w:val="false"/>
                <w:color w:val="111827"/>
                <w:sz w:val="18"/>
                <w:szCs w:val="18"/>
              </w:rPr>
              <w:t xml:space="preserve">Total monthly revenue</w:t>
            </w:r>
          </w:p>
        </w:tc>
        <w:tc>
          <w:tcPr>
            <w:tcW w:type="dxa" w:w="3200"/>
            <w:tcBorders>
              <w:top w:val="single" w:color="D1D5DB" w:sz="1"/>
              <w:left w:val="single" w:color="D1D5DB" w:sz="1"/>
              <w:bottom w:val="single" w:color="D1D5DB" w:sz="1"/>
              <w:right w:val="single" w:color="D1D5DB" w:sz="1"/>
            </w:tcBorders>
            <w:tcMar>
              <w:top w:type="dxa" w:w="80"/>
              <w:left w:type="dxa" w:w="120"/>
              <w:bottom w:type="dxa" w:w="80"/>
              <w:right w:type="dxa" w:w="120"/>
            </w:tcMar>
          </w:tcPr>
          <w:p>
            <w:r>
              <w:rPr>
                <w:rFonts w:ascii="Arial" w:cs="Arial" w:eastAsia="Arial" w:hAnsi="Arial"/>
                <w:b w:val="false"/>
                <w:bCs w:val="false"/>
                <w:color w:val="111827"/>
                <w:sz w:val="18"/>
                <w:szCs w:val="18"/>
              </w:rPr>
              <w:t xml:space="preserve"/>
            </w:r>
          </w:p>
        </w:tc>
        <w:tc>
          <w:tcPr>
            <w:tcW w:type="dxa" w:w="2960"/>
            <w:tcBorders>
              <w:top w:val="single" w:color="D1D5DB" w:sz="1"/>
              <w:left w:val="single" w:color="D1D5DB" w:sz="1"/>
              <w:bottom w:val="single" w:color="D1D5DB" w:sz="1"/>
              <w:right w:val="single" w:color="D1D5DB" w:sz="1"/>
            </w:tcBorders>
            <w:tcMar>
              <w:top w:type="dxa" w:w="80"/>
              <w:left w:type="dxa" w:w="120"/>
              <w:bottom w:type="dxa" w:w="80"/>
              <w:right w:type="dxa" w:w="120"/>
            </w:tcMar>
          </w:tcPr>
          <w:p>
            <w:r>
              <w:rPr>
                <w:rFonts w:ascii="Arial" w:cs="Arial" w:eastAsia="Arial" w:hAnsi="Arial"/>
                <w:b w:val="false"/>
                <w:bCs w:val="false"/>
                <w:color w:val="111827"/>
                <w:sz w:val="18"/>
                <w:szCs w:val="18"/>
              </w:rPr>
              <w:t xml:space="preserve">$2,600</w:t>
            </w:r>
          </w:p>
        </w:tc>
      </w:tr>
      <w:tr>
        <w:tc>
          <w:tcPr>
            <w:tcW w:type="dxa" w:w="3200"/>
            <w:tcBorders>
              <w:top w:val="single" w:color="D1D5DB" w:sz="1"/>
              <w:left w:val="single" w:color="D1D5DB" w:sz="1"/>
              <w:bottom w:val="single" w:color="D1D5DB" w:sz="1"/>
              <w:right w:val="single" w:color="D1D5DB" w:sz="1"/>
            </w:tcBorders>
            <w:shd w:fill="EFF6FF" w:val="clear"/>
            <w:tcMar>
              <w:top w:type="dxa" w:w="80"/>
              <w:left w:type="dxa" w:w="120"/>
              <w:bottom w:type="dxa" w:w="80"/>
              <w:right w:type="dxa" w:w="120"/>
            </w:tcMar>
          </w:tcPr>
          <w:p>
            <w:r>
              <w:rPr>
                <w:rFonts w:ascii="Arial" w:cs="Arial" w:eastAsia="Arial" w:hAnsi="Arial"/>
                <w:b w:val="false"/>
                <w:bCs w:val="false"/>
                <w:color w:val="111827"/>
                <w:sz w:val="18"/>
                <w:szCs w:val="18"/>
              </w:rPr>
              <w:t xml:space="preserve">Annualized</w:t>
            </w:r>
          </w:p>
        </w:tc>
        <w:tc>
          <w:tcPr>
            <w:tcW w:type="dxa" w:w="3200"/>
            <w:tcBorders>
              <w:top w:val="single" w:color="D1D5DB" w:sz="1"/>
              <w:left w:val="single" w:color="D1D5DB" w:sz="1"/>
              <w:bottom w:val="single" w:color="D1D5DB" w:sz="1"/>
              <w:right w:val="single" w:color="D1D5DB" w:sz="1"/>
            </w:tcBorders>
            <w:shd w:fill="EFF6FF" w:val="clear"/>
            <w:tcMar>
              <w:top w:type="dxa" w:w="80"/>
              <w:left w:type="dxa" w:w="120"/>
              <w:bottom w:type="dxa" w:w="80"/>
              <w:right w:type="dxa" w:w="120"/>
            </w:tcMar>
          </w:tcPr>
          <w:p>
            <w:r>
              <w:rPr>
                <w:rFonts w:ascii="Arial" w:cs="Arial" w:eastAsia="Arial" w:hAnsi="Arial"/>
                <w:b w:val="false"/>
                <w:bCs w:val="false"/>
                <w:color w:val="111827"/>
                <w:sz w:val="18"/>
                <w:szCs w:val="18"/>
              </w:rPr>
              <w:t xml:space="preserve"/>
            </w:r>
          </w:p>
        </w:tc>
        <w:tc>
          <w:tcPr>
            <w:tcW w:type="dxa" w:w="2960"/>
            <w:tcBorders>
              <w:top w:val="single" w:color="D1D5DB" w:sz="1"/>
              <w:left w:val="single" w:color="D1D5DB" w:sz="1"/>
              <w:bottom w:val="single" w:color="D1D5DB" w:sz="1"/>
              <w:right w:val="single" w:color="D1D5DB" w:sz="1"/>
            </w:tcBorders>
            <w:shd w:fill="EFF6FF" w:val="clear"/>
            <w:tcMar>
              <w:top w:type="dxa" w:w="80"/>
              <w:left w:type="dxa" w:w="120"/>
              <w:bottom w:type="dxa" w:w="80"/>
              <w:right w:type="dxa" w:w="120"/>
            </w:tcMar>
          </w:tcPr>
          <w:p>
            <w:r>
              <w:rPr>
                <w:rFonts w:ascii="Arial" w:cs="Arial" w:eastAsia="Arial" w:hAnsi="Arial"/>
                <w:b w:val="false"/>
                <w:bCs w:val="false"/>
                <w:color w:val="111827"/>
                <w:sz w:val="18"/>
                <w:szCs w:val="18"/>
              </w:rPr>
              <w:t xml:space="preserve">$31,200</w:t>
            </w:r>
          </w:p>
        </w:tc>
      </w:tr>
    </w:tbl>
    <w:p>
      <w:pPr>
        <w:spacing w:after="80"/>
      </w:pPr>
    </w:p>
    <w:p>
      <w:pPr>
        <w:pStyle w:val="Heading2"/>
      </w:pPr>
      <w:r>
        <w:t xml:space="preserve">8.2 Scenario B: Pro Customer (Mid-Market, Agent-Heavy)</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200"/>
        <w:gridCol w:w="3200"/>
        <w:gridCol w:w="2960"/>
      </w:tblGrid>
      <w:tr>
        <w:tc>
          <w:tcPr>
            <w:tcW w:type="dxa" w:w="3200"/>
            <w:tcBorders>
              <w:top w:val="single" w:color="D1D5DB" w:sz="1"/>
              <w:left w:val="single" w:color="D1D5DB" w:sz="1"/>
              <w:bottom w:val="single" w:color="D1D5DB" w:sz="1"/>
              <w:right w:val="single" w:color="D1D5DB" w:sz="1"/>
            </w:tcBorders>
            <w:shd w:fill="1E3A5F" w:val="clear"/>
            <w:tcMar>
              <w:top w:type="dxa" w:w="80"/>
              <w:left w:type="dxa" w:w="120"/>
              <w:bottom w:type="dxa" w:w="80"/>
              <w:right w:type="dxa" w:w="120"/>
            </w:tcMar>
          </w:tcPr>
          <w:p>
            <w:r>
              <w:rPr>
                <w:rFonts w:ascii="Arial" w:cs="Arial" w:eastAsia="Arial" w:hAnsi="Arial"/>
                <w:b/>
                <w:bCs/>
                <w:color w:val="FFFFFF"/>
                <w:sz w:val="17"/>
                <w:szCs w:val="17"/>
              </w:rPr>
              <w:t xml:space="preserve">Component</w:t>
            </w:r>
          </w:p>
        </w:tc>
        <w:tc>
          <w:tcPr>
            <w:tcW w:type="dxa" w:w="3200"/>
            <w:tcBorders>
              <w:top w:val="single" w:color="D1D5DB" w:sz="1"/>
              <w:left w:val="single" w:color="D1D5DB" w:sz="1"/>
              <w:bottom w:val="single" w:color="D1D5DB" w:sz="1"/>
              <w:right w:val="single" w:color="D1D5DB" w:sz="1"/>
            </w:tcBorders>
            <w:shd w:fill="1E3A5F" w:val="clear"/>
            <w:tcMar>
              <w:top w:type="dxa" w:w="80"/>
              <w:left w:type="dxa" w:w="120"/>
              <w:bottom w:type="dxa" w:w="80"/>
              <w:right w:type="dxa" w:w="120"/>
            </w:tcMar>
          </w:tcPr>
          <w:p>
            <w:r>
              <w:rPr>
                <w:rFonts w:ascii="Arial" w:cs="Arial" w:eastAsia="Arial" w:hAnsi="Arial"/>
                <w:b/>
                <w:bCs/>
                <w:color w:val="FFFFFF"/>
                <w:sz w:val="17"/>
                <w:szCs w:val="17"/>
              </w:rPr>
              <w:t xml:space="preserve">Usage</w:t>
            </w:r>
          </w:p>
        </w:tc>
        <w:tc>
          <w:tcPr>
            <w:tcW w:type="dxa" w:w="2960"/>
            <w:tcBorders>
              <w:top w:val="single" w:color="D1D5DB" w:sz="1"/>
              <w:left w:val="single" w:color="D1D5DB" w:sz="1"/>
              <w:bottom w:val="single" w:color="D1D5DB" w:sz="1"/>
              <w:right w:val="single" w:color="D1D5DB" w:sz="1"/>
            </w:tcBorders>
            <w:shd w:fill="1E3A5F" w:val="clear"/>
            <w:tcMar>
              <w:top w:type="dxa" w:w="80"/>
              <w:left w:type="dxa" w:w="120"/>
              <w:bottom w:type="dxa" w:w="80"/>
              <w:right w:type="dxa" w:w="120"/>
            </w:tcMar>
          </w:tcPr>
          <w:p>
            <w:r>
              <w:rPr>
                <w:rFonts w:ascii="Arial" w:cs="Arial" w:eastAsia="Arial" w:hAnsi="Arial"/>
                <w:b/>
                <w:bCs/>
                <w:color w:val="FFFFFF"/>
                <w:sz w:val="17"/>
                <w:szCs w:val="17"/>
              </w:rPr>
              <w:t xml:space="preserve">Monthly Revenue</w:t>
            </w:r>
          </w:p>
        </w:tc>
      </w:tr>
      <w:tr>
        <w:tc>
          <w:tcPr>
            <w:tcW w:type="dxa" w:w="3200"/>
            <w:tcBorders>
              <w:top w:val="single" w:color="D1D5DB" w:sz="1"/>
              <w:left w:val="single" w:color="D1D5DB" w:sz="1"/>
              <w:bottom w:val="single" w:color="D1D5DB" w:sz="1"/>
              <w:right w:val="single" w:color="D1D5DB" w:sz="1"/>
            </w:tcBorders>
            <w:shd w:fill="EFF6FF" w:val="clear"/>
            <w:tcMar>
              <w:top w:type="dxa" w:w="80"/>
              <w:left w:type="dxa" w:w="120"/>
              <w:bottom w:type="dxa" w:w="80"/>
              <w:right w:type="dxa" w:w="120"/>
            </w:tcMar>
          </w:tcPr>
          <w:p>
            <w:r>
              <w:rPr>
                <w:rFonts w:ascii="Arial" w:cs="Arial" w:eastAsia="Arial" w:hAnsi="Arial"/>
                <w:b w:val="false"/>
                <w:bCs w:val="false"/>
                <w:color w:val="111827"/>
                <w:sz w:val="18"/>
                <w:szCs w:val="18"/>
              </w:rPr>
              <w:t xml:space="preserve">Subscription (Pro)</w:t>
            </w:r>
          </w:p>
        </w:tc>
        <w:tc>
          <w:tcPr>
            <w:tcW w:type="dxa" w:w="3200"/>
            <w:tcBorders>
              <w:top w:val="single" w:color="D1D5DB" w:sz="1"/>
              <w:left w:val="single" w:color="D1D5DB" w:sz="1"/>
              <w:bottom w:val="single" w:color="D1D5DB" w:sz="1"/>
              <w:right w:val="single" w:color="D1D5DB" w:sz="1"/>
            </w:tcBorders>
            <w:shd w:fill="EFF6FF" w:val="clear"/>
            <w:tcMar>
              <w:top w:type="dxa" w:w="80"/>
              <w:left w:type="dxa" w:w="120"/>
              <w:bottom w:type="dxa" w:w="80"/>
              <w:right w:type="dxa" w:w="120"/>
            </w:tcMar>
          </w:tcPr>
          <w:p>
            <w:r>
              <w:rPr>
                <w:rFonts w:ascii="Arial" w:cs="Arial" w:eastAsia="Arial" w:hAnsi="Arial"/>
                <w:b w:val="false"/>
                <w:bCs w:val="false"/>
                <w:color w:val="111827"/>
                <w:sz w:val="18"/>
                <w:szCs w:val="18"/>
              </w:rPr>
              <w:t xml:space="preserve">Base plan</w:t>
            </w:r>
          </w:p>
        </w:tc>
        <w:tc>
          <w:tcPr>
            <w:tcW w:type="dxa" w:w="2960"/>
            <w:tcBorders>
              <w:top w:val="single" w:color="D1D5DB" w:sz="1"/>
              <w:left w:val="single" w:color="D1D5DB" w:sz="1"/>
              <w:bottom w:val="single" w:color="D1D5DB" w:sz="1"/>
              <w:right w:val="single" w:color="D1D5DB" w:sz="1"/>
            </w:tcBorders>
            <w:shd w:fill="EFF6FF" w:val="clear"/>
            <w:tcMar>
              <w:top w:type="dxa" w:w="80"/>
              <w:left w:type="dxa" w:w="120"/>
              <w:bottom w:type="dxa" w:w="80"/>
              <w:right w:type="dxa" w:w="120"/>
            </w:tcMar>
          </w:tcPr>
          <w:p>
            <w:r>
              <w:rPr>
                <w:rFonts w:ascii="Arial" w:cs="Arial" w:eastAsia="Arial" w:hAnsi="Arial"/>
                <w:b w:val="false"/>
                <w:bCs w:val="false"/>
                <w:color w:val="111827"/>
                <w:sz w:val="18"/>
                <w:szCs w:val="18"/>
              </w:rPr>
              <w:t xml:space="preserve">$5,000</w:t>
            </w:r>
          </w:p>
        </w:tc>
      </w:tr>
      <w:tr>
        <w:tc>
          <w:tcPr>
            <w:tcW w:type="dxa" w:w="3200"/>
            <w:tcBorders>
              <w:top w:val="single" w:color="D1D5DB" w:sz="1"/>
              <w:left w:val="single" w:color="D1D5DB" w:sz="1"/>
              <w:bottom w:val="single" w:color="D1D5DB" w:sz="1"/>
              <w:right w:val="single" w:color="D1D5DB" w:sz="1"/>
            </w:tcBorders>
            <w:tcMar>
              <w:top w:type="dxa" w:w="80"/>
              <w:left w:type="dxa" w:w="120"/>
              <w:bottom w:type="dxa" w:w="80"/>
              <w:right w:type="dxa" w:w="120"/>
            </w:tcMar>
          </w:tcPr>
          <w:p>
            <w:r>
              <w:rPr>
                <w:rFonts w:ascii="Arial" w:cs="Arial" w:eastAsia="Arial" w:hAnsi="Arial"/>
                <w:b w:val="false"/>
                <w:bCs w:val="false"/>
                <w:color w:val="111827"/>
                <w:sz w:val="18"/>
                <w:szCs w:val="18"/>
              </w:rPr>
              <w:t xml:space="preserve">FCU: 3.5M rows processed</w:t>
            </w:r>
          </w:p>
        </w:tc>
        <w:tc>
          <w:tcPr>
            <w:tcW w:type="dxa" w:w="3200"/>
            <w:tcBorders>
              <w:top w:val="single" w:color="D1D5DB" w:sz="1"/>
              <w:left w:val="single" w:color="D1D5DB" w:sz="1"/>
              <w:bottom w:val="single" w:color="D1D5DB" w:sz="1"/>
              <w:right w:val="single" w:color="D1D5DB" w:sz="1"/>
            </w:tcBorders>
            <w:tcMar>
              <w:top w:type="dxa" w:w="80"/>
              <w:left w:type="dxa" w:w="120"/>
              <w:bottom w:type="dxa" w:w="80"/>
              <w:right w:type="dxa" w:w="120"/>
            </w:tcMar>
          </w:tcPr>
          <w:p>
            <w:r>
              <w:rPr>
                <w:rFonts w:ascii="Arial" w:cs="Arial" w:eastAsia="Arial" w:hAnsi="Arial"/>
                <w:b w:val="false"/>
                <w:bCs w:val="false"/>
                <w:color w:val="111827"/>
                <w:sz w:val="18"/>
                <w:szCs w:val="18"/>
              </w:rPr>
              <w:t xml:space="preserve">2M included + 1M at $2.00/1K + 500K at $1.50/1K</w:t>
            </w:r>
          </w:p>
        </w:tc>
        <w:tc>
          <w:tcPr>
            <w:tcW w:type="dxa" w:w="2960"/>
            <w:tcBorders>
              <w:top w:val="single" w:color="D1D5DB" w:sz="1"/>
              <w:left w:val="single" w:color="D1D5DB" w:sz="1"/>
              <w:bottom w:val="single" w:color="D1D5DB" w:sz="1"/>
              <w:right w:val="single" w:color="D1D5DB" w:sz="1"/>
            </w:tcBorders>
            <w:tcMar>
              <w:top w:type="dxa" w:w="80"/>
              <w:left w:type="dxa" w:w="120"/>
              <w:bottom w:type="dxa" w:w="80"/>
              <w:right w:type="dxa" w:w="120"/>
            </w:tcMar>
          </w:tcPr>
          <w:p>
            <w:r>
              <w:rPr>
                <w:rFonts w:ascii="Arial" w:cs="Arial" w:eastAsia="Arial" w:hAnsi="Arial"/>
                <w:b w:val="false"/>
                <w:bCs w:val="false"/>
                <w:color w:val="111827"/>
                <w:sz w:val="18"/>
                <w:szCs w:val="18"/>
              </w:rPr>
              <w:t xml:space="preserve">$2,750</w:t>
            </w:r>
          </w:p>
        </w:tc>
      </w:tr>
      <w:tr>
        <w:tc>
          <w:tcPr>
            <w:tcW w:type="dxa" w:w="3200"/>
            <w:tcBorders>
              <w:top w:val="single" w:color="D1D5DB" w:sz="1"/>
              <w:left w:val="single" w:color="D1D5DB" w:sz="1"/>
              <w:bottom w:val="single" w:color="D1D5DB" w:sz="1"/>
              <w:right w:val="single" w:color="D1D5DB" w:sz="1"/>
            </w:tcBorders>
            <w:shd w:fill="EFF6FF" w:val="clear"/>
            <w:tcMar>
              <w:top w:type="dxa" w:w="80"/>
              <w:left w:type="dxa" w:w="120"/>
              <w:bottom w:type="dxa" w:w="80"/>
              <w:right w:type="dxa" w:w="120"/>
            </w:tcMar>
          </w:tcPr>
          <w:p>
            <w:r>
              <w:rPr>
                <w:rFonts w:ascii="Arial" w:cs="Arial" w:eastAsia="Arial" w:hAnsi="Arial"/>
                <w:b w:val="false"/>
                <w:bCs w:val="false"/>
                <w:color w:val="111827"/>
                <w:sz w:val="18"/>
                <w:szCs w:val="18"/>
              </w:rPr>
              <w:t xml:space="preserve">FIQ: 35K queries</w:t>
            </w:r>
          </w:p>
        </w:tc>
        <w:tc>
          <w:tcPr>
            <w:tcW w:type="dxa" w:w="3200"/>
            <w:tcBorders>
              <w:top w:val="single" w:color="D1D5DB" w:sz="1"/>
              <w:left w:val="single" w:color="D1D5DB" w:sz="1"/>
              <w:bottom w:val="single" w:color="D1D5DB" w:sz="1"/>
              <w:right w:val="single" w:color="D1D5DB" w:sz="1"/>
            </w:tcBorders>
            <w:shd w:fill="EFF6FF" w:val="clear"/>
            <w:tcMar>
              <w:top w:type="dxa" w:w="80"/>
              <w:left w:type="dxa" w:w="120"/>
              <w:bottom w:type="dxa" w:w="80"/>
              <w:right w:type="dxa" w:w="120"/>
            </w:tcMar>
          </w:tcPr>
          <w:p>
            <w:r>
              <w:rPr>
                <w:rFonts w:ascii="Arial" w:cs="Arial" w:eastAsia="Arial" w:hAnsi="Arial"/>
                <w:b w:val="false"/>
                <w:bCs w:val="false"/>
                <w:color w:val="111827"/>
                <w:sz w:val="18"/>
                <w:szCs w:val="18"/>
              </w:rPr>
              <w:t xml:space="preserve">10K included + 20K at $40/1K + 5K at $30/1K</w:t>
            </w:r>
          </w:p>
        </w:tc>
        <w:tc>
          <w:tcPr>
            <w:tcW w:type="dxa" w:w="2960"/>
            <w:tcBorders>
              <w:top w:val="single" w:color="D1D5DB" w:sz="1"/>
              <w:left w:val="single" w:color="D1D5DB" w:sz="1"/>
              <w:bottom w:val="single" w:color="D1D5DB" w:sz="1"/>
              <w:right w:val="single" w:color="D1D5DB" w:sz="1"/>
            </w:tcBorders>
            <w:shd w:fill="EFF6FF" w:val="clear"/>
            <w:tcMar>
              <w:top w:type="dxa" w:w="80"/>
              <w:left w:type="dxa" w:w="120"/>
              <w:bottom w:type="dxa" w:w="80"/>
              <w:right w:type="dxa" w:w="120"/>
            </w:tcMar>
          </w:tcPr>
          <w:p>
            <w:r>
              <w:rPr>
                <w:rFonts w:ascii="Arial" w:cs="Arial" w:eastAsia="Arial" w:hAnsi="Arial"/>
                <w:b w:val="false"/>
                <w:bCs w:val="false"/>
                <w:color w:val="111827"/>
                <w:sz w:val="18"/>
                <w:szCs w:val="18"/>
              </w:rPr>
              <w:t xml:space="preserve">$950</w:t>
            </w:r>
          </w:p>
        </w:tc>
      </w:tr>
      <w:tr>
        <w:tc>
          <w:tcPr>
            <w:tcW w:type="dxa" w:w="3200"/>
            <w:tcBorders>
              <w:top w:val="single" w:color="D1D5DB" w:sz="1"/>
              <w:left w:val="single" w:color="D1D5DB" w:sz="1"/>
              <w:bottom w:val="single" w:color="D1D5DB" w:sz="1"/>
              <w:right w:val="single" w:color="D1D5DB" w:sz="1"/>
            </w:tcBorders>
            <w:tcMar>
              <w:top w:type="dxa" w:w="80"/>
              <w:left w:type="dxa" w:w="120"/>
              <w:bottom w:type="dxa" w:w="80"/>
              <w:right w:type="dxa" w:w="120"/>
            </w:tcMar>
          </w:tcPr>
          <w:p>
            <w:r>
              <w:rPr>
                <w:rFonts w:ascii="Arial" w:cs="Arial" w:eastAsia="Arial" w:hAnsi="Arial"/>
                <w:b w:val="false"/>
                <w:bCs w:val="false"/>
                <w:color w:val="111827"/>
                <w:sz w:val="18"/>
                <w:szCs w:val="18"/>
              </w:rPr>
              <w:t xml:space="preserve">Total monthly revenue</w:t>
            </w:r>
          </w:p>
        </w:tc>
        <w:tc>
          <w:tcPr>
            <w:tcW w:type="dxa" w:w="3200"/>
            <w:tcBorders>
              <w:top w:val="single" w:color="D1D5DB" w:sz="1"/>
              <w:left w:val="single" w:color="D1D5DB" w:sz="1"/>
              <w:bottom w:val="single" w:color="D1D5DB" w:sz="1"/>
              <w:right w:val="single" w:color="D1D5DB" w:sz="1"/>
            </w:tcBorders>
            <w:tcMar>
              <w:top w:type="dxa" w:w="80"/>
              <w:left w:type="dxa" w:w="120"/>
              <w:bottom w:type="dxa" w:w="80"/>
              <w:right w:type="dxa" w:w="120"/>
            </w:tcMar>
          </w:tcPr>
          <w:p>
            <w:r>
              <w:rPr>
                <w:rFonts w:ascii="Arial" w:cs="Arial" w:eastAsia="Arial" w:hAnsi="Arial"/>
                <w:b w:val="false"/>
                <w:bCs w:val="false"/>
                <w:color w:val="111827"/>
                <w:sz w:val="18"/>
                <w:szCs w:val="18"/>
              </w:rPr>
              <w:t xml:space="preserve"/>
            </w:r>
          </w:p>
        </w:tc>
        <w:tc>
          <w:tcPr>
            <w:tcW w:type="dxa" w:w="2960"/>
            <w:tcBorders>
              <w:top w:val="single" w:color="D1D5DB" w:sz="1"/>
              <w:left w:val="single" w:color="D1D5DB" w:sz="1"/>
              <w:bottom w:val="single" w:color="D1D5DB" w:sz="1"/>
              <w:right w:val="single" w:color="D1D5DB" w:sz="1"/>
            </w:tcBorders>
            <w:tcMar>
              <w:top w:type="dxa" w:w="80"/>
              <w:left w:type="dxa" w:w="120"/>
              <w:bottom w:type="dxa" w:w="80"/>
              <w:right w:type="dxa" w:w="120"/>
            </w:tcMar>
          </w:tcPr>
          <w:p>
            <w:r>
              <w:rPr>
                <w:rFonts w:ascii="Arial" w:cs="Arial" w:eastAsia="Arial" w:hAnsi="Arial"/>
                <w:b w:val="false"/>
                <w:bCs w:val="false"/>
                <w:color w:val="111827"/>
                <w:sz w:val="18"/>
                <w:szCs w:val="18"/>
              </w:rPr>
              <w:t xml:space="preserve">$8,700</w:t>
            </w:r>
          </w:p>
        </w:tc>
      </w:tr>
      <w:tr>
        <w:tc>
          <w:tcPr>
            <w:tcW w:type="dxa" w:w="3200"/>
            <w:tcBorders>
              <w:top w:val="single" w:color="D1D5DB" w:sz="1"/>
              <w:left w:val="single" w:color="D1D5DB" w:sz="1"/>
              <w:bottom w:val="single" w:color="D1D5DB" w:sz="1"/>
              <w:right w:val="single" w:color="D1D5DB" w:sz="1"/>
            </w:tcBorders>
            <w:shd w:fill="EFF6FF" w:val="clear"/>
            <w:tcMar>
              <w:top w:type="dxa" w:w="80"/>
              <w:left w:type="dxa" w:w="120"/>
              <w:bottom w:type="dxa" w:w="80"/>
              <w:right w:type="dxa" w:w="120"/>
            </w:tcMar>
          </w:tcPr>
          <w:p>
            <w:r>
              <w:rPr>
                <w:rFonts w:ascii="Arial" w:cs="Arial" w:eastAsia="Arial" w:hAnsi="Arial"/>
                <w:b w:val="false"/>
                <w:bCs w:val="false"/>
                <w:color w:val="111827"/>
                <w:sz w:val="18"/>
                <w:szCs w:val="18"/>
              </w:rPr>
              <w:t xml:space="preserve">Annualized</w:t>
            </w:r>
          </w:p>
        </w:tc>
        <w:tc>
          <w:tcPr>
            <w:tcW w:type="dxa" w:w="3200"/>
            <w:tcBorders>
              <w:top w:val="single" w:color="D1D5DB" w:sz="1"/>
              <w:left w:val="single" w:color="D1D5DB" w:sz="1"/>
              <w:bottom w:val="single" w:color="D1D5DB" w:sz="1"/>
              <w:right w:val="single" w:color="D1D5DB" w:sz="1"/>
            </w:tcBorders>
            <w:shd w:fill="EFF6FF" w:val="clear"/>
            <w:tcMar>
              <w:top w:type="dxa" w:w="80"/>
              <w:left w:type="dxa" w:w="120"/>
              <w:bottom w:type="dxa" w:w="80"/>
              <w:right w:type="dxa" w:w="120"/>
            </w:tcMar>
          </w:tcPr>
          <w:p>
            <w:r>
              <w:rPr>
                <w:rFonts w:ascii="Arial" w:cs="Arial" w:eastAsia="Arial" w:hAnsi="Arial"/>
                <w:b w:val="false"/>
                <w:bCs w:val="false"/>
                <w:color w:val="111827"/>
                <w:sz w:val="18"/>
                <w:szCs w:val="18"/>
              </w:rPr>
              <w:t xml:space="preserve"/>
            </w:r>
          </w:p>
        </w:tc>
        <w:tc>
          <w:tcPr>
            <w:tcW w:type="dxa" w:w="2960"/>
            <w:tcBorders>
              <w:top w:val="single" w:color="D1D5DB" w:sz="1"/>
              <w:left w:val="single" w:color="D1D5DB" w:sz="1"/>
              <w:bottom w:val="single" w:color="D1D5DB" w:sz="1"/>
              <w:right w:val="single" w:color="D1D5DB" w:sz="1"/>
            </w:tcBorders>
            <w:shd w:fill="EFF6FF" w:val="clear"/>
            <w:tcMar>
              <w:top w:type="dxa" w:w="80"/>
              <w:left w:type="dxa" w:w="120"/>
              <w:bottom w:type="dxa" w:w="80"/>
              <w:right w:type="dxa" w:w="120"/>
            </w:tcMar>
          </w:tcPr>
          <w:p>
            <w:r>
              <w:rPr>
                <w:rFonts w:ascii="Arial" w:cs="Arial" w:eastAsia="Arial" w:hAnsi="Arial"/>
                <w:b w:val="false"/>
                <w:bCs w:val="false"/>
                <w:color w:val="111827"/>
                <w:sz w:val="18"/>
                <w:szCs w:val="18"/>
              </w:rPr>
              <w:t xml:space="preserve">$104,400</w:t>
            </w:r>
          </w:p>
        </w:tc>
      </w:tr>
    </w:tbl>
    <w:p>
      <w:pPr>
        <w:spacing w:after="80"/>
      </w:pPr>
    </w:p>
    <w:p>
      <w:pPr>
        <w:pStyle w:val="Heading2"/>
      </w:pPr>
      <w:r>
        <w:t xml:space="preserve">8.3 Scenario C: Enterprise Customer (Multi-Entity, High Agent Adoption)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200"/>
        <w:gridCol w:w="3200"/>
        <w:gridCol w:w="2960"/>
      </w:tblGrid>
      <w:tr>
        <w:tc>
          <w:tcPr>
            <w:tcW w:type="dxa" w:w="3200"/>
            <w:tcBorders>
              <w:top w:val="single" w:color="D1D5DB" w:sz="1"/>
              <w:left w:val="single" w:color="D1D5DB" w:sz="1"/>
              <w:bottom w:val="single" w:color="D1D5DB" w:sz="1"/>
              <w:right w:val="single" w:color="D1D5DB" w:sz="1"/>
            </w:tcBorders>
            <w:shd w:fill="1E3A5F" w:val="clear"/>
            <w:tcMar>
              <w:top w:type="dxa" w:w="80"/>
              <w:left w:type="dxa" w:w="120"/>
              <w:bottom w:type="dxa" w:w="80"/>
              <w:right w:type="dxa" w:w="120"/>
            </w:tcMar>
          </w:tcPr>
          <w:p>
            <w:r>
              <w:rPr>
                <w:rFonts w:ascii="Arial" w:cs="Arial" w:eastAsia="Arial" w:hAnsi="Arial"/>
                <w:b/>
                <w:bCs/>
                <w:color w:val="FFFFFF"/>
                <w:sz w:val="17"/>
                <w:szCs w:val="17"/>
              </w:rPr>
              <w:t xml:space="preserve">Component</w:t>
            </w:r>
          </w:p>
        </w:tc>
        <w:tc>
          <w:tcPr>
            <w:tcW w:type="dxa" w:w="3200"/>
            <w:tcBorders>
              <w:top w:val="single" w:color="D1D5DB" w:sz="1"/>
              <w:left w:val="single" w:color="D1D5DB" w:sz="1"/>
              <w:bottom w:val="single" w:color="D1D5DB" w:sz="1"/>
              <w:right w:val="single" w:color="D1D5DB" w:sz="1"/>
            </w:tcBorders>
            <w:shd w:fill="1E3A5F" w:val="clear"/>
            <w:tcMar>
              <w:top w:type="dxa" w:w="80"/>
              <w:left w:type="dxa" w:w="120"/>
              <w:bottom w:type="dxa" w:w="80"/>
              <w:right w:type="dxa" w:w="120"/>
            </w:tcMar>
          </w:tcPr>
          <w:p>
            <w:r>
              <w:rPr>
                <w:rFonts w:ascii="Arial" w:cs="Arial" w:eastAsia="Arial" w:hAnsi="Arial"/>
                <w:b/>
                <w:bCs/>
                <w:color w:val="FFFFFF"/>
                <w:sz w:val="17"/>
                <w:szCs w:val="17"/>
              </w:rPr>
              <w:t xml:space="preserve">Usage</w:t>
            </w:r>
          </w:p>
        </w:tc>
        <w:tc>
          <w:tcPr>
            <w:tcW w:type="dxa" w:w="2960"/>
            <w:tcBorders>
              <w:top w:val="single" w:color="D1D5DB" w:sz="1"/>
              <w:left w:val="single" w:color="D1D5DB" w:sz="1"/>
              <w:bottom w:val="single" w:color="D1D5DB" w:sz="1"/>
              <w:right w:val="single" w:color="D1D5DB" w:sz="1"/>
            </w:tcBorders>
            <w:shd w:fill="1E3A5F" w:val="clear"/>
            <w:tcMar>
              <w:top w:type="dxa" w:w="80"/>
              <w:left w:type="dxa" w:w="120"/>
              <w:bottom w:type="dxa" w:w="80"/>
              <w:right w:type="dxa" w:w="120"/>
            </w:tcMar>
          </w:tcPr>
          <w:p>
            <w:r>
              <w:rPr>
                <w:rFonts w:ascii="Arial" w:cs="Arial" w:eastAsia="Arial" w:hAnsi="Arial"/>
                <w:b/>
                <w:bCs/>
                <w:color w:val="FFFFFF"/>
                <w:sz w:val="17"/>
                <w:szCs w:val="17"/>
              </w:rPr>
              <w:t xml:space="preserve">Monthly Revenue</w:t>
            </w:r>
          </w:p>
        </w:tc>
      </w:tr>
      <w:tr>
        <w:tc>
          <w:tcPr>
            <w:tcW w:type="dxa" w:w="3200"/>
            <w:tcBorders>
              <w:top w:val="single" w:color="D1D5DB" w:sz="1"/>
              <w:left w:val="single" w:color="D1D5DB" w:sz="1"/>
              <w:bottom w:val="single" w:color="D1D5DB" w:sz="1"/>
              <w:right w:val="single" w:color="D1D5DB" w:sz="1"/>
            </w:tcBorders>
            <w:shd w:fill="EFF6FF" w:val="clear"/>
            <w:tcMar>
              <w:top w:type="dxa" w:w="80"/>
              <w:left w:type="dxa" w:w="120"/>
              <w:bottom w:type="dxa" w:w="80"/>
              <w:right w:type="dxa" w:w="120"/>
            </w:tcMar>
          </w:tcPr>
          <w:p>
            <w:r>
              <w:rPr>
                <w:rFonts w:ascii="Arial" w:cs="Arial" w:eastAsia="Arial" w:hAnsi="Arial"/>
                <w:b w:val="false"/>
                <w:bCs w:val="false"/>
                <w:color w:val="111827"/>
                <w:sz w:val="18"/>
                <w:szCs w:val="18"/>
              </w:rPr>
              <w:t xml:space="preserve">Subscription (Enterprise)</w:t>
            </w:r>
          </w:p>
        </w:tc>
        <w:tc>
          <w:tcPr>
            <w:tcW w:type="dxa" w:w="3200"/>
            <w:tcBorders>
              <w:top w:val="single" w:color="D1D5DB" w:sz="1"/>
              <w:left w:val="single" w:color="D1D5DB" w:sz="1"/>
              <w:bottom w:val="single" w:color="D1D5DB" w:sz="1"/>
              <w:right w:val="single" w:color="D1D5DB" w:sz="1"/>
            </w:tcBorders>
            <w:shd w:fill="EFF6FF" w:val="clear"/>
            <w:tcMar>
              <w:top w:type="dxa" w:w="80"/>
              <w:left w:type="dxa" w:w="120"/>
              <w:bottom w:type="dxa" w:w="80"/>
              <w:right w:type="dxa" w:w="120"/>
            </w:tcMar>
          </w:tcPr>
          <w:p>
            <w:r>
              <w:rPr>
                <w:rFonts w:ascii="Arial" w:cs="Arial" w:eastAsia="Arial" w:hAnsi="Arial"/>
                <w:b w:val="false"/>
                <w:bCs w:val="false"/>
                <w:color w:val="111827"/>
                <w:sz w:val="18"/>
                <w:szCs w:val="18"/>
              </w:rPr>
              <w:t xml:space="preserve">Custom plan</w:t>
            </w:r>
          </w:p>
        </w:tc>
        <w:tc>
          <w:tcPr>
            <w:tcW w:type="dxa" w:w="2960"/>
            <w:tcBorders>
              <w:top w:val="single" w:color="D1D5DB" w:sz="1"/>
              <w:left w:val="single" w:color="D1D5DB" w:sz="1"/>
              <w:bottom w:val="single" w:color="D1D5DB" w:sz="1"/>
              <w:right w:val="single" w:color="D1D5DB" w:sz="1"/>
            </w:tcBorders>
            <w:shd w:fill="EFF6FF" w:val="clear"/>
            <w:tcMar>
              <w:top w:type="dxa" w:w="80"/>
              <w:left w:type="dxa" w:w="120"/>
              <w:bottom w:type="dxa" w:w="80"/>
              <w:right w:type="dxa" w:w="120"/>
            </w:tcMar>
          </w:tcPr>
          <w:p>
            <w:r>
              <w:rPr>
                <w:rFonts w:ascii="Arial" w:cs="Arial" w:eastAsia="Arial" w:hAnsi="Arial"/>
                <w:b w:val="false"/>
                <w:bCs w:val="false"/>
                <w:color w:val="111827"/>
                <w:sz w:val="18"/>
                <w:szCs w:val="18"/>
              </w:rPr>
              <w:t xml:space="preserve">$15,000</w:t>
            </w:r>
          </w:p>
        </w:tc>
      </w:tr>
      <w:tr>
        <w:tc>
          <w:tcPr>
            <w:tcW w:type="dxa" w:w="3200"/>
            <w:tcBorders>
              <w:top w:val="single" w:color="D1D5DB" w:sz="1"/>
              <w:left w:val="single" w:color="D1D5DB" w:sz="1"/>
              <w:bottom w:val="single" w:color="D1D5DB" w:sz="1"/>
              <w:right w:val="single" w:color="D1D5DB" w:sz="1"/>
            </w:tcBorders>
            <w:tcMar>
              <w:top w:type="dxa" w:w="80"/>
              <w:left w:type="dxa" w:w="120"/>
              <w:bottom w:type="dxa" w:w="80"/>
              <w:right w:type="dxa" w:w="120"/>
            </w:tcMar>
          </w:tcPr>
          <w:p>
            <w:r>
              <w:rPr>
                <w:rFonts w:ascii="Arial" w:cs="Arial" w:eastAsia="Arial" w:hAnsi="Arial"/>
                <w:b w:val="false"/>
                <w:bCs w:val="false"/>
                <w:color w:val="111827"/>
                <w:sz w:val="18"/>
                <w:szCs w:val="18"/>
              </w:rPr>
              <w:t xml:space="preserve">FCU: 12M rows processed</w:t>
            </w:r>
          </w:p>
        </w:tc>
        <w:tc>
          <w:tcPr>
            <w:tcW w:type="dxa" w:w="3200"/>
            <w:tcBorders>
              <w:top w:val="single" w:color="D1D5DB" w:sz="1"/>
              <w:left w:val="single" w:color="D1D5DB" w:sz="1"/>
              <w:bottom w:val="single" w:color="D1D5DB" w:sz="1"/>
              <w:right w:val="single" w:color="D1D5DB" w:sz="1"/>
            </w:tcBorders>
            <w:tcMar>
              <w:top w:type="dxa" w:w="80"/>
              <w:left w:type="dxa" w:w="120"/>
              <w:bottom w:type="dxa" w:w="80"/>
              <w:right w:type="dxa" w:w="120"/>
            </w:tcMar>
          </w:tcPr>
          <w:p>
            <w:r>
              <w:rPr>
                <w:rFonts w:ascii="Arial" w:cs="Arial" w:eastAsia="Arial" w:hAnsi="Arial"/>
                <w:b w:val="false"/>
                <w:bCs w:val="false"/>
                <w:color w:val="111827"/>
                <w:sz w:val="18"/>
                <w:szCs w:val="18"/>
              </w:rPr>
              <w:t xml:space="preserve">10M included + 2M overage at custom rate ($1.25/1K)</w:t>
            </w:r>
          </w:p>
        </w:tc>
        <w:tc>
          <w:tcPr>
            <w:tcW w:type="dxa" w:w="2960"/>
            <w:tcBorders>
              <w:top w:val="single" w:color="D1D5DB" w:sz="1"/>
              <w:left w:val="single" w:color="D1D5DB" w:sz="1"/>
              <w:bottom w:val="single" w:color="D1D5DB" w:sz="1"/>
              <w:right w:val="single" w:color="D1D5DB" w:sz="1"/>
            </w:tcBorders>
            <w:tcMar>
              <w:top w:type="dxa" w:w="80"/>
              <w:left w:type="dxa" w:w="120"/>
              <w:bottom w:type="dxa" w:w="80"/>
              <w:right w:type="dxa" w:w="120"/>
            </w:tcMar>
          </w:tcPr>
          <w:p>
            <w:r>
              <w:rPr>
                <w:rFonts w:ascii="Arial" w:cs="Arial" w:eastAsia="Arial" w:hAnsi="Arial"/>
                <w:b w:val="false"/>
                <w:bCs w:val="false"/>
                <w:color w:val="111827"/>
                <w:sz w:val="18"/>
                <w:szCs w:val="18"/>
              </w:rPr>
              <w:t xml:space="preserve">$2,500</w:t>
            </w:r>
          </w:p>
        </w:tc>
      </w:tr>
      <w:tr>
        <w:tc>
          <w:tcPr>
            <w:tcW w:type="dxa" w:w="3200"/>
            <w:tcBorders>
              <w:top w:val="single" w:color="D1D5DB" w:sz="1"/>
              <w:left w:val="single" w:color="D1D5DB" w:sz="1"/>
              <w:bottom w:val="single" w:color="D1D5DB" w:sz="1"/>
              <w:right w:val="single" w:color="D1D5DB" w:sz="1"/>
            </w:tcBorders>
            <w:shd w:fill="EFF6FF" w:val="clear"/>
            <w:tcMar>
              <w:top w:type="dxa" w:w="80"/>
              <w:left w:type="dxa" w:w="120"/>
              <w:bottom w:type="dxa" w:w="80"/>
              <w:right w:type="dxa" w:w="120"/>
            </w:tcMar>
          </w:tcPr>
          <w:p>
            <w:r>
              <w:rPr>
                <w:rFonts w:ascii="Arial" w:cs="Arial" w:eastAsia="Arial" w:hAnsi="Arial"/>
                <w:b w:val="false"/>
                <w:bCs w:val="false"/>
                <w:color w:val="111827"/>
                <w:sz w:val="18"/>
                <w:szCs w:val="18"/>
              </w:rPr>
              <w:t xml:space="preserve">FIQ: 180K queries</w:t>
            </w:r>
          </w:p>
        </w:tc>
        <w:tc>
          <w:tcPr>
            <w:tcW w:type="dxa" w:w="3200"/>
            <w:tcBorders>
              <w:top w:val="single" w:color="D1D5DB" w:sz="1"/>
              <w:left w:val="single" w:color="D1D5DB" w:sz="1"/>
              <w:bottom w:val="single" w:color="D1D5DB" w:sz="1"/>
              <w:right w:val="single" w:color="D1D5DB" w:sz="1"/>
            </w:tcBorders>
            <w:shd w:fill="EFF6FF" w:val="clear"/>
            <w:tcMar>
              <w:top w:type="dxa" w:w="80"/>
              <w:left w:type="dxa" w:w="120"/>
              <w:bottom w:type="dxa" w:w="80"/>
              <w:right w:type="dxa" w:w="120"/>
            </w:tcMar>
          </w:tcPr>
          <w:p>
            <w:r>
              <w:rPr>
                <w:rFonts w:ascii="Arial" w:cs="Arial" w:eastAsia="Arial" w:hAnsi="Arial"/>
                <w:b w:val="false"/>
                <w:bCs w:val="false"/>
                <w:color w:val="111827"/>
                <w:sz w:val="18"/>
                <w:szCs w:val="18"/>
              </w:rPr>
              <w:t xml:space="preserve">50K included + 100K at custom $25/1K + 30K at custom $20/1K</w:t>
            </w:r>
          </w:p>
        </w:tc>
        <w:tc>
          <w:tcPr>
            <w:tcW w:type="dxa" w:w="2960"/>
            <w:tcBorders>
              <w:top w:val="single" w:color="D1D5DB" w:sz="1"/>
              <w:left w:val="single" w:color="D1D5DB" w:sz="1"/>
              <w:bottom w:val="single" w:color="D1D5DB" w:sz="1"/>
              <w:right w:val="single" w:color="D1D5DB" w:sz="1"/>
            </w:tcBorders>
            <w:shd w:fill="EFF6FF" w:val="clear"/>
            <w:tcMar>
              <w:top w:type="dxa" w:w="80"/>
              <w:left w:type="dxa" w:w="120"/>
              <w:bottom w:type="dxa" w:w="80"/>
              <w:right w:type="dxa" w:w="120"/>
            </w:tcMar>
          </w:tcPr>
          <w:p>
            <w:r>
              <w:rPr>
                <w:rFonts w:ascii="Arial" w:cs="Arial" w:eastAsia="Arial" w:hAnsi="Arial"/>
                <w:b w:val="false"/>
                <w:bCs w:val="false"/>
                <w:color w:val="111827"/>
                <w:sz w:val="18"/>
                <w:szCs w:val="18"/>
              </w:rPr>
              <w:t xml:space="preserve">$3,100</w:t>
            </w:r>
          </w:p>
        </w:tc>
      </w:tr>
      <w:tr>
        <w:tc>
          <w:tcPr>
            <w:tcW w:type="dxa" w:w="3200"/>
            <w:tcBorders>
              <w:top w:val="single" w:color="D1D5DB" w:sz="1"/>
              <w:left w:val="single" w:color="D1D5DB" w:sz="1"/>
              <w:bottom w:val="single" w:color="D1D5DB" w:sz="1"/>
              <w:right w:val="single" w:color="D1D5DB" w:sz="1"/>
            </w:tcBorders>
            <w:tcMar>
              <w:top w:type="dxa" w:w="80"/>
              <w:left w:type="dxa" w:w="120"/>
              <w:bottom w:type="dxa" w:w="80"/>
              <w:right w:type="dxa" w:w="120"/>
            </w:tcMar>
          </w:tcPr>
          <w:p>
            <w:r>
              <w:rPr>
                <w:rFonts w:ascii="Arial" w:cs="Arial" w:eastAsia="Arial" w:hAnsi="Arial"/>
                <w:b w:val="false"/>
                <w:bCs w:val="false"/>
                <w:color w:val="111827"/>
                <w:sz w:val="18"/>
                <w:szCs w:val="18"/>
              </w:rPr>
              <w:t xml:space="preserve">Total monthly revenue</w:t>
            </w:r>
          </w:p>
        </w:tc>
        <w:tc>
          <w:tcPr>
            <w:tcW w:type="dxa" w:w="3200"/>
            <w:tcBorders>
              <w:top w:val="single" w:color="D1D5DB" w:sz="1"/>
              <w:left w:val="single" w:color="D1D5DB" w:sz="1"/>
              <w:bottom w:val="single" w:color="D1D5DB" w:sz="1"/>
              <w:right w:val="single" w:color="D1D5DB" w:sz="1"/>
            </w:tcBorders>
            <w:tcMar>
              <w:top w:type="dxa" w:w="80"/>
              <w:left w:type="dxa" w:w="120"/>
              <w:bottom w:type="dxa" w:w="80"/>
              <w:right w:type="dxa" w:w="120"/>
            </w:tcMar>
          </w:tcPr>
          <w:p>
            <w:r>
              <w:rPr>
                <w:rFonts w:ascii="Arial" w:cs="Arial" w:eastAsia="Arial" w:hAnsi="Arial"/>
                <w:b w:val="false"/>
                <w:bCs w:val="false"/>
                <w:color w:val="111827"/>
                <w:sz w:val="18"/>
                <w:szCs w:val="18"/>
              </w:rPr>
              <w:t xml:space="preserve"/>
            </w:r>
          </w:p>
        </w:tc>
        <w:tc>
          <w:tcPr>
            <w:tcW w:type="dxa" w:w="2960"/>
            <w:tcBorders>
              <w:top w:val="single" w:color="D1D5DB" w:sz="1"/>
              <w:left w:val="single" w:color="D1D5DB" w:sz="1"/>
              <w:bottom w:val="single" w:color="D1D5DB" w:sz="1"/>
              <w:right w:val="single" w:color="D1D5DB" w:sz="1"/>
            </w:tcBorders>
            <w:tcMar>
              <w:top w:type="dxa" w:w="80"/>
              <w:left w:type="dxa" w:w="120"/>
              <w:bottom w:type="dxa" w:w="80"/>
              <w:right w:type="dxa" w:w="120"/>
            </w:tcMar>
          </w:tcPr>
          <w:p>
            <w:r>
              <w:rPr>
                <w:rFonts w:ascii="Arial" w:cs="Arial" w:eastAsia="Arial" w:hAnsi="Arial"/>
                <w:b w:val="false"/>
                <w:bCs w:val="false"/>
                <w:color w:val="111827"/>
                <w:sz w:val="18"/>
                <w:szCs w:val="18"/>
              </w:rPr>
              <w:t xml:space="preserve">$20,600</w:t>
            </w:r>
          </w:p>
        </w:tc>
      </w:tr>
      <w:tr>
        <w:tc>
          <w:tcPr>
            <w:tcW w:type="dxa" w:w="3200"/>
            <w:tcBorders>
              <w:top w:val="single" w:color="D1D5DB" w:sz="1"/>
              <w:left w:val="single" w:color="D1D5DB" w:sz="1"/>
              <w:bottom w:val="single" w:color="D1D5DB" w:sz="1"/>
              <w:right w:val="single" w:color="D1D5DB" w:sz="1"/>
            </w:tcBorders>
            <w:shd w:fill="EFF6FF" w:val="clear"/>
            <w:tcMar>
              <w:top w:type="dxa" w:w="80"/>
              <w:left w:type="dxa" w:w="120"/>
              <w:bottom w:type="dxa" w:w="80"/>
              <w:right w:type="dxa" w:w="120"/>
            </w:tcMar>
          </w:tcPr>
          <w:p>
            <w:r>
              <w:rPr>
                <w:rFonts w:ascii="Arial" w:cs="Arial" w:eastAsia="Arial" w:hAnsi="Arial"/>
                <w:b w:val="false"/>
                <w:bCs w:val="false"/>
                <w:color w:val="111827"/>
                <w:sz w:val="18"/>
                <w:szCs w:val="18"/>
              </w:rPr>
              <w:t xml:space="preserve">Annualized</w:t>
            </w:r>
          </w:p>
        </w:tc>
        <w:tc>
          <w:tcPr>
            <w:tcW w:type="dxa" w:w="3200"/>
            <w:tcBorders>
              <w:top w:val="single" w:color="D1D5DB" w:sz="1"/>
              <w:left w:val="single" w:color="D1D5DB" w:sz="1"/>
              <w:bottom w:val="single" w:color="D1D5DB" w:sz="1"/>
              <w:right w:val="single" w:color="D1D5DB" w:sz="1"/>
            </w:tcBorders>
            <w:shd w:fill="EFF6FF" w:val="clear"/>
            <w:tcMar>
              <w:top w:type="dxa" w:w="80"/>
              <w:left w:type="dxa" w:w="120"/>
              <w:bottom w:type="dxa" w:w="80"/>
              <w:right w:type="dxa" w:w="120"/>
            </w:tcMar>
          </w:tcPr>
          <w:p>
            <w:r>
              <w:rPr>
                <w:rFonts w:ascii="Arial" w:cs="Arial" w:eastAsia="Arial" w:hAnsi="Arial"/>
                <w:b w:val="false"/>
                <w:bCs w:val="false"/>
                <w:color w:val="111827"/>
                <w:sz w:val="18"/>
                <w:szCs w:val="18"/>
              </w:rPr>
              <w:t xml:space="preserve"/>
            </w:r>
          </w:p>
        </w:tc>
        <w:tc>
          <w:tcPr>
            <w:tcW w:type="dxa" w:w="2960"/>
            <w:tcBorders>
              <w:top w:val="single" w:color="D1D5DB" w:sz="1"/>
              <w:left w:val="single" w:color="D1D5DB" w:sz="1"/>
              <w:bottom w:val="single" w:color="D1D5DB" w:sz="1"/>
              <w:right w:val="single" w:color="D1D5DB" w:sz="1"/>
            </w:tcBorders>
            <w:shd w:fill="EFF6FF" w:val="clear"/>
            <w:tcMar>
              <w:top w:type="dxa" w:w="80"/>
              <w:left w:type="dxa" w:w="120"/>
              <w:bottom w:type="dxa" w:w="80"/>
              <w:right w:type="dxa" w:w="120"/>
            </w:tcMar>
          </w:tcPr>
          <w:p>
            <w:r>
              <w:rPr>
                <w:rFonts w:ascii="Arial" w:cs="Arial" w:eastAsia="Arial" w:hAnsi="Arial"/>
                <w:b w:val="false"/>
                <w:bCs w:val="false"/>
                <w:color w:val="111827"/>
                <w:sz w:val="18"/>
                <w:szCs w:val="18"/>
              </w:rPr>
              <w:t xml:space="preserve">$247,200</w:t>
            </w:r>
          </w:p>
        </w:tc>
      </w:tr>
    </w:tbl>
    <w:p>
      <w:pPr>
        <w:spacing w:after="80"/>
      </w:pPr>
    </w:p>
    <w:p>
      <w:pPr>
        <w:pStyle w:val="Heading2"/>
      </w:pPr>
      <w:r>
        <w:t xml:space="preserve">8.4 Blended Revenue Analysis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1600"/>
        <w:gridCol w:w="1600"/>
        <w:gridCol w:w="1800"/>
        <w:gridCol w:w="1960"/>
      </w:tblGrid>
      <w:tr>
        <w:tc>
          <w:tcPr>
            <w:tcW w:type="dxa" w:w="2400"/>
            <w:tcBorders>
              <w:top w:val="single" w:color="D1D5DB" w:sz="1"/>
              <w:left w:val="single" w:color="D1D5DB" w:sz="1"/>
              <w:bottom w:val="single" w:color="D1D5DB" w:sz="1"/>
              <w:right w:val="single" w:color="D1D5DB" w:sz="1"/>
            </w:tcBorders>
            <w:shd w:fill="1E3A5F" w:val="clear"/>
            <w:tcMar>
              <w:top w:type="dxa" w:w="80"/>
              <w:left w:type="dxa" w:w="120"/>
              <w:bottom w:type="dxa" w:w="80"/>
              <w:right w:type="dxa" w:w="120"/>
            </w:tcMar>
          </w:tcPr>
          <w:p>
            <w:r>
              <w:rPr>
                <w:rFonts w:ascii="Arial" w:cs="Arial" w:eastAsia="Arial" w:hAnsi="Arial"/>
                <w:b/>
                <w:bCs/>
                <w:color w:val="FFFFFF"/>
                <w:sz w:val="17"/>
                <w:szCs w:val="17"/>
              </w:rPr>
              <w:t xml:space="preserve">Metric</w:t>
            </w:r>
          </w:p>
        </w:tc>
        <w:tc>
          <w:tcPr>
            <w:tcW w:type="dxa" w:w="1600"/>
            <w:tcBorders>
              <w:top w:val="single" w:color="D1D5DB" w:sz="1"/>
              <w:left w:val="single" w:color="D1D5DB" w:sz="1"/>
              <w:bottom w:val="single" w:color="D1D5DB" w:sz="1"/>
              <w:right w:val="single" w:color="D1D5DB" w:sz="1"/>
            </w:tcBorders>
            <w:shd w:fill="1E3A5F" w:val="clear"/>
            <w:tcMar>
              <w:top w:type="dxa" w:w="80"/>
              <w:left w:type="dxa" w:w="120"/>
              <w:bottom w:type="dxa" w:w="80"/>
              <w:right w:type="dxa" w:w="120"/>
            </w:tcMar>
          </w:tcPr>
          <w:p>
            <w:r>
              <w:rPr>
                <w:rFonts w:ascii="Arial" w:cs="Arial" w:eastAsia="Arial" w:hAnsi="Arial"/>
                <w:b/>
                <w:bCs/>
                <w:color w:val="FFFFFF"/>
                <w:sz w:val="17"/>
                <w:szCs w:val="17"/>
              </w:rPr>
              <w:t xml:space="preserve">Scenario A</w:t>
            </w:r>
          </w:p>
        </w:tc>
        <w:tc>
          <w:tcPr>
            <w:tcW w:type="dxa" w:w="1600"/>
            <w:tcBorders>
              <w:top w:val="single" w:color="D1D5DB" w:sz="1"/>
              <w:left w:val="single" w:color="D1D5DB" w:sz="1"/>
              <w:bottom w:val="single" w:color="D1D5DB" w:sz="1"/>
              <w:right w:val="single" w:color="D1D5DB" w:sz="1"/>
            </w:tcBorders>
            <w:shd w:fill="1E3A5F" w:val="clear"/>
            <w:tcMar>
              <w:top w:type="dxa" w:w="80"/>
              <w:left w:type="dxa" w:w="120"/>
              <w:bottom w:type="dxa" w:w="80"/>
              <w:right w:type="dxa" w:w="120"/>
            </w:tcMar>
          </w:tcPr>
          <w:p>
            <w:r>
              <w:rPr>
                <w:rFonts w:ascii="Arial" w:cs="Arial" w:eastAsia="Arial" w:hAnsi="Arial"/>
                <w:b/>
                <w:bCs/>
                <w:color w:val="FFFFFF"/>
                <w:sz w:val="17"/>
                <w:szCs w:val="17"/>
              </w:rPr>
              <w:t xml:space="preserve">Scenario B</w:t>
            </w:r>
          </w:p>
        </w:tc>
        <w:tc>
          <w:tcPr>
            <w:tcW w:type="dxa" w:w="1800"/>
            <w:tcBorders>
              <w:top w:val="single" w:color="D1D5DB" w:sz="1"/>
              <w:left w:val="single" w:color="D1D5DB" w:sz="1"/>
              <w:bottom w:val="single" w:color="D1D5DB" w:sz="1"/>
              <w:right w:val="single" w:color="D1D5DB" w:sz="1"/>
            </w:tcBorders>
            <w:shd w:fill="1E3A5F" w:val="clear"/>
            <w:tcMar>
              <w:top w:type="dxa" w:w="80"/>
              <w:left w:type="dxa" w:w="120"/>
              <w:bottom w:type="dxa" w:w="80"/>
              <w:right w:type="dxa" w:w="120"/>
            </w:tcMar>
          </w:tcPr>
          <w:p>
            <w:r>
              <w:rPr>
                <w:rFonts w:ascii="Arial" w:cs="Arial" w:eastAsia="Arial" w:hAnsi="Arial"/>
                <w:b/>
                <w:bCs/>
                <w:color w:val="FFFFFF"/>
                <w:sz w:val="17"/>
                <w:szCs w:val="17"/>
              </w:rPr>
              <w:t xml:space="preserve">Scenario C</w:t>
            </w:r>
          </w:p>
        </w:tc>
        <w:tc>
          <w:tcPr>
            <w:tcW w:type="dxa" w:w="1960"/>
            <w:tcBorders>
              <w:top w:val="single" w:color="D1D5DB" w:sz="1"/>
              <w:left w:val="single" w:color="D1D5DB" w:sz="1"/>
              <w:bottom w:val="single" w:color="D1D5DB" w:sz="1"/>
              <w:right w:val="single" w:color="D1D5DB" w:sz="1"/>
            </w:tcBorders>
            <w:shd w:fill="1E3A5F" w:val="clear"/>
            <w:tcMar>
              <w:top w:type="dxa" w:w="80"/>
              <w:left w:type="dxa" w:w="120"/>
              <w:bottom w:type="dxa" w:w="80"/>
              <w:right w:type="dxa" w:w="120"/>
            </w:tcMar>
          </w:tcPr>
          <w:p>
            <w:r>
              <w:rPr>
                <w:rFonts w:ascii="Arial" w:cs="Arial" w:eastAsia="Arial" w:hAnsi="Arial"/>
                <w:b/>
                <w:bCs/>
                <w:color w:val="FFFFFF"/>
                <w:sz w:val="17"/>
                <w:szCs w:val="17"/>
              </w:rPr>
              <w:t xml:space="preserve">Blended Avg.</w:t>
            </w:r>
          </w:p>
        </w:tc>
      </w:tr>
      <w:tr>
        <w:tc>
          <w:tcPr>
            <w:tcW w:type="dxa" w:w="2400"/>
            <w:tcBorders>
              <w:top w:val="single" w:color="D1D5DB" w:sz="1"/>
              <w:left w:val="single" w:color="D1D5DB" w:sz="1"/>
              <w:bottom w:val="single" w:color="D1D5DB" w:sz="1"/>
              <w:right w:val="single" w:color="D1D5DB" w:sz="1"/>
            </w:tcBorders>
            <w:shd w:fill="EFF6FF" w:val="clear"/>
            <w:tcMar>
              <w:top w:type="dxa" w:w="80"/>
              <w:left w:type="dxa" w:w="120"/>
              <w:bottom w:type="dxa" w:w="80"/>
              <w:right w:type="dxa" w:w="120"/>
            </w:tcMar>
          </w:tcPr>
          <w:p>
            <w:r>
              <w:rPr>
                <w:rFonts w:ascii="Arial" w:cs="Arial" w:eastAsia="Arial" w:hAnsi="Arial"/>
                <w:b w:val="false"/>
                <w:bCs w:val="false"/>
                <w:color w:val="111827"/>
                <w:sz w:val="18"/>
                <w:szCs w:val="18"/>
              </w:rPr>
              <w:t xml:space="preserve">Monthly revenue</w:t>
            </w:r>
          </w:p>
        </w:tc>
        <w:tc>
          <w:tcPr>
            <w:tcW w:type="dxa" w:w="1600"/>
            <w:tcBorders>
              <w:top w:val="single" w:color="D1D5DB" w:sz="1"/>
              <w:left w:val="single" w:color="D1D5DB" w:sz="1"/>
              <w:bottom w:val="single" w:color="D1D5DB" w:sz="1"/>
              <w:right w:val="single" w:color="D1D5DB" w:sz="1"/>
            </w:tcBorders>
            <w:shd w:fill="EFF6FF" w:val="clear"/>
            <w:tcMar>
              <w:top w:type="dxa" w:w="80"/>
              <w:left w:type="dxa" w:w="120"/>
              <w:bottom w:type="dxa" w:w="80"/>
              <w:right w:type="dxa" w:w="120"/>
            </w:tcMar>
          </w:tcPr>
          <w:p>
            <w:r>
              <w:rPr>
                <w:rFonts w:ascii="Arial" w:cs="Arial" w:eastAsia="Arial" w:hAnsi="Arial"/>
                <w:b w:val="false"/>
                <w:bCs w:val="false"/>
                <w:color w:val="111827"/>
                <w:sz w:val="18"/>
                <w:szCs w:val="18"/>
              </w:rPr>
              <w:t xml:space="preserve">$2,600</w:t>
            </w:r>
          </w:p>
        </w:tc>
        <w:tc>
          <w:tcPr>
            <w:tcW w:type="dxa" w:w="1600"/>
            <w:tcBorders>
              <w:top w:val="single" w:color="D1D5DB" w:sz="1"/>
              <w:left w:val="single" w:color="D1D5DB" w:sz="1"/>
              <w:bottom w:val="single" w:color="D1D5DB" w:sz="1"/>
              <w:right w:val="single" w:color="D1D5DB" w:sz="1"/>
            </w:tcBorders>
            <w:shd w:fill="EFF6FF" w:val="clear"/>
            <w:tcMar>
              <w:top w:type="dxa" w:w="80"/>
              <w:left w:type="dxa" w:w="120"/>
              <w:bottom w:type="dxa" w:w="80"/>
              <w:right w:type="dxa" w:w="120"/>
            </w:tcMar>
          </w:tcPr>
          <w:p>
            <w:r>
              <w:rPr>
                <w:rFonts w:ascii="Arial" w:cs="Arial" w:eastAsia="Arial" w:hAnsi="Arial"/>
                <w:b w:val="false"/>
                <w:bCs w:val="false"/>
                <w:color w:val="111827"/>
                <w:sz w:val="18"/>
                <w:szCs w:val="18"/>
              </w:rPr>
              <w:t xml:space="preserve">$8,700</w:t>
            </w:r>
          </w:p>
        </w:tc>
        <w:tc>
          <w:tcPr>
            <w:tcW w:type="dxa" w:w="1800"/>
            <w:tcBorders>
              <w:top w:val="single" w:color="D1D5DB" w:sz="1"/>
              <w:left w:val="single" w:color="D1D5DB" w:sz="1"/>
              <w:bottom w:val="single" w:color="D1D5DB" w:sz="1"/>
              <w:right w:val="single" w:color="D1D5DB" w:sz="1"/>
            </w:tcBorders>
            <w:shd w:fill="EFF6FF" w:val="clear"/>
            <w:tcMar>
              <w:top w:type="dxa" w:w="80"/>
              <w:left w:type="dxa" w:w="120"/>
              <w:bottom w:type="dxa" w:w="80"/>
              <w:right w:type="dxa" w:w="120"/>
            </w:tcMar>
          </w:tcPr>
          <w:p>
            <w:r>
              <w:rPr>
                <w:rFonts w:ascii="Arial" w:cs="Arial" w:eastAsia="Arial" w:hAnsi="Arial"/>
                <w:b w:val="false"/>
                <w:bCs w:val="false"/>
                <w:color w:val="111827"/>
                <w:sz w:val="18"/>
                <w:szCs w:val="18"/>
              </w:rPr>
              <w:t xml:space="preserve">$20,600</w:t>
            </w:r>
          </w:p>
        </w:tc>
        <w:tc>
          <w:tcPr>
            <w:tcW w:type="dxa" w:w="1960"/>
            <w:tcBorders>
              <w:top w:val="single" w:color="D1D5DB" w:sz="1"/>
              <w:left w:val="single" w:color="D1D5DB" w:sz="1"/>
              <w:bottom w:val="single" w:color="D1D5DB" w:sz="1"/>
              <w:right w:val="single" w:color="D1D5DB" w:sz="1"/>
            </w:tcBorders>
            <w:shd w:fill="EFF6FF" w:val="clear"/>
            <w:tcMar>
              <w:top w:type="dxa" w:w="80"/>
              <w:left w:type="dxa" w:w="120"/>
              <w:bottom w:type="dxa" w:w="80"/>
              <w:right w:type="dxa" w:w="120"/>
            </w:tcMar>
          </w:tcPr>
          <w:p>
            <w:r>
              <w:rPr>
                <w:rFonts w:ascii="Arial" w:cs="Arial" w:eastAsia="Arial" w:hAnsi="Arial"/>
                <w:b w:val="false"/>
                <w:bCs w:val="false"/>
                <w:color w:val="111827"/>
                <w:sz w:val="18"/>
                <w:szCs w:val="18"/>
              </w:rPr>
              <w:t xml:space="preserve">$10,633</w:t>
            </w:r>
          </w:p>
        </w:tc>
      </w:tr>
      <w:tr>
        <w:tc>
          <w:tcPr>
            <w:tcW w:type="dxa" w:w="2400"/>
            <w:tcBorders>
              <w:top w:val="single" w:color="D1D5DB" w:sz="1"/>
              <w:left w:val="single" w:color="D1D5DB" w:sz="1"/>
              <w:bottom w:val="single" w:color="D1D5DB" w:sz="1"/>
              <w:right w:val="single" w:color="D1D5DB" w:sz="1"/>
            </w:tcBorders>
            <w:tcMar>
              <w:top w:type="dxa" w:w="80"/>
              <w:left w:type="dxa" w:w="120"/>
              <w:bottom w:type="dxa" w:w="80"/>
              <w:right w:type="dxa" w:w="120"/>
            </w:tcMar>
          </w:tcPr>
          <w:p>
            <w:r>
              <w:rPr>
                <w:rFonts w:ascii="Arial" w:cs="Arial" w:eastAsia="Arial" w:hAnsi="Arial"/>
                <w:b w:val="false"/>
                <w:bCs w:val="false"/>
                <w:color w:val="111827"/>
                <w:sz w:val="18"/>
                <w:szCs w:val="18"/>
              </w:rPr>
              <w:t xml:space="preserve">Subscription % of revenue</w:t>
            </w:r>
          </w:p>
        </w:tc>
        <w:tc>
          <w:tcPr>
            <w:tcW w:type="dxa" w:w="1600"/>
            <w:tcBorders>
              <w:top w:val="single" w:color="D1D5DB" w:sz="1"/>
              <w:left w:val="single" w:color="D1D5DB" w:sz="1"/>
              <w:bottom w:val="single" w:color="D1D5DB" w:sz="1"/>
              <w:right w:val="single" w:color="D1D5DB" w:sz="1"/>
            </w:tcBorders>
            <w:tcMar>
              <w:top w:type="dxa" w:w="80"/>
              <w:left w:type="dxa" w:w="120"/>
              <w:bottom w:type="dxa" w:w="80"/>
              <w:right w:type="dxa" w:w="120"/>
            </w:tcMar>
          </w:tcPr>
          <w:p>
            <w:r>
              <w:rPr>
                <w:rFonts w:ascii="Arial" w:cs="Arial" w:eastAsia="Arial" w:hAnsi="Arial"/>
                <w:b w:val="false"/>
                <w:bCs w:val="false"/>
                <w:color w:val="111827"/>
                <w:sz w:val="18"/>
                <w:szCs w:val="18"/>
              </w:rPr>
              <w:t xml:space="preserve">77%</w:t>
            </w:r>
          </w:p>
        </w:tc>
        <w:tc>
          <w:tcPr>
            <w:tcW w:type="dxa" w:w="1600"/>
            <w:tcBorders>
              <w:top w:val="single" w:color="D1D5DB" w:sz="1"/>
              <w:left w:val="single" w:color="D1D5DB" w:sz="1"/>
              <w:bottom w:val="single" w:color="D1D5DB" w:sz="1"/>
              <w:right w:val="single" w:color="D1D5DB" w:sz="1"/>
            </w:tcBorders>
            <w:tcMar>
              <w:top w:type="dxa" w:w="80"/>
              <w:left w:type="dxa" w:w="120"/>
              <w:bottom w:type="dxa" w:w="80"/>
              <w:right w:type="dxa" w:w="120"/>
            </w:tcMar>
          </w:tcPr>
          <w:p>
            <w:r>
              <w:rPr>
                <w:rFonts w:ascii="Arial" w:cs="Arial" w:eastAsia="Arial" w:hAnsi="Arial"/>
                <w:b w:val="false"/>
                <w:bCs w:val="false"/>
                <w:color w:val="111827"/>
                <w:sz w:val="18"/>
                <w:szCs w:val="18"/>
              </w:rPr>
              <w:t xml:space="preserve">57%</w:t>
            </w:r>
          </w:p>
        </w:tc>
        <w:tc>
          <w:tcPr>
            <w:tcW w:type="dxa" w:w="1800"/>
            <w:tcBorders>
              <w:top w:val="single" w:color="D1D5DB" w:sz="1"/>
              <w:left w:val="single" w:color="D1D5DB" w:sz="1"/>
              <w:bottom w:val="single" w:color="D1D5DB" w:sz="1"/>
              <w:right w:val="single" w:color="D1D5DB" w:sz="1"/>
            </w:tcBorders>
            <w:tcMar>
              <w:top w:type="dxa" w:w="80"/>
              <w:left w:type="dxa" w:w="120"/>
              <w:bottom w:type="dxa" w:w="80"/>
              <w:right w:type="dxa" w:w="120"/>
            </w:tcMar>
          </w:tcPr>
          <w:p>
            <w:r>
              <w:rPr>
                <w:rFonts w:ascii="Arial" w:cs="Arial" w:eastAsia="Arial" w:hAnsi="Arial"/>
                <w:b w:val="false"/>
                <w:bCs w:val="false"/>
                <w:color w:val="111827"/>
                <w:sz w:val="18"/>
                <w:szCs w:val="18"/>
              </w:rPr>
              <w:t xml:space="preserve">73%</w:t>
            </w:r>
          </w:p>
        </w:tc>
        <w:tc>
          <w:tcPr>
            <w:tcW w:type="dxa" w:w="1960"/>
            <w:tcBorders>
              <w:top w:val="single" w:color="D1D5DB" w:sz="1"/>
              <w:left w:val="single" w:color="D1D5DB" w:sz="1"/>
              <w:bottom w:val="single" w:color="D1D5DB" w:sz="1"/>
              <w:right w:val="single" w:color="D1D5DB" w:sz="1"/>
            </w:tcBorders>
            <w:tcMar>
              <w:top w:type="dxa" w:w="80"/>
              <w:left w:type="dxa" w:w="120"/>
              <w:bottom w:type="dxa" w:w="80"/>
              <w:right w:type="dxa" w:w="120"/>
            </w:tcMar>
          </w:tcPr>
          <w:p>
            <w:r>
              <w:rPr>
                <w:rFonts w:ascii="Arial" w:cs="Arial" w:eastAsia="Arial" w:hAnsi="Arial"/>
                <w:b w:val="false"/>
                <w:bCs w:val="false"/>
                <w:color w:val="111827"/>
                <w:sz w:val="18"/>
                <w:szCs w:val="18"/>
              </w:rPr>
              <w:t xml:space="preserve">66%</w:t>
            </w:r>
          </w:p>
        </w:tc>
      </w:tr>
      <w:tr>
        <w:tc>
          <w:tcPr>
            <w:tcW w:type="dxa" w:w="2400"/>
            <w:tcBorders>
              <w:top w:val="single" w:color="D1D5DB" w:sz="1"/>
              <w:left w:val="single" w:color="D1D5DB" w:sz="1"/>
              <w:bottom w:val="single" w:color="D1D5DB" w:sz="1"/>
              <w:right w:val="single" w:color="D1D5DB" w:sz="1"/>
            </w:tcBorders>
            <w:shd w:fill="EFF6FF" w:val="clear"/>
            <w:tcMar>
              <w:top w:type="dxa" w:w="80"/>
              <w:left w:type="dxa" w:w="120"/>
              <w:bottom w:type="dxa" w:w="80"/>
              <w:right w:type="dxa" w:w="120"/>
            </w:tcMar>
          </w:tcPr>
          <w:p>
            <w:r>
              <w:rPr>
                <w:rFonts w:ascii="Arial" w:cs="Arial" w:eastAsia="Arial" w:hAnsi="Arial"/>
                <w:b w:val="false"/>
                <w:bCs w:val="false"/>
                <w:color w:val="111827"/>
                <w:sz w:val="18"/>
                <w:szCs w:val="18"/>
              </w:rPr>
              <w:t xml:space="preserve">FCU overage % of revenue</w:t>
            </w:r>
          </w:p>
        </w:tc>
        <w:tc>
          <w:tcPr>
            <w:tcW w:type="dxa" w:w="1600"/>
            <w:tcBorders>
              <w:top w:val="single" w:color="D1D5DB" w:sz="1"/>
              <w:left w:val="single" w:color="D1D5DB" w:sz="1"/>
              <w:bottom w:val="single" w:color="D1D5DB" w:sz="1"/>
              <w:right w:val="single" w:color="D1D5DB" w:sz="1"/>
            </w:tcBorders>
            <w:shd w:fill="EFF6FF" w:val="clear"/>
            <w:tcMar>
              <w:top w:type="dxa" w:w="80"/>
              <w:left w:type="dxa" w:w="120"/>
              <w:bottom w:type="dxa" w:w="80"/>
              <w:right w:type="dxa" w:w="120"/>
            </w:tcMar>
          </w:tcPr>
          <w:p>
            <w:r>
              <w:rPr>
                <w:rFonts w:ascii="Arial" w:cs="Arial" w:eastAsia="Arial" w:hAnsi="Arial"/>
                <w:b w:val="false"/>
                <w:bCs w:val="false"/>
                <w:color w:val="111827"/>
                <w:sz w:val="18"/>
                <w:szCs w:val="18"/>
              </w:rPr>
              <w:t xml:space="preserve">23%</w:t>
            </w:r>
          </w:p>
        </w:tc>
        <w:tc>
          <w:tcPr>
            <w:tcW w:type="dxa" w:w="1600"/>
            <w:tcBorders>
              <w:top w:val="single" w:color="D1D5DB" w:sz="1"/>
              <w:left w:val="single" w:color="D1D5DB" w:sz="1"/>
              <w:bottom w:val="single" w:color="D1D5DB" w:sz="1"/>
              <w:right w:val="single" w:color="D1D5DB" w:sz="1"/>
            </w:tcBorders>
            <w:shd w:fill="EFF6FF" w:val="clear"/>
            <w:tcMar>
              <w:top w:type="dxa" w:w="80"/>
              <w:left w:type="dxa" w:w="120"/>
              <w:bottom w:type="dxa" w:w="80"/>
              <w:right w:type="dxa" w:w="120"/>
            </w:tcMar>
          </w:tcPr>
          <w:p>
            <w:r>
              <w:rPr>
                <w:rFonts w:ascii="Arial" w:cs="Arial" w:eastAsia="Arial" w:hAnsi="Arial"/>
                <w:b w:val="false"/>
                <w:bCs w:val="false"/>
                <w:color w:val="111827"/>
                <w:sz w:val="18"/>
                <w:szCs w:val="18"/>
              </w:rPr>
              <w:t xml:space="preserve">32%</w:t>
            </w:r>
          </w:p>
        </w:tc>
        <w:tc>
          <w:tcPr>
            <w:tcW w:type="dxa" w:w="1800"/>
            <w:tcBorders>
              <w:top w:val="single" w:color="D1D5DB" w:sz="1"/>
              <w:left w:val="single" w:color="D1D5DB" w:sz="1"/>
              <w:bottom w:val="single" w:color="D1D5DB" w:sz="1"/>
              <w:right w:val="single" w:color="D1D5DB" w:sz="1"/>
            </w:tcBorders>
            <w:shd w:fill="EFF6FF" w:val="clear"/>
            <w:tcMar>
              <w:top w:type="dxa" w:w="80"/>
              <w:left w:type="dxa" w:w="120"/>
              <w:bottom w:type="dxa" w:w="80"/>
              <w:right w:type="dxa" w:w="120"/>
            </w:tcMar>
          </w:tcPr>
          <w:p>
            <w:r>
              <w:rPr>
                <w:rFonts w:ascii="Arial" w:cs="Arial" w:eastAsia="Arial" w:hAnsi="Arial"/>
                <w:b w:val="false"/>
                <w:bCs w:val="false"/>
                <w:color w:val="111827"/>
                <w:sz w:val="18"/>
                <w:szCs w:val="18"/>
              </w:rPr>
              <w:t xml:space="preserve">12%</w:t>
            </w:r>
          </w:p>
        </w:tc>
        <w:tc>
          <w:tcPr>
            <w:tcW w:type="dxa" w:w="1960"/>
            <w:tcBorders>
              <w:top w:val="single" w:color="D1D5DB" w:sz="1"/>
              <w:left w:val="single" w:color="D1D5DB" w:sz="1"/>
              <w:bottom w:val="single" w:color="D1D5DB" w:sz="1"/>
              <w:right w:val="single" w:color="D1D5DB" w:sz="1"/>
            </w:tcBorders>
            <w:shd w:fill="EFF6FF" w:val="clear"/>
            <w:tcMar>
              <w:top w:type="dxa" w:w="80"/>
              <w:left w:type="dxa" w:w="120"/>
              <w:bottom w:type="dxa" w:w="80"/>
              <w:right w:type="dxa" w:w="120"/>
            </w:tcMar>
          </w:tcPr>
          <w:p>
            <w:r>
              <w:rPr>
                <w:rFonts w:ascii="Arial" w:cs="Arial" w:eastAsia="Arial" w:hAnsi="Arial"/>
                <w:b w:val="false"/>
                <w:bCs w:val="false"/>
                <w:color w:val="111827"/>
                <w:sz w:val="18"/>
                <w:szCs w:val="18"/>
              </w:rPr>
              <w:t xml:space="preserve">21%</w:t>
            </w:r>
          </w:p>
        </w:tc>
      </w:tr>
      <w:tr>
        <w:tc>
          <w:tcPr>
            <w:tcW w:type="dxa" w:w="2400"/>
            <w:tcBorders>
              <w:top w:val="single" w:color="D1D5DB" w:sz="1"/>
              <w:left w:val="single" w:color="D1D5DB" w:sz="1"/>
              <w:bottom w:val="single" w:color="D1D5DB" w:sz="1"/>
              <w:right w:val="single" w:color="D1D5DB" w:sz="1"/>
            </w:tcBorders>
            <w:tcMar>
              <w:top w:type="dxa" w:w="80"/>
              <w:left w:type="dxa" w:w="120"/>
              <w:bottom w:type="dxa" w:w="80"/>
              <w:right w:type="dxa" w:w="120"/>
            </w:tcMar>
          </w:tcPr>
          <w:p>
            <w:r>
              <w:rPr>
                <w:rFonts w:ascii="Arial" w:cs="Arial" w:eastAsia="Arial" w:hAnsi="Arial"/>
                <w:b w:val="false"/>
                <w:bCs w:val="false"/>
                <w:color w:val="111827"/>
                <w:sz w:val="18"/>
                <w:szCs w:val="18"/>
              </w:rPr>
              <w:t xml:space="preserve">FIQ overage % of revenue</w:t>
            </w:r>
          </w:p>
        </w:tc>
        <w:tc>
          <w:tcPr>
            <w:tcW w:type="dxa" w:w="1600"/>
            <w:tcBorders>
              <w:top w:val="single" w:color="D1D5DB" w:sz="1"/>
              <w:left w:val="single" w:color="D1D5DB" w:sz="1"/>
              <w:bottom w:val="single" w:color="D1D5DB" w:sz="1"/>
              <w:right w:val="single" w:color="D1D5DB" w:sz="1"/>
            </w:tcBorders>
            <w:tcMar>
              <w:top w:type="dxa" w:w="80"/>
              <w:left w:type="dxa" w:w="120"/>
              <w:bottom w:type="dxa" w:w="80"/>
              <w:right w:type="dxa" w:w="120"/>
            </w:tcMar>
          </w:tcPr>
          <w:p>
            <w:r>
              <w:rPr>
                <w:rFonts w:ascii="Arial" w:cs="Arial" w:eastAsia="Arial" w:hAnsi="Arial"/>
                <w:b w:val="false"/>
                <w:bCs w:val="false"/>
                <w:color w:val="111827"/>
                <w:sz w:val="18"/>
                <w:szCs w:val="18"/>
              </w:rPr>
              <w:t xml:space="preserve">0%</w:t>
            </w:r>
          </w:p>
        </w:tc>
        <w:tc>
          <w:tcPr>
            <w:tcW w:type="dxa" w:w="1600"/>
            <w:tcBorders>
              <w:top w:val="single" w:color="D1D5DB" w:sz="1"/>
              <w:left w:val="single" w:color="D1D5DB" w:sz="1"/>
              <w:bottom w:val="single" w:color="D1D5DB" w:sz="1"/>
              <w:right w:val="single" w:color="D1D5DB" w:sz="1"/>
            </w:tcBorders>
            <w:tcMar>
              <w:top w:type="dxa" w:w="80"/>
              <w:left w:type="dxa" w:w="120"/>
              <w:bottom w:type="dxa" w:w="80"/>
              <w:right w:type="dxa" w:w="120"/>
            </w:tcMar>
          </w:tcPr>
          <w:p>
            <w:r>
              <w:rPr>
                <w:rFonts w:ascii="Arial" w:cs="Arial" w:eastAsia="Arial" w:hAnsi="Arial"/>
                <w:b w:val="false"/>
                <w:bCs w:val="false"/>
                <w:color w:val="111827"/>
                <w:sz w:val="18"/>
                <w:szCs w:val="18"/>
              </w:rPr>
              <w:t xml:space="preserve">11%</w:t>
            </w:r>
          </w:p>
        </w:tc>
        <w:tc>
          <w:tcPr>
            <w:tcW w:type="dxa" w:w="1800"/>
            <w:tcBorders>
              <w:top w:val="single" w:color="D1D5DB" w:sz="1"/>
              <w:left w:val="single" w:color="D1D5DB" w:sz="1"/>
              <w:bottom w:val="single" w:color="D1D5DB" w:sz="1"/>
              <w:right w:val="single" w:color="D1D5DB" w:sz="1"/>
            </w:tcBorders>
            <w:tcMar>
              <w:top w:type="dxa" w:w="80"/>
              <w:left w:type="dxa" w:w="120"/>
              <w:bottom w:type="dxa" w:w="80"/>
              <w:right w:type="dxa" w:w="120"/>
            </w:tcMar>
          </w:tcPr>
          <w:p>
            <w:r>
              <w:rPr>
                <w:rFonts w:ascii="Arial" w:cs="Arial" w:eastAsia="Arial" w:hAnsi="Arial"/>
                <w:b w:val="false"/>
                <w:bCs w:val="false"/>
                <w:color w:val="111827"/>
                <w:sz w:val="18"/>
                <w:szCs w:val="18"/>
              </w:rPr>
              <w:t xml:space="preserve">15%</w:t>
            </w:r>
          </w:p>
        </w:tc>
        <w:tc>
          <w:tcPr>
            <w:tcW w:type="dxa" w:w="1960"/>
            <w:tcBorders>
              <w:top w:val="single" w:color="D1D5DB" w:sz="1"/>
              <w:left w:val="single" w:color="D1D5DB" w:sz="1"/>
              <w:bottom w:val="single" w:color="D1D5DB" w:sz="1"/>
              <w:right w:val="single" w:color="D1D5DB" w:sz="1"/>
            </w:tcBorders>
            <w:tcMar>
              <w:top w:type="dxa" w:w="80"/>
              <w:left w:type="dxa" w:w="120"/>
              <w:bottom w:type="dxa" w:w="80"/>
              <w:right w:type="dxa" w:w="120"/>
            </w:tcMar>
          </w:tcPr>
          <w:p>
            <w:r>
              <w:rPr>
                <w:rFonts w:ascii="Arial" w:cs="Arial" w:eastAsia="Arial" w:hAnsi="Arial"/>
                <w:b w:val="false"/>
                <w:bCs w:val="false"/>
                <w:color w:val="111827"/>
                <w:sz w:val="18"/>
                <w:szCs w:val="18"/>
              </w:rPr>
              <w:t xml:space="preserve">13%</w:t>
            </w:r>
          </w:p>
        </w:tc>
      </w:tr>
      <w:tr>
        <w:tc>
          <w:tcPr>
            <w:tcW w:type="dxa" w:w="2400"/>
            <w:tcBorders>
              <w:top w:val="single" w:color="D1D5DB" w:sz="1"/>
              <w:left w:val="single" w:color="D1D5DB" w:sz="1"/>
              <w:bottom w:val="single" w:color="D1D5DB" w:sz="1"/>
              <w:right w:val="single" w:color="D1D5DB" w:sz="1"/>
            </w:tcBorders>
            <w:shd w:fill="EFF6FF" w:val="clear"/>
            <w:tcMar>
              <w:top w:type="dxa" w:w="80"/>
              <w:left w:type="dxa" w:w="120"/>
              <w:bottom w:type="dxa" w:w="80"/>
              <w:right w:type="dxa" w:w="120"/>
            </w:tcMar>
          </w:tcPr>
          <w:p>
            <w:r>
              <w:rPr>
                <w:rFonts w:ascii="Arial" w:cs="Arial" w:eastAsia="Arial" w:hAnsi="Arial"/>
                <w:b w:val="false"/>
                <w:bCs w:val="false"/>
                <w:color w:val="111827"/>
                <w:sz w:val="18"/>
                <w:szCs w:val="18"/>
              </w:rPr>
              <w:t xml:space="preserve">Usage % of total revenue</w:t>
            </w:r>
          </w:p>
        </w:tc>
        <w:tc>
          <w:tcPr>
            <w:tcW w:type="dxa" w:w="1600"/>
            <w:tcBorders>
              <w:top w:val="single" w:color="D1D5DB" w:sz="1"/>
              <w:left w:val="single" w:color="D1D5DB" w:sz="1"/>
              <w:bottom w:val="single" w:color="D1D5DB" w:sz="1"/>
              <w:right w:val="single" w:color="D1D5DB" w:sz="1"/>
            </w:tcBorders>
            <w:shd w:fill="EFF6FF" w:val="clear"/>
            <w:tcMar>
              <w:top w:type="dxa" w:w="80"/>
              <w:left w:type="dxa" w:w="120"/>
              <w:bottom w:type="dxa" w:w="80"/>
              <w:right w:type="dxa" w:w="120"/>
            </w:tcMar>
          </w:tcPr>
          <w:p>
            <w:r>
              <w:rPr>
                <w:rFonts w:ascii="Arial" w:cs="Arial" w:eastAsia="Arial" w:hAnsi="Arial"/>
                <w:b w:val="false"/>
                <w:bCs w:val="false"/>
                <w:color w:val="111827"/>
                <w:sz w:val="18"/>
                <w:szCs w:val="18"/>
              </w:rPr>
              <w:t xml:space="preserve">23%</w:t>
            </w:r>
          </w:p>
        </w:tc>
        <w:tc>
          <w:tcPr>
            <w:tcW w:type="dxa" w:w="1600"/>
            <w:tcBorders>
              <w:top w:val="single" w:color="D1D5DB" w:sz="1"/>
              <w:left w:val="single" w:color="D1D5DB" w:sz="1"/>
              <w:bottom w:val="single" w:color="D1D5DB" w:sz="1"/>
              <w:right w:val="single" w:color="D1D5DB" w:sz="1"/>
            </w:tcBorders>
            <w:shd w:fill="EFF6FF" w:val="clear"/>
            <w:tcMar>
              <w:top w:type="dxa" w:w="80"/>
              <w:left w:type="dxa" w:w="120"/>
              <w:bottom w:type="dxa" w:w="80"/>
              <w:right w:type="dxa" w:w="120"/>
            </w:tcMar>
          </w:tcPr>
          <w:p>
            <w:r>
              <w:rPr>
                <w:rFonts w:ascii="Arial" w:cs="Arial" w:eastAsia="Arial" w:hAnsi="Arial"/>
                <w:b w:val="false"/>
                <w:bCs w:val="false"/>
                <w:color w:val="111827"/>
                <w:sz w:val="18"/>
                <w:szCs w:val="18"/>
              </w:rPr>
              <w:t xml:space="preserve">43%</w:t>
            </w:r>
          </w:p>
        </w:tc>
        <w:tc>
          <w:tcPr>
            <w:tcW w:type="dxa" w:w="1800"/>
            <w:tcBorders>
              <w:top w:val="single" w:color="D1D5DB" w:sz="1"/>
              <w:left w:val="single" w:color="D1D5DB" w:sz="1"/>
              <w:bottom w:val="single" w:color="D1D5DB" w:sz="1"/>
              <w:right w:val="single" w:color="D1D5DB" w:sz="1"/>
            </w:tcBorders>
            <w:shd w:fill="EFF6FF" w:val="clear"/>
            <w:tcMar>
              <w:top w:type="dxa" w:w="80"/>
              <w:left w:type="dxa" w:w="120"/>
              <w:bottom w:type="dxa" w:w="80"/>
              <w:right w:type="dxa" w:w="120"/>
            </w:tcMar>
          </w:tcPr>
          <w:p>
            <w:r>
              <w:rPr>
                <w:rFonts w:ascii="Arial" w:cs="Arial" w:eastAsia="Arial" w:hAnsi="Arial"/>
                <w:b w:val="false"/>
                <w:bCs w:val="false"/>
                <w:color w:val="111827"/>
                <w:sz w:val="18"/>
                <w:szCs w:val="18"/>
              </w:rPr>
              <w:t xml:space="preserve">27%</w:t>
            </w:r>
          </w:p>
        </w:tc>
        <w:tc>
          <w:tcPr>
            <w:tcW w:type="dxa" w:w="1960"/>
            <w:tcBorders>
              <w:top w:val="single" w:color="D1D5DB" w:sz="1"/>
              <w:left w:val="single" w:color="D1D5DB" w:sz="1"/>
              <w:bottom w:val="single" w:color="D1D5DB" w:sz="1"/>
              <w:right w:val="single" w:color="D1D5DB" w:sz="1"/>
            </w:tcBorders>
            <w:shd w:fill="EFF6FF" w:val="clear"/>
            <w:tcMar>
              <w:top w:type="dxa" w:w="80"/>
              <w:left w:type="dxa" w:w="120"/>
              <w:bottom w:type="dxa" w:w="80"/>
              <w:right w:type="dxa" w:w="120"/>
            </w:tcMar>
          </w:tcPr>
          <w:p>
            <w:r>
              <w:rPr>
                <w:rFonts w:ascii="Arial" w:cs="Arial" w:eastAsia="Arial" w:hAnsi="Arial"/>
                <w:b w:val="false"/>
                <w:bCs w:val="false"/>
                <w:color w:val="111827"/>
                <w:sz w:val="18"/>
                <w:szCs w:val="18"/>
              </w:rPr>
              <w:t xml:space="preserve">34%</w:t>
            </w:r>
          </w:p>
        </w:tc>
      </w:tr>
    </w:tbl>
    <w:p>
      <w:pPr>
        <w:spacing w:after="80"/>
      </w:pPr>
    </w:p>
    <w:p>
      <w:pPr>
        <w:spacing w:after="160"/>
      </w:pPr>
      <w:r>
        <w:rPr>
          <w:rFonts w:ascii="Arial" w:cs="Arial" w:eastAsia="Arial" w:hAnsi="Arial"/>
          <w:b/>
          <w:bCs/>
          <w:color w:val="111827"/>
          <w:sz w:val="22"/>
          <w:szCs w:val="22"/>
        </w:rPr>
        <w:t xml:space="preserve">Key insight: </w:t>
      </w:r>
      <w:r>
        <w:rPr>
          <w:rFonts w:ascii="Arial" w:cs="Arial" w:eastAsia="Arial" w:hAnsi="Arial"/>
          <w:color w:val="111827"/>
          <w:sz w:val="22"/>
          <w:szCs w:val="22"/>
        </w:rPr>
        <w:t xml:space="preserve">Subscription revenue provides the floor (66% blended), but usage revenue (34% blended) is the growth driver. As AI agent adoption increases, FIQ overage grows disproportionately. In the enterprise scenario, FIQ overage alone ($3,100/mo) exceeds the entire Premium plan subscription ($2,000/mo). This validates the strategic thesis: PipeLedger’s revenue scales with AI agent adoption even when human user count stays flat.</w:t>
      </w:r>
    </w:p>
    <w:p>
      <w:pPr>
        <w:pStyle w:val="Heading1"/>
      </w:pPr>
      <w:r>
        <w:t xml:space="preserve">9. Customer-Facing Usage Dashboard</w:t>
      </w:r>
    </w:p>
    <w:p>
      <w:pPr>
        <w:spacing w:after="160"/>
      </w:pPr>
      <w:r>
        <w:rPr>
          <w:rFonts w:ascii="Arial" w:cs="Arial" w:eastAsia="Arial" w:hAnsi="Arial"/>
          <w:color w:val="111827"/>
          <w:sz w:val="22"/>
          <w:szCs w:val="22"/>
        </w:rPr>
        <w:t xml:space="preserve">Customers need visibility into their consumption to trust the billing model. The usage dashboard is a critical retention and transparency tool. It lives in Settings &gt; Usage and is accessible to Admin and Owner roles.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6960"/>
      </w:tblGrid>
      <w:tr>
        <w:tc>
          <w:tcPr>
            <w:tcW w:type="dxa" w:w="2400"/>
            <w:tcBorders>
              <w:top w:val="single" w:color="D1D5DB" w:sz="1"/>
              <w:left w:val="single" w:color="D1D5DB" w:sz="1"/>
              <w:bottom w:val="single" w:color="D1D5DB" w:sz="1"/>
              <w:right w:val="single" w:color="D1D5DB" w:sz="1"/>
            </w:tcBorders>
            <w:shd w:fill="1E3A5F" w:val="clear"/>
            <w:tcMar>
              <w:top w:type="dxa" w:w="80"/>
              <w:left w:type="dxa" w:w="120"/>
              <w:bottom w:type="dxa" w:w="80"/>
              <w:right w:type="dxa" w:w="120"/>
            </w:tcMar>
          </w:tcPr>
          <w:p>
            <w:r>
              <w:rPr>
                <w:rFonts w:ascii="Arial" w:cs="Arial" w:eastAsia="Arial" w:hAnsi="Arial"/>
                <w:b/>
                <w:bCs/>
                <w:color w:val="FFFFFF"/>
                <w:sz w:val="17"/>
                <w:szCs w:val="17"/>
              </w:rPr>
              <w:t xml:space="preserve">Dashboard Element</w:t>
            </w:r>
          </w:p>
        </w:tc>
        <w:tc>
          <w:tcPr>
            <w:tcW w:type="dxa" w:w="6960"/>
            <w:tcBorders>
              <w:top w:val="single" w:color="D1D5DB" w:sz="1"/>
              <w:left w:val="single" w:color="D1D5DB" w:sz="1"/>
              <w:bottom w:val="single" w:color="D1D5DB" w:sz="1"/>
              <w:right w:val="single" w:color="D1D5DB" w:sz="1"/>
            </w:tcBorders>
            <w:shd w:fill="1E3A5F" w:val="clear"/>
            <w:tcMar>
              <w:top w:type="dxa" w:w="80"/>
              <w:left w:type="dxa" w:w="120"/>
              <w:bottom w:type="dxa" w:w="80"/>
              <w:right w:type="dxa" w:w="120"/>
            </w:tcMar>
          </w:tcPr>
          <w:p>
            <w:r>
              <w:rPr>
                <w:rFonts w:ascii="Arial" w:cs="Arial" w:eastAsia="Arial" w:hAnsi="Arial"/>
                <w:b/>
                <w:bCs/>
                <w:color w:val="FFFFFF"/>
                <w:sz w:val="17"/>
                <w:szCs w:val="17"/>
              </w:rPr>
              <w:t xml:space="preserve">Detail</w:t>
            </w:r>
          </w:p>
        </w:tc>
      </w:tr>
      <w:tr>
        <w:tc>
          <w:tcPr>
            <w:tcW w:type="dxa" w:w="2400"/>
            <w:tcBorders>
              <w:top w:val="single" w:color="D1D5DB" w:sz="1"/>
              <w:left w:val="single" w:color="D1D5DB" w:sz="1"/>
              <w:bottom w:val="single" w:color="D1D5DB" w:sz="1"/>
              <w:right w:val="single" w:color="D1D5DB" w:sz="1"/>
            </w:tcBorders>
            <w:shd w:fill="EFF6FF" w:val="clear"/>
            <w:tcMar>
              <w:top w:type="dxa" w:w="80"/>
              <w:left w:type="dxa" w:w="120"/>
              <w:bottom w:type="dxa" w:w="80"/>
              <w:right w:type="dxa" w:w="120"/>
            </w:tcMar>
          </w:tcPr>
          <w:p>
            <w:r>
              <w:rPr>
                <w:rFonts w:ascii="Arial" w:cs="Arial" w:eastAsia="Arial" w:hAnsi="Arial"/>
                <w:b w:val="false"/>
                <w:bCs w:val="false"/>
                <w:color w:val="111827"/>
                <w:sz w:val="18"/>
                <w:szCs w:val="18"/>
              </w:rPr>
              <w:t xml:space="preserve">Current billing period summary</w:t>
            </w:r>
          </w:p>
        </w:tc>
        <w:tc>
          <w:tcPr>
            <w:tcW w:type="dxa" w:w="6960"/>
            <w:tcBorders>
              <w:top w:val="single" w:color="D1D5DB" w:sz="1"/>
              <w:left w:val="single" w:color="D1D5DB" w:sz="1"/>
              <w:bottom w:val="single" w:color="D1D5DB" w:sz="1"/>
              <w:right w:val="single" w:color="D1D5DB" w:sz="1"/>
            </w:tcBorders>
            <w:shd w:fill="EFF6FF" w:val="clear"/>
            <w:tcMar>
              <w:top w:type="dxa" w:w="80"/>
              <w:left w:type="dxa" w:w="120"/>
              <w:bottom w:type="dxa" w:w="80"/>
              <w:right w:type="dxa" w:w="120"/>
            </w:tcMar>
          </w:tcPr>
          <w:p>
            <w:r>
              <w:rPr>
                <w:rFonts w:ascii="Arial" w:cs="Arial" w:eastAsia="Arial" w:hAnsi="Arial"/>
                <w:b w:val="false"/>
                <w:bCs w:val="false"/>
                <w:color w:val="111827"/>
                <w:sz w:val="18"/>
                <w:szCs w:val="18"/>
              </w:rPr>
              <w:t xml:space="preserve">Bar chart: FCU consumed vs. included allocation. Bar chart: FIQ consumed vs. included allocation. Projected end-of-month total (linear extrapolation). Estimated overage charge.</w:t>
            </w:r>
          </w:p>
        </w:tc>
      </w:tr>
      <w:tr>
        <w:tc>
          <w:tcPr>
            <w:tcW w:type="dxa" w:w="2400"/>
            <w:tcBorders>
              <w:top w:val="single" w:color="D1D5DB" w:sz="1"/>
              <w:left w:val="single" w:color="D1D5DB" w:sz="1"/>
              <w:bottom w:val="single" w:color="D1D5DB" w:sz="1"/>
              <w:right w:val="single" w:color="D1D5DB" w:sz="1"/>
            </w:tcBorders>
            <w:tcMar>
              <w:top w:type="dxa" w:w="80"/>
              <w:left w:type="dxa" w:w="120"/>
              <w:bottom w:type="dxa" w:w="80"/>
              <w:right w:type="dxa" w:w="120"/>
            </w:tcMar>
          </w:tcPr>
          <w:p>
            <w:r>
              <w:rPr>
                <w:rFonts w:ascii="Arial" w:cs="Arial" w:eastAsia="Arial" w:hAnsi="Arial"/>
                <w:b w:val="false"/>
                <w:bCs w:val="false"/>
                <w:color w:val="111827"/>
                <w:sz w:val="18"/>
                <w:szCs w:val="18"/>
              </w:rPr>
              <w:t xml:space="preserve">Daily usage trend</w:t>
            </w:r>
          </w:p>
        </w:tc>
        <w:tc>
          <w:tcPr>
            <w:tcW w:type="dxa" w:w="6960"/>
            <w:tcBorders>
              <w:top w:val="single" w:color="D1D5DB" w:sz="1"/>
              <w:left w:val="single" w:color="D1D5DB" w:sz="1"/>
              <w:bottom w:val="single" w:color="D1D5DB" w:sz="1"/>
              <w:right w:val="single" w:color="D1D5DB" w:sz="1"/>
            </w:tcBorders>
            <w:tcMar>
              <w:top w:type="dxa" w:w="80"/>
              <w:left w:type="dxa" w:w="120"/>
              <w:bottom w:type="dxa" w:w="80"/>
              <w:right w:type="dxa" w:w="120"/>
            </w:tcMar>
          </w:tcPr>
          <w:p>
            <w:r>
              <w:rPr>
                <w:rFonts w:ascii="Arial" w:cs="Arial" w:eastAsia="Arial" w:hAnsi="Arial"/>
                <w:b w:val="false"/>
                <w:bCs w:val="false"/>
                <w:color w:val="111827"/>
                <w:sz w:val="18"/>
                <w:szCs w:val="18"/>
              </w:rPr>
              <w:t xml:space="preserve">Line chart: daily FCU and FIQ consumption over the current billing period. Highlights spikes (e.g., a large pipeline run or agent workflow). Hover for daily breakdown.</w:t>
            </w:r>
          </w:p>
        </w:tc>
      </w:tr>
      <w:tr>
        <w:tc>
          <w:tcPr>
            <w:tcW w:type="dxa" w:w="2400"/>
            <w:tcBorders>
              <w:top w:val="single" w:color="D1D5DB" w:sz="1"/>
              <w:left w:val="single" w:color="D1D5DB" w:sz="1"/>
              <w:bottom w:val="single" w:color="D1D5DB" w:sz="1"/>
              <w:right w:val="single" w:color="D1D5DB" w:sz="1"/>
            </w:tcBorders>
            <w:shd w:fill="EFF6FF" w:val="clear"/>
            <w:tcMar>
              <w:top w:type="dxa" w:w="80"/>
              <w:left w:type="dxa" w:w="120"/>
              <w:bottom w:type="dxa" w:w="80"/>
              <w:right w:type="dxa" w:w="120"/>
            </w:tcMar>
          </w:tcPr>
          <w:p>
            <w:r>
              <w:rPr>
                <w:rFonts w:ascii="Arial" w:cs="Arial" w:eastAsia="Arial" w:hAnsi="Arial"/>
                <w:b w:val="false"/>
                <w:bCs w:val="false"/>
                <w:color w:val="111827"/>
                <w:sz w:val="18"/>
                <w:szCs w:val="18"/>
              </w:rPr>
              <w:t xml:space="preserve">Usage by actor</w:t>
            </w:r>
          </w:p>
        </w:tc>
        <w:tc>
          <w:tcPr>
            <w:tcW w:type="dxa" w:w="6960"/>
            <w:tcBorders>
              <w:top w:val="single" w:color="D1D5DB" w:sz="1"/>
              <w:left w:val="single" w:color="D1D5DB" w:sz="1"/>
              <w:bottom w:val="single" w:color="D1D5DB" w:sz="1"/>
              <w:right w:val="single" w:color="D1D5DB" w:sz="1"/>
            </w:tcBorders>
            <w:shd w:fill="EFF6FF" w:val="clear"/>
            <w:tcMar>
              <w:top w:type="dxa" w:w="80"/>
              <w:left w:type="dxa" w:w="120"/>
              <w:bottom w:type="dxa" w:w="80"/>
              <w:right w:type="dxa" w:w="120"/>
            </w:tcMar>
          </w:tcPr>
          <w:p>
            <w:r>
              <w:rPr>
                <w:rFonts w:ascii="Arial" w:cs="Arial" w:eastAsia="Arial" w:hAnsi="Arial"/>
                <w:b w:val="false"/>
                <w:bCs w:val="false"/>
                <w:color w:val="111827"/>
                <w:sz w:val="18"/>
                <w:szCs w:val="18"/>
              </w:rPr>
              <w:t xml:space="preserve">Table: each human user and AI agent with their FIQ consumption for the period. Sortable by usage. Identifies the top-consuming agents for internal cost allocation.</w:t>
            </w:r>
          </w:p>
        </w:tc>
      </w:tr>
      <w:tr>
        <w:tc>
          <w:tcPr>
            <w:tcW w:type="dxa" w:w="2400"/>
            <w:tcBorders>
              <w:top w:val="single" w:color="D1D5DB" w:sz="1"/>
              <w:left w:val="single" w:color="D1D5DB" w:sz="1"/>
              <w:bottom w:val="single" w:color="D1D5DB" w:sz="1"/>
              <w:right w:val="single" w:color="D1D5DB" w:sz="1"/>
            </w:tcBorders>
            <w:tcMar>
              <w:top w:type="dxa" w:w="80"/>
              <w:left w:type="dxa" w:w="120"/>
              <w:bottom w:type="dxa" w:w="80"/>
              <w:right w:type="dxa" w:w="120"/>
            </w:tcMar>
          </w:tcPr>
          <w:p>
            <w:r>
              <w:rPr>
                <w:rFonts w:ascii="Arial" w:cs="Arial" w:eastAsia="Arial" w:hAnsi="Arial"/>
                <w:b w:val="false"/>
                <w:bCs w:val="false"/>
                <w:color w:val="111827"/>
                <w:sz w:val="18"/>
                <w:szCs w:val="18"/>
              </w:rPr>
              <w:t xml:space="preserve">Usage by pipeline</w:t>
            </w:r>
          </w:p>
        </w:tc>
        <w:tc>
          <w:tcPr>
            <w:tcW w:type="dxa" w:w="6960"/>
            <w:tcBorders>
              <w:top w:val="single" w:color="D1D5DB" w:sz="1"/>
              <w:left w:val="single" w:color="D1D5DB" w:sz="1"/>
              <w:bottom w:val="single" w:color="D1D5DB" w:sz="1"/>
              <w:right w:val="single" w:color="D1D5DB" w:sz="1"/>
            </w:tcBorders>
            <w:tcMar>
              <w:top w:type="dxa" w:w="80"/>
              <w:left w:type="dxa" w:w="120"/>
              <w:bottom w:type="dxa" w:w="80"/>
              <w:right w:type="dxa" w:w="120"/>
            </w:tcMar>
          </w:tcPr>
          <w:p>
            <w:r>
              <w:rPr>
                <w:rFonts w:ascii="Arial" w:cs="Arial" w:eastAsia="Arial" w:hAnsi="Arial"/>
                <w:b w:val="false"/>
                <w:bCs w:val="false"/>
                <w:color w:val="111827"/>
                <w:sz w:val="18"/>
                <w:szCs w:val="18"/>
              </w:rPr>
              <w:t xml:space="preserve">Table: each pipeline configuration with FCU consumed per run. Sortable by total FCU. Identifies the most expensive pipelines.</w:t>
            </w:r>
          </w:p>
        </w:tc>
      </w:tr>
      <w:tr>
        <w:tc>
          <w:tcPr>
            <w:tcW w:type="dxa" w:w="2400"/>
            <w:tcBorders>
              <w:top w:val="single" w:color="D1D5DB" w:sz="1"/>
              <w:left w:val="single" w:color="D1D5DB" w:sz="1"/>
              <w:bottom w:val="single" w:color="D1D5DB" w:sz="1"/>
              <w:right w:val="single" w:color="D1D5DB" w:sz="1"/>
            </w:tcBorders>
            <w:shd w:fill="EFF6FF" w:val="clear"/>
            <w:tcMar>
              <w:top w:type="dxa" w:w="80"/>
              <w:left w:type="dxa" w:w="120"/>
              <w:bottom w:type="dxa" w:w="80"/>
              <w:right w:type="dxa" w:w="120"/>
            </w:tcMar>
          </w:tcPr>
          <w:p>
            <w:r>
              <w:rPr>
                <w:rFonts w:ascii="Arial" w:cs="Arial" w:eastAsia="Arial" w:hAnsi="Arial"/>
                <w:b w:val="false"/>
                <w:bCs w:val="false"/>
                <w:color w:val="111827"/>
                <w:sz w:val="18"/>
                <w:szCs w:val="18"/>
              </w:rPr>
              <w:t xml:space="preserve">Historical usage (past 12 months)</w:t>
            </w:r>
          </w:p>
        </w:tc>
        <w:tc>
          <w:tcPr>
            <w:tcW w:type="dxa" w:w="6960"/>
            <w:tcBorders>
              <w:top w:val="single" w:color="D1D5DB" w:sz="1"/>
              <w:left w:val="single" w:color="D1D5DB" w:sz="1"/>
              <w:bottom w:val="single" w:color="D1D5DB" w:sz="1"/>
              <w:right w:val="single" w:color="D1D5DB" w:sz="1"/>
            </w:tcBorders>
            <w:shd w:fill="EFF6FF" w:val="clear"/>
            <w:tcMar>
              <w:top w:type="dxa" w:w="80"/>
              <w:left w:type="dxa" w:w="120"/>
              <w:bottom w:type="dxa" w:w="80"/>
              <w:right w:type="dxa" w:w="120"/>
            </w:tcMar>
          </w:tcPr>
          <w:p>
            <w:r>
              <w:rPr>
                <w:rFonts w:ascii="Arial" w:cs="Arial" w:eastAsia="Arial" w:hAnsi="Arial"/>
                <w:b w:val="false"/>
                <w:bCs w:val="false"/>
                <w:color w:val="111827"/>
                <w:sz w:val="18"/>
                <w:szCs w:val="18"/>
              </w:rPr>
              <w:t xml:space="preserve">Monthly bar chart: total FCU and FIQ for the past 12 billing periods. Overlaid with plan allocation line. Shows growth trend.</w:t>
            </w:r>
          </w:p>
        </w:tc>
      </w:tr>
      <w:tr>
        <w:tc>
          <w:tcPr>
            <w:tcW w:type="dxa" w:w="2400"/>
            <w:tcBorders>
              <w:top w:val="single" w:color="D1D5DB" w:sz="1"/>
              <w:left w:val="single" w:color="D1D5DB" w:sz="1"/>
              <w:bottom w:val="single" w:color="D1D5DB" w:sz="1"/>
              <w:right w:val="single" w:color="D1D5DB" w:sz="1"/>
            </w:tcBorders>
            <w:tcMar>
              <w:top w:type="dxa" w:w="80"/>
              <w:left w:type="dxa" w:w="120"/>
              <w:bottom w:type="dxa" w:w="80"/>
              <w:right w:type="dxa" w:w="120"/>
            </w:tcMar>
          </w:tcPr>
          <w:p>
            <w:r>
              <w:rPr>
                <w:rFonts w:ascii="Arial" w:cs="Arial" w:eastAsia="Arial" w:hAnsi="Arial"/>
                <w:b w:val="false"/>
                <w:bCs w:val="false"/>
                <w:color w:val="111827"/>
                <w:sz w:val="18"/>
                <w:szCs w:val="18"/>
              </w:rPr>
              <w:t xml:space="preserve">Export usage data</w:t>
            </w:r>
          </w:p>
        </w:tc>
        <w:tc>
          <w:tcPr>
            <w:tcW w:type="dxa" w:w="6960"/>
            <w:tcBorders>
              <w:top w:val="single" w:color="D1D5DB" w:sz="1"/>
              <w:left w:val="single" w:color="D1D5DB" w:sz="1"/>
              <w:bottom w:val="single" w:color="D1D5DB" w:sz="1"/>
              <w:right w:val="single" w:color="D1D5DB" w:sz="1"/>
            </w:tcBorders>
            <w:tcMar>
              <w:top w:type="dxa" w:w="80"/>
              <w:left w:type="dxa" w:w="120"/>
              <w:bottom w:type="dxa" w:w="80"/>
              <w:right w:type="dxa" w:w="120"/>
            </w:tcMar>
          </w:tcPr>
          <w:p>
            <w:r>
              <w:rPr>
                <w:rFonts w:ascii="Arial" w:cs="Arial" w:eastAsia="Arial" w:hAnsi="Arial"/>
                <w:b w:val="false"/>
                <w:bCs w:val="false"/>
                <w:color w:val="111827"/>
                <w:sz w:val="18"/>
                <w:szCs w:val="18"/>
              </w:rPr>
              <w:t xml:space="preserve">CSV export of all usage_events for the current or any past billing period. Used for internal cost allocation, dispute resolution, and audit.</w:t>
            </w:r>
          </w:p>
        </w:tc>
      </w:tr>
      <w:tr>
        <w:tc>
          <w:tcPr>
            <w:tcW w:type="dxa" w:w="2400"/>
            <w:tcBorders>
              <w:top w:val="single" w:color="D1D5DB" w:sz="1"/>
              <w:left w:val="single" w:color="D1D5DB" w:sz="1"/>
              <w:bottom w:val="single" w:color="D1D5DB" w:sz="1"/>
              <w:right w:val="single" w:color="D1D5DB" w:sz="1"/>
            </w:tcBorders>
            <w:shd w:fill="EFF6FF" w:val="clear"/>
            <w:tcMar>
              <w:top w:type="dxa" w:w="80"/>
              <w:left w:type="dxa" w:w="120"/>
              <w:bottom w:type="dxa" w:w="80"/>
              <w:right w:type="dxa" w:w="120"/>
            </w:tcMar>
          </w:tcPr>
          <w:p>
            <w:r>
              <w:rPr>
                <w:rFonts w:ascii="Arial" w:cs="Arial" w:eastAsia="Arial" w:hAnsi="Arial"/>
                <w:b w:val="false"/>
                <w:bCs w:val="false"/>
                <w:color w:val="111827"/>
                <w:sz w:val="18"/>
                <w:szCs w:val="18"/>
              </w:rPr>
              <w:t xml:space="preserve">Plan comparison</w:t>
            </w:r>
          </w:p>
        </w:tc>
        <w:tc>
          <w:tcPr>
            <w:tcW w:type="dxa" w:w="6960"/>
            <w:tcBorders>
              <w:top w:val="single" w:color="D1D5DB" w:sz="1"/>
              <w:left w:val="single" w:color="D1D5DB" w:sz="1"/>
              <w:bottom w:val="single" w:color="D1D5DB" w:sz="1"/>
              <w:right w:val="single" w:color="D1D5DB" w:sz="1"/>
            </w:tcBorders>
            <w:shd w:fill="EFF6FF" w:val="clear"/>
            <w:tcMar>
              <w:top w:type="dxa" w:w="80"/>
              <w:left w:type="dxa" w:w="120"/>
              <w:bottom w:type="dxa" w:w="80"/>
              <w:right w:type="dxa" w:w="120"/>
            </w:tcMar>
          </w:tcPr>
          <w:p>
            <w:r>
              <w:rPr>
                <w:rFonts w:ascii="Arial" w:cs="Arial" w:eastAsia="Arial" w:hAnsi="Arial"/>
                <w:b w:val="false"/>
                <w:bCs w:val="false"/>
                <w:color w:val="111827"/>
                <w:sz w:val="18"/>
                <w:szCs w:val="18"/>
              </w:rPr>
              <w:t xml:space="preserve">Shows current plan’s allocations vs. actual usage. Recommends upgrade if overage consistently exceeds 50% of base allocation for 3+ months. Not auto-triggered — informational only.</w:t>
            </w:r>
          </w:p>
        </w:tc>
      </w:tr>
    </w:tbl>
    <w:p>
      <w:pPr>
        <w:spacing w:after="80"/>
      </w:pPr>
    </w:p>
    <w:p>
      <w:pPr>
        <w:pStyle w:val="Heading1"/>
      </w:pPr>
      <w:r>
        <w:t xml:space="preserve">10. Revenue Expansion and Contraction Signals</w:t>
      </w:r>
    </w:p>
    <w:p>
      <w:pPr>
        <w:spacing w:after="160"/>
      </w:pPr>
      <w:r>
        <w:rPr>
          <w:rFonts w:ascii="Arial" w:cs="Arial" w:eastAsia="Arial" w:hAnsi="Arial"/>
          <w:color w:val="111827"/>
          <w:sz w:val="22"/>
          <w:szCs w:val="22"/>
        </w:rPr>
        <w:t xml:space="preserve">Usage data drives proactive commercial actions. The following signals are monitored to identify expansion opportunities and churn risks.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3200"/>
        <w:gridCol w:w="3760"/>
      </w:tblGrid>
      <w:tr>
        <w:tc>
          <w:tcPr>
            <w:tcW w:type="dxa" w:w="2400"/>
            <w:tcBorders>
              <w:top w:val="single" w:color="D1D5DB" w:sz="1"/>
              <w:left w:val="single" w:color="D1D5DB" w:sz="1"/>
              <w:bottom w:val="single" w:color="D1D5DB" w:sz="1"/>
              <w:right w:val="single" w:color="D1D5DB" w:sz="1"/>
            </w:tcBorders>
            <w:shd w:fill="1E3A5F" w:val="clear"/>
            <w:tcMar>
              <w:top w:type="dxa" w:w="80"/>
              <w:left w:type="dxa" w:w="120"/>
              <w:bottom w:type="dxa" w:w="80"/>
              <w:right w:type="dxa" w:w="120"/>
            </w:tcMar>
          </w:tcPr>
          <w:p>
            <w:r>
              <w:rPr>
                <w:rFonts w:ascii="Arial" w:cs="Arial" w:eastAsia="Arial" w:hAnsi="Arial"/>
                <w:b/>
                <w:bCs/>
                <w:color w:val="FFFFFF"/>
                <w:sz w:val="17"/>
                <w:szCs w:val="17"/>
              </w:rPr>
              <w:t xml:space="preserve">Signal</w:t>
            </w:r>
          </w:p>
        </w:tc>
        <w:tc>
          <w:tcPr>
            <w:tcW w:type="dxa" w:w="3200"/>
            <w:tcBorders>
              <w:top w:val="single" w:color="D1D5DB" w:sz="1"/>
              <w:left w:val="single" w:color="D1D5DB" w:sz="1"/>
              <w:bottom w:val="single" w:color="D1D5DB" w:sz="1"/>
              <w:right w:val="single" w:color="D1D5DB" w:sz="1"/>
            </w:tcBorders>
            <w:shd w:fill="1E3A5F" w:val="clear"/>
            <w:tcMar>
              <w:top w:type="dxa" w:w="80"/>
              <w:left w:type="dxa" w:w="120"/>
              <w:bottom w:type="dxa" w:w="80"/>
              <w:right w:type="dxa" w:w="120"/>
            </w:tcMar>
          </w:tcPr>
          <w:p>
            <w:r>
              <w:rPr>
                <w:rFonts w:ascii="Arial" w:cs="Arial" w:eastAsia="Arial" w:hAnsi="Arial"/>
                <w:b/>
                <w:bCs/>
                <w:color w:val="FFFFFF"/>
                <w:sz w:val="17"/>
                <w:szCs w:val="17"/>
              </w:rPr>
              <w:t xml:space="preserve">Trigger</w:t>
            </w:r>
          </w:p>
        </w:tc>
        <w:tc>
          <w:tcPr>
            <w:tcW w:type="dxa" w:w="3760"/>
            <w:tcBorders>
              <w:top w:val="single" w:color="D1D5DB" w:sz="1"/>
              <w:left w:val="single" w:color="D1D5DB" w:sz="1"/>
              <w:bottom w:val="single" w:color="D1D5DB" w:sz="1"/>
              <w:right w:val="single" w:color="D1D5DB" w:sz="1"/>
            </w:tcBorders>
            <w:shd w:fill="1E3A5F" w:val="clear"/>
            <w:tcMar>
              <w:top w:type="dxa" w:w="80"/>
              <w:left w:type="dxa" w:w="120"/>
              <w:bottom w:type="dxa" w:w="80"/>
              <w:right w:type="dxa" w:w="120"/>
            </w:tcMar>
          </w:tcPr>
          <w:p>
            <w:r>
              <w:rPr>
                <w:rFonts w:ascii="Arial" w:cs="Arial" w:eastAsia="Arial" w:hAnsi="Arial"/>
                <w:b/>
                <w:bCs/>
                <w:color w:val="FFFFFF"/>
                <w:sz w:val="17"/>
                <w:szCs w:val="17"/>
              </w:rPr>
              <w:t xml:space="preserve">Commercial Action</w:t>
            </w:r>
          </w:p>
        </w:tc>
      </w:tr>
      <w:tr>
        <w:tc>
          <w:tcPr>
            <w:tcW w:type="dxa" w:w="2400"/>
            <w:tcBorders>
              <w:top w:val="single" w:color="D1D5DB" w:sz="1"/>
              <w:left w:val="single" w:color="D1D5DB" w:sz="1"/>
              <w:bottom w:val="single" w:color="D1D5DB" w:sz="1"/>
              <w:right w:val="single" w:color="D1D5DB" w:sz="1"/>
            </w:tcBorders>
            <w:shd w:fill="EFF6FF" w:val="clear"/>
            <w:tcMar>
              <w:top w:type="dxa" w:w="80"/>
              <w:left w:type="dxa" w:w="120"/>
              <w:bottom w:type="dxa" w:w="80"/>
              <w:right w:type="dxa" w:w="120"/>
            </w:tcMar>
          </w:tcPr>
          <w:p>
            <w:r>
              <w:rPr>
                <w:rFonts w:ascii="Arial" w:cs="Arial" w:eastAsia="Arial" w:hAnsi="Arial"/>
                <w:b w:val="false"/>
                <w:bCs w:val="false"/>
                <w:color w:val="111827"/>
                <w:sz w:val="18"/>
                <w:szCs w:val="18"/>
              </w:rPr>
              <w:t xml:space="preserve">FCU overage &gt; 50% of allocation for 3+ months</w:t>
            </w:r>
          </w:p>
        </w:tc>
        <w:tc>
          <w:tcPr>
            <w:tcW w:type="dxa" w:w="3200"/>
            <w:tcBorders>
              <w:top w:val="single" w:color="D1D5DB" w:sz="1"/>
              <w:left w:val="single" w:color="D1D5DB" w:sz="1"/>
              <w:bottom w:val="single" w:color="D1D5DB" w:sz="1"/>
              <w:right w:val="single" w:color="D1D5DB" w:sz="1"/>
            </w:tcBorders>
            <w:shd w:fill="EFF6FF" w:val="clear"/>
            <w:tcMar>
              <w:top w:type="dxa" w:w="80"/>
              <w:left w:type="dxa" w:w="120"/>
              <w:bottom w:type="dxa" w:w="80"/>
              <w:right w:type="dxa" w:w="120"/>
            </w:tcMar>
          </w:tcPr>
          <w:p>
            <w:r>
              <w:rPr>
                <w:rFonts w:ascii="Arial" w:cs="Arial" w:eastAsia="Arial" w:hAnsi="Arial"/>
                <w:b w:val="false"/>
                <w:bCs w:val="false"/>
                <w:color w:val="111827"/>
                <w:sz w:val="18"/>
                <w:szCs w:val="18"/>
              </w:rPr>
              <w:t xml:space="preserve">Customer consistently processes more data than their plan includes.</w:t>
            </w:r>
          </w:p>
        </w:tc>
        <w:tc>
          <w:tcPr>
            <w:tcW w:type="dxa" w:w="3760"/>
            <w:tcBorders>
              <w:top w:val="single" w:color="D1D5DB" w:sz="1"/>
              <w:left w:val="single" w:color="D1D5DB" w:sz="1"/>
              <w:bottom w:val="single" w:color="D1D5DB" w:sz="1"/>
              <w:right w:val="single" w:color="D1D5DB" w:sz="1"/>
            </w:tcBorders>
            <w:shd w:fill="EFF6FF" w:val="clear"/>
            <w:tcMar>
              <w:top w:type="dxa" w:w="80"/>
              <w:left w:type="dxa" w:w="120"/>
              <w:bottom w:type="dxa" w:w="80"/>
              <w:right w:type="dxa" w:w="120"/>
            </w:tcMar>
          </w:tcPr>
          <w:p>
            <w:r>
              <w:rPr>
                <w:rFonts w:ascii="Arial" w:cs="Arial" w:eastAsia="Arial" w:hAnsi="Arial"/>
                <w:b w:val="false"/>
                <w:bCs w:val="false"/>
                <w:color w:val="111827"/>
                <w:sz w:val="18"/>
                <w:szCs w:val="18"/>
              </w:rPr>
              <w:t xml:space="preserve">Account manager reaches out with upgrade recommendation. Show cost comparison: current plan + overage vs. next plan.</w:t>
            </w:r>
          </w:p>
        </w:tc>
      </w:tr>
      <w:tr>
        <w:tc>
          <w:tcPr>
            <w:tcW w:type="dxa" w:w="2400"/>
            <w:tcBorders>
              <w:top w:val="single" w:color="D1D5DB" w:sz="1"/>
              <w:left w:val="single" w:color="D1D5DB" w:sz="1"/>
              <w:bottom w:val="single" w:color="D1D5DB" w:sz="1"/>
              <w:right w:val="single" w:color="D1D5DB" w:sz="1"/>
            </w:tcBorders>
            <w:tcMar>
              <w:top w:type="dxa" w:w="80"/>
              <w:left w:type="dxa" w:w="120"/>
              <w:bottom w:type="dxa" w:w="80"/>
              <w:right w:type="dxa" w:w="120"/>
            </w:tcMar>
          </w:tcPr>
          <w:p>
            <w:r>
              <w:rPr>
                <w:rFonts w:ascii="Arial" w:cs="Arial" w:eastAsia="Arial" w:hAnsi="Arial"/>
                <w:b w:val="false"/>
                <w:bCs w:val="false"/>
                <w:color w:val="111827"/>
                <w:sz w:val="18"/>
                <w:szCs w:val="18"/>
              </w:rPr>
              <w:t xml:space="preserve">FIQ overage growing month-over-month</w:t>
            </w:r>
          </w:p>
        </w:tc>
        <w:tc>
          <w:tcPr>
            <w:tcW w:type="dxa" w:w="3200"/>
            <w:tcBorders>
              <w:top w:val="single" w:color="D1D5DB" w:sz="1"/>
              <w:left w:val="single" w:color="D1D5DB" w:sz="1"/>
              <w:bottom w:val="single" w:color="D1D5DB" w:sz="1"/>
              <w:right w:val="single" w:color="D1D5DB" w:sz="1"/>
            </w:tcBorders>
            <w:tcMar>
              <w:top w:type="dxa" w:w="80"/>
              <w:left w:type="dxa" w:w="120"/>
              <w:bottom w:type="dxa" w:w="80"/>
              <w:right w:type="dxa" w:w="120"/>
            </w:tcMar>
          </w:tcPr>
          <w:p>
            <w:r>
              <w:rPr>
                <w:rFonts w:ascii="Arial" w:cs="Arial" w:eastAsia="Arial" w:hAnsi="Arial"/>
                <w:b w:val="false"/>
                <w:bCs w:val="false"/>
                <w:color w:val="111827"/>
                <w:sz w:val="18"/>
                <w:szCs w:val="18"/>
              </w:rPr>
              <w:t xml:space="preserve">Customer is adding AI agents or increasing agent query frequency.</w:t>
            </w:r>
          </w:p>
        </w:tc>
        <w:tc>
          <w:tcPr>
            <w:tcW w:type="dxa" w:w="3760"/>
            <w:tcBorders>
              <w:top w:val="single" w:color="D1D5DB" w:sz="1"/>
              <w:left w:val="single" w:color="D1D5DB" w:sz="1"/>
              <w:bottom w:val="single" w:color="D1D5DB" w:sz="1"/>
              <w:right w:val="single" w:color="D1D5DB" w:sz="1"/>
            </w:tcBorders>
            <w:tcMar>
              <w:top w:type="dxa" w:w="80"/>
              <w:left w:type="dxa" w:w="120"/>
              <w:bottom w:type="dxa" w:w="80"/>
              <w:right w:type="dxa" w:w="120"/>
            </w:tcMar>
          </w:tcPr>
          <w:p>
            <w:r>
              <w:rPr>
                <w:rFonts w:ascii="Arial" w:cs="Arial" w:eastAsia="Arial" w:hAnsi="Arial"/>
                <w:b w:val="false"/>
                <w:bCs w:val="false"/>
                <w:color w:val="111827"/>
                <w:sz w:val="18"/>
                <w:szCs w:val="18"/>
              </w:rPr>
              <w:t xml:space="preserve">Positive signal: AI adoption is accelerating. Offer custom enterprise pricing if FIQ &gt; 50K/month.</w:t>
            </w:r>
          </w:p>
        </w:tc>
      </w:tr>
      <w:tr>
        <w:tc>
          <w:tcPr>
            <w:tcW w:type="dxa" w:w="2400"/>
            <w:tcBorders>
              <w:top w:val="single" w:color="D1D5DB" w:sz="1"/>
              <w:left w:val="single" w:color="D1D5DB" w:sz="1"/>
              <w:bottom w:val="single" w:color="D1D5DB" w:sz="1"/>
              <w:right w:val="single" w:color="D1D5DB" w:sz="1"/>
            </w:tcBorders>
            <w:shd w:fill="EFF6FF" w:val="clear"/>
            <w:tcMar>
              <w:top w:type="dxa" w:w="80"/>
              <w:left w:type="dxa" w:w="120"/>
              <w:bottom w:type="dxa" w:w="80"/>
              <w:right w:type="dxa" w:w="120"/>
            </w:tcMar>
          </w:tcPr>
          <w:p>
            <w:r>
              <w:rPr>
                <w:rFonts w:ascii="Arial" w:cs="Arial" w:eastAsia="Arial" w:hAnsi="Arial"/>
                <w:b w:val="false"/>
                <w:bCs w:val="false"/>
                <w:color w:val="111827"/>
                <w:sz w:val="18"/>
                <w:szCs w:val="18"/>
              </w:rPr>
              <w:t xml:space="preserve">New API key created</w:t>
            </w:r>
          </w:p>
        </w:tc>
        <w:tc>
          <w:tcPr>
            <w:tcW w:type="dxa" w:w="3200"/>
            <w:tcBorders>
              <w:top w:val="single" w:color="D1D5DB" w:sz="1"/>
              <w:left w:val="single" w:color="D1D5DB" w:sz="1"/>
              <w:bottom w:val="single" w:color="D1D5DB" w:sz="1"/>
              <w:right w:val="single" w:color="D1D5DB" w:sz="1"/>
            </w:tcBorders>
            <w:shd w:fill="EFF6FF" w:val="clear"/>
            <w:tcMar>
              <w:top w:type="dxa" w:w="80"/>
              <w:left w:type="dxa" w:w="120"/>
              <w:bottom w:type="dxa" w:w="80"/>
              <w:right w:type="dxa" w:w="120"/>
            </w:tcMar>
          </w:tcPr>
          <w:p>
            <w:r>
              <w:rPr>
                <w:rFonts w:ascii="Arial" w:cs="Arial" w:eastAsia="Arial" w:hAnsi="Arial"/>
                <w:b w:val="false"/>
                <w:bCs w:val="false"/>
                <w:color w:val="111827"/>
                <w:sz w:val="18"/>
                <w:szCs w:val="18"/>
              </w:rPr>
              <w:t xml:space="preserve">Customer is connecting a new AI agent to PipeLedger.</w:t>
            </w:r>
          </w:p>
        </w:tc>
        <w:tc>
          <w:tcPr>
            <w:tcW w:type="dxa" w:w="3760"/>
            <w:tcBorders>
              <w:top w:val="single" w:color="D1D5DB" w:sz="1"/>
              <w:left w:val="single" w:color="D1D5DB" w:sz="1"/>
              <w:bottom w:val="single" w:color="D1D5DB" w:sz="1"/>
              <w:right w:val="single" w:color="D1D5DB" w:sz="1"/>
            </w:tcBorders>
            <w:shd w:fill="EFF6FF" w:val="clear"/>
            <w:tcMar>
              <w:top w:type="dxa" w:w="80"/>
              <w:left w:type="dxa" w:w="120"/>
              <w:bottom w:type="dxa" w:w="80"/>
              <w:right w:type="dxa" w:w="120"/>
            </w:tcMar>
          </w:tcPr>
          <w:p>
            <w:r>
              <w:rPr>
                <w:rFonts w:ascii="Arial" w:cs="Arial" w:eastAsia="Arial" w:hAnsi="Arial"/>
                <w:b w:val="false"/>
                <w:bCs w:val="false"/>
                <w:color w:val="111827"/>
                <w:sz w:val="18"/>
                <w:szCs w:val="18"/>
              </w:rPr>
              <w:t xml:space="preserve">Expansion signal. Follow up to understand use case and ensure good integration experience.</w:t>
            </w:r>
          </w:p>
        </w:tc>
      </w:tr>
      <w:tr>
        <w:tc>
          <w:tcPr>
            <w:tcW w:type="dxa" w:w="2400"/>
            <w:tcBorders>
              <w:top w:val="single" w:color="D1D5DB" w:sz="1"/>
              <w:left w:val="single" w:color="D1D5DB" w:sz="1"/>
              <w:bottom w:val="single" w:color="D1D5DB" w:sz="1"/>
              <w:right w:val="single" w:color="D1D5DB" w:sz="1"/>
            </w:tcBorders>
            <w:tcMar>
              <w:top w:type="dxa" w:w="80"/>
              <w:left w:type="dxa" w:w="120"/>
              <w:bottom w:type="dxa" w:w="80"/>
              <w:right w:type="dxa" w:w="120"/>
            </w:tcMar>
          </w:tcPr>
          <w:p>
            <w:r>
              <w:rPr>
                <w:rFonts w:ascii="Arial" w:cs="Arial" w:eastAsia="Arial" w:hAnsi="Arial"/>
                <w:b w:val="false"/>
                <w:bCs w:val="false"/>
                <w:color w:val="111827"/>
                <w:sz w:val="18"/>
                <w:szCs w:val="18"/>
              </w:rPr>
              <w:t xml:space="preserve">FCU usage declining month-over-month</w:t>
            </w:r>
          </w:p>
        </w:tc>
        <w:tc>
          <w:tcPr>
            <w:tcW w:type="dxa" w:w="3200"/>
            <w:tcBorders>
              <w:top w:val="single" w:color="D1D5DB" w:sz="1"/>
              <w:left w:val="single" w:color="D1D5DB" w:sz="1"/>
              <w:bottom w:val="single" w:color="D1D5DB" w:sz="1"/>
              <w:right w:val="single" w:color="D1D5DB" w:sz="1"/>
            </w:tcBorders>
            <w:tcMar>
              <w:top w:type="dxa" w:w="80"/>
              <w:left w:type="dxa" w:w="120"/>
              <w:bottom w:type="dxa" w:w="80"/>
              <w:right w:type="dxa" w:w="120"/>
            </w:tcMar>
          </w:tcPr>
          <w:p>
            <w:r>
              <w:rPr>
                <w:rFonts w:ascii="Arial" w:cs="Arial" w:eastAsia="Arial" w:hAnsi="Arial"/>
                <w:b w:val="false"/>
                <w:bCs w:val="false"/>
                <w:color w:val="111827"/>
                <w:sz w:val="18"/>
                <w:szCs w:val="18"/>
              </w:rPr>
              <w:t xml:space="preserve">Customer is processing less data than before.</w:t>
            </w:r>
          </w:p>
        </w:tc>
        <w:tc>
          <w:tcPr>
            <w:tcW w:type="dxa" w:w="3760"/>
            <w:tcBorders>
              <w:top w:val="single" w:color="D1D5DB" w:sz="1"/>
              <w:left w:val="single" w:color="D1D5DB" w:sz="1"/>
              <w:bottom w:val="single" w:color="D1D5DB" w:sz="1"/>
              <w:right w:val="single" w:color="D1D5DB" w:sz="1"/>
            </w:tcBorders>
            <w:tcMar>
              <w:top w:type="dxa" w:w="80"/>
              <w:left w:type="dxa" w:w="120"/>
              <w:bottom w:type="dxa" w:w="80"/>
              <w:right w:type="dxa" w:w="120"/>
            </w:tcMar>
          </w:tcPr>
          <w:p>
            <w:r>
              <w:rPr>
                <w:rFonts w:ascii="Arial" w:cs="Arial" w:eastAsia="Arial" w:hAnsi="Arial"/>
                <w:b w:val="false"/>
                <w:bCs w:val="false"/>
                <w:color w:val="111827"/>
                <w:sz w:val="18"/>
                <w:szCs w:val="18"/>
              </w:rPr>
              <w:t xml:space="preserve">Churn risk. Investigate: did they switch ERPs? Reduce entities? Encounter data quality issues?</w:t>
            </w:r>
          </w:p>
        </w:tc>
      </w:tr>
      <w:tr>
        <w:tc>
          <w:tcPr>
            <w:tcW w:type="dxa" w:w="2400"/>
            <w:tcBorders>
              <w:top w:val="single" w:color="D1D5DB" w:sz="1"/>
              <w:left w:val="single" w:color="D1D5DB" w:sz="1"/>
              <w:bottom w:val="single" w:color="D1D5DB" w:sz="1"/>
              <w:right w:val="single" w:color="D1D5DB" w:sz="1"/>
            </w:tcBorders>
            <w:shd w:fill="EFF6FF" w:val="clear"/>
            <w:tcMar>
              <w:top w:type="dxa" w:w="80"/>
              <w:left w:type="dxa" w:w="120"/>
              <w:bottom w:type="dxa" w:w="80"/>
              <w:right w:type="dxa" w:w="120"/>
            </w:tcMar>
          </w:tcPr>
          <w:p>
            <w:r>
              <w:rPr>
                <w:rFonts w:ascii="Arial" w:cs="Arial" w:eastAsia="Arial" w:hAnsi="Arial"/>
                <w:b w:val="false"/>
                <w:bCs w:val="false"/>
                <w:color w:val="111827"/>
                <w:sz w:val="18"/>
                <w:szCs w:val="18"/>
              </w:rPr>
              <w:t xml:space="preserve">FIQ usage near zero for 30+ days</w:t>
            </w:r>
          </w:p>
        </w:tc>
        <w:tc>
          <w:tcPr>
            <w:tcW w:type="dxa" w:w="3200"/>
            <w:tcBorders>
              <w:top w:val="single" w:color="D1D5DB" w:sz="1"/>
              <w:left w:val="single" w:color="D1D5DB" w:sz="1"/>
              <w:bottom w:val="single" w:color="D1D5DB" w:sz="1"/>
              <w:right w:val="single" w:color="D1D5DB" w:sz="1"/>
            </w:tcBorders>
            <w:shd w:fill="EFF6FF" w:val="clear"/>
            <w:tcMar>
              <w:top w:type="dxa" w:w="80"/>
              <w:left w:type="dxa" w:w="120"/>
              <w:bottom w:type="dxa" w:w="80"/>
              <w:right w:type="dxa" w:w="120"/>
            </w:tcMar>
          </w:tcPr>
          <w:p>
            <w:r>
              <w:rPr>
                <w:rFonts w:ascii="Arial" w:cs="Arial" w:eastAsia="Arial" w:hAnsi="Arial"/>
                <w:b w:val="false"/>
                <w:bCs w:val="false"/>
                <w:color w:val="111827"/>
                <w:sz w:val="18"/>
                <w:szCs w:val="18"/>
              </w:rPr>
              <w:t xml:space="preserve">No human or agent is querying PipeLedger data.</w:t>
            </w:r>
          </w:p>
        </w:tc>
        <w:tc>
          <w:tcPr>
            <w:tcW w:type="dxa" w:w="3760"/>
            <w:tcBorders>
              <w:top w:val="single" w:color="D1D5DB" w:sz="1"/>
              <w:left w:val="single" w:color="D1D5DB" w:sz="1"/>
              <w:bottom w:val="single" w:color="D1D5DB" w:sz="1"/>
              <w:right w:val="single" w:color="D1D5DB" w:sz="1"/>
            </w:tcBorders>
            <w:shd w:fill="EFF6FF" w:val="clear"/>
            <w:tcMar>
              <w:top w:type="dxa" w:w="80"/>
              <w:left w:type="dxa" w:w="120"/>
              <w:bottom w:type="dxa" w:w="80"/>
              <w:right w:type="dxa" w:w="120"/>
            </w:tcMar>
          </w:tcPr>
          <w:p>
            <w:r>
              <w:rPr>
                <w:rFonts w:ascii="Arial" w:cs="Arial" w:eastAsia="Arial" w:hAnsi="Arial"/>
                <w:b w:val="false"/>
                <w:bCs w:val="false"/>
                <w:color w:val="111827"/>
                <w:sz w:val="18"/>
                <w:szCs w:val="18"/>
              </w:rPr>
              <w:t xml:space="preserve">Critical churn risk. The data exists but nobody is consuming it. Reach out immediately.</w:t>
            </w:r>
          </w:p>
        </w:tc>
      </w:tr>
      <w:tr>
        <w:tc>
          <w:tcPr>
            <w:tcW w:type="dxa" w:w="2400"/>
            <w:tcBorders>
              <w:top w:val="single" w:color="D1D5DB" w:sz="1"/>
              <w:left w:val="single" w:color="D1D5DB" w:sz="1"/>
              <w:bottom w:val="single" w:color="D1D5DB" w:sz="1"/>
              <w:right w:val="single" w:color="D1D5DB" w:sz="1"/>
            </w:tcBorders>
            <w:tcMar>
              <w:top w:type="dxa" w:w="80"/>
              <w:left w:type="dxa" w:w="120"/>
              <w:bottom w:type="dxa" w:w="80"/>
              <w:right w:type="dxa" w:w="120"/>
            </w:tcMar>
          </w:tcPr>
          <w:p>
            <w:r>
              <w:rPr>
                <w:rFonts w:ascii="Arial" w:cs="Arial" w:eastAsia="Arial" w:hAnsi="Arial"/>
                <w:b w:val="false"/>
                <w:bCs w:val="false"/>
                <w:color w:val="111827"/>
                <w:sz w:val="18"/>
                <w:szCs w:val="18"/>
              </w:rPr>
              <w:t xml:space="preserve">Payment method update required</w:t>
            </w:r>
          </w:p>
        </w:tc>
        <w:tc>
          <w:tcPr>
            <w:tcW w:type="dxa" w:w="3200"/>
            <w:tcBorders>
              <w:top w:val="single" w:color="D1D5DB" w:sz="1"/>
              <w:left w:val="single" w:color="D1D5DB" w:sz="1"/>
              <w:bottom w:val="single" w:color="D1D5DB" w:sz="1"/>
              <w:right w:val="single" w:color="D1D5DB" w:sz="1"/>
            </w:tcBorders>
            <w:tcMar>
              <w:top w:type="dxa" w:w="80"/>
              <w:left w:type="dxa" w:w="120"/>
              <w:bottom w:type="dxa" w:w="80"/>
              <w:right w:type="dxa" w:w="120"/>
            </w:tcMar>
          </w:tcPr>
          <w:p>
            <w:r>
              <w:rPr>
                <w:rFonts w:ascii="Arial" w:cs="Arial" w:eastAsia="Arial" w:hAnsi="Arial"/>
                <w:b w:val="false"/>
                <w:bCs w:val="false"/>
                <w:color w:val="111827"/>
                <w:sz w:val="18"/>
                <w:szCs w:val="18"/>
              </w:rPr>
              <w:t xml:space="preserve">Credit card expiring within 30 days.</w:t>
            </w:r>
          </w:p>
        </w:tc>
        <w:tc>
          <w:tcPr>
            <w:tcW w:type="dxa" w:w="3760"/>
            <w:tcBorders>
              <w:top w:val="single" w:color="D1D5DB" w:sz="1"/>
              <w:left w:val="single" w:color="D1D5DB" w:sz="1"/>
              <w:bottom w:val="single" w:color="D1D5DB" w:sz="1"/>
              <w:right w:val="single" w:color="D1D5DB" w:sz="1"/>
            </w:tcBorders>
            <w:tcMar>
              <w:top w:type="dxa" w:w="80"/>
              <w:left w:type="dxa" w:w="120"/>
              <w:bottom w:type="dxa" w:w="80"/>
              <w:right w:type="dxa" w:w="120"/>
            </w:tcMar>
          </w:tcPr>
          <w:p>
            <w:r>
              <w:rPr>
                <w:rFonts w:ascii="Arial" w:cs="Arial" w:eastAsia="Arial" w:hAnsi="Arial"/>
                <w:b w:val="false"/>
                <w:bCs w:val="false"/>
                <w:color w:val="111827"/>
                <w:sz w:val="18"/>
                <w:szCs w:val="18"/>
              </w:rPr>
              <w:t xml:space="preserve">Proactive notification via email and in-app banner. Prevent involuntary churn.</w:t>
            </w:r>
          </w:p>
        </w:tc>
      </w:tr>
      <w:tr>
        <w:tc>
          <w:tcPr>
            <w:tcW w:type="dxa" w:w="2400"/>
            <w:tcBorders>
              <w:top w:val="single" w:color="D1D5DB" w:sz="1"/>
              <w:left w:val="single" w:color="D1D5DB" w:sz="1"/>
              <w:bottom w:val="single" w:color="D1D5DB" w:sz="1"/>
              <w:right w:val="single" w:color="D1D5DB" w:sz="1"/>
            </w:tcBorders>
            <w:shd w:fill="EFF6FF" w:val="clear"/>
            <w:tcMar>
              <w:top w:type="dxa" w:w="80"/>
              <w:left w:type="dxa" w:w="120"/>
              <w:bottom w:type="dxa" w:w="80"/>
              <w:right w:type="dxa" w:w="120"/>
            </w:tcMar>
          </w:tcPr>
          <w:p>
            <w:r>
              <w:rPr>
                <w:rFonts w:ascii="Arial" w:cs="Arial" w:eastAsia="Arial" w:hAnsi="Arial"/>
                <w:b w:val="false"/>
                <w:bCs w:val="false"/>
                <w:color w:val="111827"/>
                <w:sz w:val="18"/>
                <w:szCs w:val="18"/>
              </w:rPr>
              <w:t xml:space="preserve">Second connector added</w:t>
            </w:r>
          </w:p>
        </w:tc>
        <w:tc>
          <w:tcPr>
            <w:tcW w:type="dxa" w:w="3200"/>
            <w:tcBorders>
              <w:top w:val="single" w:color="D1D5DB" w:sz="1"/>
              <w:left w:val="single" w:color="D1D5DB" w:sz="1"/>
              <w:bottom w:val="single" w:color="D1D5DB" w:sz="1"/>
              <w:right w:val="single" w:color="D1D5DB" w:sz="1"/>
            </w:tcBorders>
            <w:shd w:fill="EFF6FF" w:val="clear"/>
            <w:tcMar>
              <w:top w:type="dxa" w:w="80"/>
              <w:left w:type="dxa" w:w="120"/>
              <w:bottom w:type="dxa" w:w="80"/>
              <w:right w:type="dxa" w:w="120"/>
            </w:tcMar>
          </w:tcPr>
          <w:p>
            <w:r>
              <w:rPr>
                <w:rFonts w:ascii="Arial" w:cs="Arial" w:eastAsia="Arial" w:hAnsi="Arial"/>
                <w:b w:val="false"/>
                <w:bCs w:val="false"/>
                <w:color w:val="111827"/>
                <w:sz w:val="18"/>
                <w:szCs w:val="18"/>
              </w:rPr>
              <w:t xml:space="preserve">Customer connecting a second ERP or data source.</w:t>
            </w:r>
          </w:p>
        </w:tc>
        <w:tc>
          <w:tcPr>
            <w:tcW w:type="dxa" w:w="3760"/>
            <w:tcBorders>
              <w:top w:val="single" w:color="D1D5DB" w:sz="1"/>
              <w:left w:val="single" w:color="D1D5DB" w:sz="1"/>
              <w:bottom w:val="single" w:color="D1D5DB" w:sz="1"/>
              <w:right w:val="single" w:color="D1D5DB" w:sz="1"/>
            </w:tcBorders>
            <w:shd w:fill="EFF6FF" w:val="clear"/>
            <w:tcMar>
              <w:top w:type="dxa" w:w="80"/>
              <w:left w:type="dxa" w:w="120"/>
              <w:bottom w:type="dxa" w:w="80"/>
              <w:right w:type="dxa" w:w="120"/>
            </w:tcMar>
          </w:tcPr>
          <w:p>
            <w:r>
              <w:rPr>
                <w:rFonts w:ascii="Arial" w:cs="Arial" w:eastAsia="Arial" w:hAnsi="Arial"/>
                <w:b w:val="false"/>
                <w:bCs w:val="false"/>
                <w:color w:val="111827"/>
                <w:sz w:val="18"/>
                <w:szCs w:val="18"/>
              </w:rPr>
              <w:t xml:space="preserve">Expansion signal. May need Pro plan if on Premium.</w:t>
            </w:r>
          </w:p>
        </w:tc>
      </w:tr>
      <w:tr>
        <w:tc>
          <w:tcPr>
            <w:tcW w:type="dxa" w:w="2400"/>
            <w:tcBorders>
              <w:top w:val="single" w:color="D1D5DB" w:sz="1"/>
              <w:left w:val="single" w:color="D1D5DB" w:sz="1"/>
              <w:bottom w:val="single" w:color="D1D5DB" w:sz="1"/>
              <w:right w:val="single" w:color="D1D5DB" w:sz="1"/>
            </w:tcBorders>
            <w:tcMar>
              <w:top w:type="dxa" w:w="80"/>
              <w:left w:type="dxa" w:w="120"/>
              <w:bottom w:type="dxa" w:w="80"/>
              <w:right w:type="dxa" w:w="120"/>
            </w:tcMar>
          </w:tcPr>
          <w:p>
            <w:r>
              <w:rPr>
                <w:rFonts w:ascii="Arial" w:cs="Arial" w:eastAsia="Arial" w:hAnsi="Arial"/>
                <w:b w:val="false"/>
                <w:bCs w:val="false"/>
                <w:color w:val="111827"/>
                <w:sz w:val="18"/>
                <w:szCs w:val="18"/>
              </w:rPr>
              <w:t xml:space="preserve">Dual-checkpoint enabled</w:t>
            </w:r>
          </w:p>
        </w:tc>
        <w:tc>
          <w:tcPr>
            <w:tcW w:type="dxa" w:w="3200"/>
            <w:tcBorders>
              <w:top w:val="single" w:color="D1D5DB" w:sz="1"/>
              <w:left w:val="single" w:color="D1D5DB" w:sz="1"/>
              <w:bottom w:val="single" w:color="D1D5DB" w:sz="1"/>
              <w:right w:val="single" w:color="D1D5DB" w:sz="1"/>
            </w:tcBorders>
            <w:tcMar>
              <w:top w:type="dxa" w:w="80"/>
              <w:left w:type="dxa" w:w="120"/>
              <w:bottom w:type="dxa" w:w="80"/>
              <w:right w:type="dxa" w:w="120"/>
            </w:tcMar>
          </w:tcPr>
          <w:p>
            <w:r>
              <w:rPr>
                <w:rFonts w:ascii="Arial" w:cs="Arial" w:eastAsia="Arial" w:hAnsi="Arial"/>
                <w:b w:val="false"/>
                <w:bCs w:val="false"/>
                <w:color w:val="111827"/>
                <w:sz w:val="18"/>
                <w:szCs w:val="18"/>
              </w:rPr>
              <w:t xml:space="preserve">Customer activates input + output review workflow.</w:t>
            </w:r>
          </w:p>
        </w:tc>
        <w:tc>
          <w:tcPr>
            <w:tcW w:type="dxa" w:w="3760"/>
            <w:tcBorders>
              <w:top w:val="single" w:color="D1D5DB" w:sz="1"/>
              <w:left w:val="single" w:color="D1D5DB" w:sz="1"/>
              <w:bottom w:val="single" w:color="D1D5DB" w:sz="1"/>
              <w:right w:val="single" w:color="D1D5DB" w:sz="1"/>
            </w:tcBorders>
            <w:tcMar>
              <w:top w:type="dxa" w:w="80"/>
              <w:left w:type="dxa" w:w="120"/>
              <w:bottom w:type="dxa" w:w="80"/>
              <w:right w:type="dxa" w:w="120"/>
            </w:tcMar>
          </w:tcPr>
          <w:p>
            <w:r>
              <w:rPr>
                <w:rFonts w:ascii="Arial" w:cs="Arial" w:eastAsia="Arial" w:hAnsi="Arial"/>
                <w:b w:val="false"/>
                <w:bCs w:val="false"/>
                <w:color w:val="111827"/>
                <w:sz w:val="18"/>
                <w:szCs w:val="18"/>
              </w:rPr>
              <w:t xml:space="preserve">Maturity signal. Customer is taking data governance seriously. Good candidate for Enterprise.</w:t>
            </w:r>
          </w:p>
        </w:tc>
      </w:tr>
    </w:tbl>
    <w:p>
      <w:pPr>
        <w:spacing w:after="80"/>
      </w:pPr>
    </w:p>
    <w:p>
      <w:pPr>
        <w:pStyle w:val="Heading1"/>
      </w:pPr>
      <w:r>
        <w:t xml:space="preserve">11. Unit Economics Targets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200"/>
        <w:gridCol w:w="2800"/>
        <w:gridCol w:w="3360"/>
      </w:tblGrid>
      <w:tr>
        <w:tc>
          <w:tcPr>
            <w:tcW w:type="dxa" w:w="3200"/>
            <w:tcBorders>
              <w:top w:val="single" w:color="D1D5DB" w:sz="1"/>
              <w:left w:val="single" w:color="D1D5DB" w:sz="1"/>
              <w:bottom w:val="single" w:color="D1D5DB" w:sz="1"/>
              <w:right w:val="single" w:color="D1D5DB" w:sz="1"/>
            </w:tcBorders>
            <w:shd w:fill="1E3A5F" w:val="clear"/>
            <w:tcMar>
              <w:top w:type="dxa" w:w="80"/>
              <w:left w:type="dxa" w:w="120"/>
              <w:bottom w:type="dxa" w:w="80"/>
              <w:right w:type="dxa" w:w="120"/>
            </w:tcMar>
          </w:tcPr>
          <w:p>
            <w:r>
              <w:rPr>
                <w:rFonts w:ascii="Arial" w:cs="Arial" w:eastAsia="Arial" w:hAnsi="Arial"/>
                <w:b/>
                <w:bCs/>
                <w:color w:val="FFFFFF"/>
                <w:sz w:val="17"/>
                <w:szCs w:val="17"/>
              </w:rPr>
              <w:t xml:space="preserve">Metric</w:t>
            </w:r>
          </w:p>
        </w:tc>
        <w:tc>
          <w:tcPr>
            <w:tcW w:type="dxa" w:w="2800"/>
            <w:tcBorders>
              <w:top w:val="single" w:color="D1D5DB" w:sz="1"/>
              <w:left w:val="single" w:color="D1D5DB" w:sz="1"/>
              <w:bottom w:val="single" w:color="D1D5DB" w:sz="1"/>
              <w:right w:val="single" w:color="D1D5DB" w:sz="1"/>
            </w:tcBorders>
            <w:shd w:fill="1E3A5F" w:val="clear"/>
            <w:tcMar>
              <w:top w:type="dxa" w:w="80"/>
              <w:left w:type="dxa" w:w="120"/>
              <w:bottom w:type="dxa" w:w="80"/>
              <w:right w:type="dxa" w:w="120"/>
            </w:tcMar>
          </w:tcPr>
          <w:p>
            <w:r>
              <w:rPr>
                <w:rFonts w:ascii="Arial" w:cs="Arial" w:eastAsia="Arial" w:hAnsi="Arial"/>
                <w:b/>
                <w:bCs/>
                <w:color w:val="FFFFFF"/>
                <w:sz w:val="17"/>
                <w:szCs w:val="17"/>
              </w:rPr>
              <w:t xml:space="preserve">Target</w:t>
            </w:r>
          </w:p>
        </w:tc>
        <w:tc>
          <w:tcPr>
            <w:tcW w:type="dxa" w:w="3360"/>
            <w:tcBorders>
              <w:top w:val="single" w:color="D1D5DB" w:sz="1"/>
              <w:left w:val="single" w:color="D1D5DB" w:sz="1"/>
              <w:bottom w:val="single" w:color="D1D5DB" w:sz="1"/>
              <w:right w:val="single" w:color="D1D5DB" w:sz="1"/>
            </w:tcBorders>
            <w:shd w:fill="1E3A5F" w:val="clear"/>
            <w:tcMar>
              <w:top w:type="dxa" w:w="80"/>
              <w:left w:type="dxa" w:w="120"/>
              <w:bottom w:type="dxa" w:w="80"/>
              <w:right w:type="dxa" w:w="120"/>
            </w:tcMar>
          </w:tcPr>
          <w:p>
            <w:r>
              <w:rPr>
                <w:rFonts w:ascii="Arial" w:cs="Arial" w:eastAsia="Arial" w:hAnsi="Arial"/>
                <w:b/>
                <w:bCs/>
                <w:color w:val="FFFFFF"/>
                <w:sz w:val="17"/>
                <w:szCs w:val="17"/>
              </w:rPr>
              <w:t xml:space="preserve">Rationale</w:t>
            </w:r>
          </w:p>
        </w:tc>
      </w:tr>
      <w:tr>
        <w:tc>
          <w:tcPr>
            <w:tcW w:type="dxa" w:w="3200"/>
            <w:tcBorders>
              <w:top w:val="single" w:color="D1D5DB" w:sz="1"/>
              <w:left w:val="single" w:color="D1D5DB" w:sz="1"/>
              <w:bottom w:val="single" w:color="D1D5DB" w:sz="1"/>
              <w:right w:val="single" w:color="D1D5DB" w:sz="1"/>
            </w:tcBorders>
            <w:shd w:fill="EFF6FF" w:val="clear"/>
            <w:tcMar>
              <w:top w:type="dxa" w:w="80"/>
              <w:left w:type="dxa" w:w="120"/>
              <w:bottom w:type="dxa" w:w="80"/>
              <w:right w:type="dxa" w:w="120"/>
            </w:tcMar>
          </w:tcPr>
          <w:p>
            <w:r>
              <w:rPr>
                <w:rFonts w:ascii="Arial" w:cs="Arial" w:eastAsia="Arial" w:hAnsi="Arial"/>
                <w:b w:val="false"/>
                <w:bCs w:val="false"/>
                <w:color w:val="111827"/>
                <w:sz w:val="18"/>
                <w:szCs w:val="18"/>
              </w:rPr>
              <w:t xml:space="preserve">Gross margin (subscription)</w:t>
            </w:r>
          </w:p>
        </w:tc>
        <w:tc>
          <w:tcPr>
            <w:tcW w:type="dxa" w:w="2800"/>
            <w:tcBorders>
              <w:top w:val="single" w:color="D1D5DB" w:sz="1"/>
              <w:left w:val="single" w:color="D1D5DB" w:sz="1"/>
              <w:bottom w:val="single" w:color="D1D5DB" w:sz="1"/>
              <w:right w:val="single" w:color="D1D5DB" w:sz="1"/>
            </w:tcBorders>
            <w:shd w:fill="EFF6FF" w:val="clear"/>
            <w:tcMar>
              <w:top w:type="dxa" w:w="80"/>
              <w:left w:type="dxa" w:w="120"/>
              <w:bottom w:type="dxa" w:w="80"/>
              <w:right w:type="dxa" w:w="120"/>
            </w:tcMar>
          </w:tcPr>
          <w:p>
            <w:r>
              <w:rPr>
                <w:rFonts w:ascii="Arial" w:cs="Arial" w:eastAsia="Arial" w:hAnsi="Arial"/>
                <w:b w:val="false"/>
                <w:bCs w:val="false"/>
                <w:color w:val="111827"/>
                <w:sz w:val="18"/>
                <w:szCs w:val="18"/>
              </w:rPr>
              <w:t xml:space="preserve">&gt; 95%</w:t>
            </w:r>
          </w:p>
        </w:tc>
        <w:tc>
          <w:tcPr>
            <w:tcW w:type="dxa" w:w="3360"/>
            <w:tcBorders>
              <w:top w:val="single" w:color="D1D5DB" w:sz="1"/>
              <w:left w:val="single" w:color="D1D5DB" w:sz="1"/>
              <w:bottom w:val="single" w:color="D1D5DB" w:sz="1"/>
              <w:right w:val="single" w:color="D1D5DB" w:sz="1"/>
            </w:tcBorders>
            <w:shd w:fill="EFF6FF" w:val="clear"/>
            <w:tcMar>
              <w:top w:type="dxa" w:w="80"/>
              <w:left w:type="dxa" w:w="120"/>
              <w:bottom w:type="dxa" w:w="80"/>
              <w:right w:type="dxa" w:w="120"/>
            </w:tcMar>
          </w:tcPr>
          <w:p>
            <w:r>
              <w:rPr>
                <w:rFonts w:ascii="Arial" w:cs="Arial" w:eastAsia="Arial" w:hAnsi="Arial"/>
                <w:b w:val="false"/>
                <w:bCs w:val="false"/>
                <w:color w:val="111827"/>
                <w:sz w:val="18"/>
                <w:szCs w:val="18"/>
              </w:rPr>
              <w:t xml:space="preserve">Subscription revenue is nearly pure margin. Infrastructure cost is fixed and shared across all customers.</w:t>
            </w:r>
          </w:p>
        </w:tc>
      </w:tr>
      <w:tr>
        <w:tc>
          <w:tcPr>
            <w:tcW w:type="dxa" w:w="3200"/>
            <w:tcBorders>
              <w:top w:val="single" w:color="D1D5DB" w:sz="1"/>
              <w:left w:val="single" w:color="D1D5DB" w:sz="1"/>
              <w:bottom w:val="single" w:color="D1D5DB" w:sz="1"/>
              <w:right w:val="single" w:color="D1D5DB" w:sz="1"/>
            </w:tcBorders>
            <w:tcMar>
              <w:top w:type="dxa" w:w="80"/>
              <w:left w:type="dxa" w:w="120"/>
              <w:bottom w:type="dxa" w:w="80"/>
              <w:right w:type="dxa" w:w="120"/>
            </w:tcMar>
          </w:tcPr>
          <w:p>
            <w:r>
              <w:rPr>
                <w:rFonts w:ascii="Arial" w:cs="Arial" w:eastAsia="Arial" w:hAnsi="Arial"/>
                <w:b w:val="false"/>
                <w:bCs w:val="false"/>
                <w:color w:val="111827"/>
                <w:sz w:val="18"/>
                <w:szCs w:val="18"/>
              </w:rPr>
              <w:t xml:space="preserve">Gross margin (FCU overage)</w:t>
            </w:r>
          </w:p>
        </w:tc>
        <w:tc>
          <w:tcPr>
            <w:tcW w:type="dxa" w:w="2800"/>
            <w:tcBorders>
              <w:top w:val="single" w:color="D1D5DB" w:sz="1"/>
              <w:left w:val="single" w:color="D1D5DB" w:sz="1"/>
              <w:bottom w:val="single" w:color="D1D5DB" w:sz="1"/>
              <w:right w:val="single" w:color="D1D5DB" w:sz="1"/>
            </w:tcBorders>
            <w:tcMar>
              <w:top w:type="dxa" w:w="80"/>
              <w:left w:type="dxa" w:w="120"/>
              <w:bottom w:type="dxa" w:w="80"/>
              <w:right w:type="dxa" w:w="120"/>
            </w:tcMar>
          </w:tcPr>
          <w:p>
            <w:r>
              <w:rPr>
                <w:rFonts w:ascii="Arial" w:cs="Arial" w:eastAsia="Arial" w:hAnsi="Arial"/>
                <w:b w:val="false"/>
                <w:bCs w:val="false"/>
                <w:color w:val="111827"/>
                <w:sz w:val="18"/>
                <w:szCs w:val="18"/>
              </w:rPr>
              <w:t xml:space="preserve">65–88%</w:t>
            </w:r>
          </w:p>
        </w:tc>
        <w:tc>
          <w:tcPr>
            <w:tcW w:type="dxa" w:w="3360"/>
            <w:tcBorders>
              <w:top w:val="single" w:color="D1D5DB" w:sz="1"/>
              <w:left w:val="single" w:color="D1D5DB" w:sz="1"/>
              <w:bottom w:val="single" w:color="D1D5DB" w:sz="1"/>
              <w:right w:val="single" w:color="D1D5DB" w:sz="1"/>
            </w:tcBorders>
            <w:tcMar>
              <w:top w:type="dxa" w:w="80"/>
              <w:left w:type="dxa" w:w="120"/>
              <w:bottom w:type="dxa" w:w="80"/>
              <w:right w:type="dxa" w:w="120"/>
            </w:tcMar>
          </w:tcPr>
          <w:p>
            <w:r>
              <w:rPr>
                <w:rFonts w:ascii="Arial" w:cs="Arial" w:eastAsia="Arial" w:hAnsi="Arial"/>
                <w:b w:val="false"/>
                <w:bCs w:val="false"/>
                <w:color w:val="111827"/>
                <w:sz w:val="18"/>
                <w:szCs w:val="18"/>
              </w:rPr>
              <w:t xml:space="preserve">FCU COGS driven by BigQuery compute + ERP API costs. Margin improves with volume (tiered BQ pricing).</w:t>
            </w:r>
          </w:p>
        </w:tc>
      </w:tr>
      <w:tr>
        <w:tc>
          <w:tcPr>
            <w:tcW w:type="dxa" w:w="3200"/>
            <w:tcBorders>
              <w:top w:val="single" w:color="D1D5DB" w:sz="1"/>
              <w:left w:val="single" w:color="D1D5DB" w:sz="1"/>
              <w:bottom w:val="single" w:color="D1D5DB" w:sz="1"/>
              <w:right w:val="single" w:color="D1D5DB" w:sz="1"/>
            </w:tcBorders>
            <w:shd w:fill="EFF6FF" w:val="clear"/>
            <w:tcMar>
              <w:top w:type="dxa" w:w="80"/>
              <w:left w:type="dxa" w:w="120"/>
              <w:bottom w:type="dxa" w:w="80"/>
              <w:right w:type="dxa" w:w="120"/>
            </w:tcMar>
          </w:tcPr>
          <w:p>
            <w:r>
              <w:rPr>
                <w:rFonts w:ascii="Arial" w:cs="Arial" w:eastAsia="Arial" w:hAnsi="Arial"/>
                <w:b w:val="false"/>
                <w:bCs w:val="false"/>
                <w:color w:val="111827"/>
                <w:sz w:val="18"/>
                <w:szCs w:val="18"/>
              </w:rPr>
              <w:t xml:space="preserve">Gross margin (FIQ overage)</w:t>
            </w:r>
          </w:p>
        </w:tc>
        <w:tc>
          <w:tcPr>
            <w:tcW w:type="dxa" w:w="2800"/>
            <w:tcBorders>
              <w:top w:val="single" w:color="D1D5DB" w:sz="1"/>
              <w:left w:val="single" w:color="D1D5DB" w:sz="1"/>
              <w:bottom w:val="single" w:color="D1D5DB" w:sz="1"/>
              <w:right w:val="single" w:color="D1D5DB" w:sz="1"/>
            </w:tcBorders>
            <w:shd w:fill="EFF6FF" w:val="clear"/>
            <w:tcMar>
              <w:top w:type="dxa" w:w="80"/>
              <w:left w:type="dxa" w:w="120"/>
              <w:bottom w:type="dxa" w:w="80"/>
              <w:right w:type="dxa" w:w="120"/>
            </w:tcMar>
          </w:tcPr>
          <w:p>
            <w:r>
              <w:rPr>
                <w:rFonts w:ascii="Arial" w:cs="Arial" w:eastAsia="Arial" w:hAnsi="Arial"/>
                <w:b w:val="false"/>
                <w:bCs w:val="false"/>
                <w:color w:val="111827"/>
                <w:sz w:val="18"/>
                <w:szCs w:val="18"/>
              </w:rPr>
              <w:t xml:space="preserve">75–88%</w:t>
            </w:r>
          </w:p>
        </w:tc>
        <w:tc>
          <w:tcPr>
            <w:tcW w:type="dxa" w:w="3360"/>
            <w:tcBorders>
              <w:top w:val="single" w:color="D1D5DB" w:sz="1"/>
              <w:left w:val="single" w:color="D1D5DB" w:sz="1"/>
              <w:bottom w:val="single" w:color="D1D5DB" w:sz="1"/>
              <w:right w:val="single" w:color="D1D5DB" w:sz="1"/>
            </w:tcBorders>
            <w:shd w:fill="EFF6FF" w:val="clear"/>
            <w:tcMar>
              <w:top w:type="dxa" w:w="80"/>
              <w:left w:type="dxa" w:w="120"/>
              <w:bottom w:type="dxa" w:w="80"/>
              <w:right w:type="dxa" w:w="120"/>
            </w:tcMar>
          </w:tcPr>
          <w:p>
            <w:r>
              <w:rPr>
                <w:rFonts w:ascii="Arial" w:cs="Arial" w:eastAsia="Arial" w:hAnsi="Arial"/>
                <w:b w:val="false"/>
                <w:bCs w:val="false"/>
                <w:color w:val="111827"/>
                <w:sz w:val="18"/>
                <w:szCs w:val="18"/>
              </w:rPr>
              <w:t xml:space="preserve">FIQ COGS driven by BigQuery scans + proportional LLM token cost. High margin because queries are read-only.</w:t>
            </w:r>
          </w:p>
        </w:tc>
      </w:tr>
      <w:tr>
        <w:tc>
          <w:tcPr>
            <w:tcW w:type="dxa" w:w="3200"/>
            <w:tcBorders>
              <w:top w:val="single" w:color="D1D5DB" w:sz="1"/>
              <w:left w:val="single" w:color="D1D5DB" w:sz="1"/>
              <w:bottom w:val="single" w:color="D1D5DB" w:sz="1"/>
              <w:right w:val="single" w:color="D1D5DB" w:sz="1"/>
            </w:tcBorders>
            <w:tcMar>
              <w:top w:type="dxa" w:w="80"/>
              <w:left w:type="dxa" w:w="120"/>
              <w:bottom w:type="dxa" w:w="80"/>
              <w:right w:type="dxa" w:w="120"/>
            </w:tcMar>
          </w:tcPr>
          <w:p>
            <w:r>
              <w:rPr>
                <w:rFonts w:ascii="Arial" w:cs="Arial" w:eastAsia="Arial" w:hAnsi="Arial"/>
                <w:b w:val="false"/>
                <w:bCs w:val="false"/>
                <w:color w:val="111827"/>
                <w:sz w:val="18"/>
                <w:szCs w:val="18"/>
              </w:rPr>
              <w:t xml:space="preserve">Blended gross margin</w:t>
            </w:r>
          </w:p>
        </w:tc>
        <w:tc>
          <w:tcPr>
            <w:tcW w:type="dxa" w:w="2800"/>
            <w:tcBorders>
              <w:top w:val="single" w:color="D1D5DB" w:sz="1"/>
              <w:left w:val="single" w:color="D1D5DB" w:sz="1"/>
              <w:bottom w:val="single" w:color="D1D5DB" w:sz="1"/>
              <w:right w:val="single" w:color="D1D5DB" w:sz="1"/>
            </w:tcBorders>
            <w:tcMar>
              <w:top w:type="dxa" w:w="80"/>
              <w:left w:type="dxa" w:w="120"/>
              <w:bottom w:type="dxa" w:w="80"/>
              <w:right w:type="dxa" w:w="120"/>
            </w:tcMar>
          </w:tcPr>
          <w:p>
            <w:r>
              <w:rPr>
                <w:rFonts w:ascii="Arial" w:cs="Arial" w:eastAsia="Arial" w:hAnsi="Arial"/>
                <w:b w:val="false"/>
                <w:bCs w:val="false"/>
                <w:color w:val="111827"/>
                <w:sz w:val="18"/>
                <w:szCs w:val="18"/>
              </w:rPr>
              <w:t xml:space="preserve">&gt; 90%</w:t>
            </w:r>
          </w:p>
        </w:tc>
        <w:tc>
          <w:tcPr>
            <w:tcW w:type="dxa" w:w="3360"/>
            <w:tcBorders>
              <w:top w:val="single" w:color="D1D5DB" w:sz="1"/>
              <w:left w:val="single" w:color="D1D5DB" w:sz="1"/>
              <w:bottom w:val="single" w:color="D1D5DB" w:sz="1"/>
              <w:right w:val="single" w:color="D1D5DB" w:sz="1"/>
            </w:tcBorders>
            <w:tcMar>
              <w:top w:type="dxa" w:w="80"/>
              <w:left w:type="dxa" w:w="120"/>
              <w:bottom w:type="dxa" w:w="80"/>
              <w:right w:type="dxa" w:w="120"/>
            </w:tcMar>
          </w:tcPr>
          <w:p>
            <w:r>
              <w:rPr>
                <w:rFonts w:ascii="Arial" w:cs="Arial" w:eastAsia="Arial" w:hAnsi="Arial"/>
                <w:b w:val="false"/>
                <w:bCs w:val="false"/>
                <w:color w:val="111827"/>
                <w:sz w:val="18"/>
                <w:szCs w:val="18"/>
              </w:rPr>
              <w:t xml:space="preserve">Consistent with infrastructure SaaS. Business plan targets 94–98.5% at Month 12.</w:t>
            </w:r>
          </w:p>
        </w:tc>
      </w:tr>
      <w:tr>
        <w:tc>
          <w:tcPr>
            <w:tcW w:type="dxa" w:w="3200"/>
            <w:tcBorders>
              <w:top w:val="single" w:color="D1D5DB" w:sz="1"/>
              <w:left w:val="single" w:color="D1D5DB" w:sz="1"/>
              <w:bottom w:val="single" w:color="D1D5DB" w:sz="1"/>
              <w:right w:val="single" w:color="D1D5DB" w:sz="1"/>
            </w:tcBorders>
            <w:shd w:fill="EFF6FF" w:val="clear"/>
            <w:tcMar>
              <w:top w:type="dxa" w:w="80"/>
              <w:left w:type="dxa" w:w="120"/>
              <w:bottom w:type="dxa" w:w="80"/>
              <w:right w:type="dxa" w:w="120"/>
            </w:tcMar>
          </w:tcPr>
          <w:p>
            <w:r>
              <w:rPr>
                <w:rFonts w:ascii="Arial" w:cs="Arial" w:eastAsia="Arial" w:hAnsi="Arial"/>
                <w:b w:val="false"/>
                <w:bCs w:val="false"/>
                <w:color w:val="111827"/>
                <w:sz w:val="18"/>
                <w:szCs w:val="18"/>
              </w:rPr>
              <w:t xml:space="preserve">Net dollar retention (NDR)</w:t>
            </w:r>
          </w:p>
        </w:tc>
        <w:tc>
          <w:tcPr>
            <w:tcW w:type="dxa" w:w="2800"/>
            <w:tcBorders>
              <w:top w:val="single" w:color="D1D5DB" w:sz="1"/>
              <w:left w:val="single" w:color="D1D5DB" w:sz="1"/>
              <w:bottom w:val="single" w:color="D1D5DB" w:sz="1"/>
              <w:right w:val="single" w:color="D1D5DB" w:sz="1"/>
            </w:tcBorders>
            <w:shd w:fill="EFF6FF" w:val="clear"/>
            <w:tcMar>
              <w:top w:type="dxa" w:w="80"/>
              <w:left w:type="dxa" w:w="120"/>
              <w:bottom w:type="dxa" w:w="80"/>
              <w:right w:type="dxa" w:w="120"/>
            </w:tcMar>
          </w:tcPr>
          <w:p>
            <w:r>
              <w:rPr>
                <w:rFonts w:ascii="Arial" w:cs="Arial" w:eastAsia="Arial" w:hAnsi="Arial"/>
                <w:b w:val="false"/>
                <w:bCs w:val="false"/>
                <w:color w:val="111827"/>
                <w:sz w:val="18"/>
                <w:szCs w:val="18"/>
              </w:rPr>
              <w:t xml:space="preserve">&gt; 120%</w:t>
            </w:r>
          </w:p>
        </w:tc>
        <w:tc>
          <w:tcPr>
            <w:tcW w:type="dxa" w:w="3360"/>
            <w:tcBorders>
              <w:top w:val="single" w:color="D1D5DB" w:sz="1"/>
              <w:left w:val="single" w:color="D1D5DB" w:sz="1"/>
              <w:bottom w:val="single" w:color="D1D5DB" w:sz="1"/>
              <w:right w:val="single" w:color="D1D5DB" w:sz="1"/>
            </w:tcBorders>
            <w:shd w:fill="EFF6FF" w:val="clear"/>
            <w:tcMar>
              <w:top w:type="dxa" w:w="80"/>
              <w:left w:type="dxa" w:w="120"/>
              <w:bottom w:type="dxa" w:w="80"/>
              <w:right w:type="dxa" w:w="120"/>
            </w:tcMar>
          </w:tcPr>
          <w:p>
            <w:r>
              <w:rPr>
                <w:rFonts w:ascii="Arial" w:cs="Arial" w:eastAsia="Arial" w:hAnsi="Arial"/>
                <w:b w:val="false"/>
                <w:bCs w:val="false"/>
                <w:color w:val="111827"/>
                <w:sz w:val="18"/>
                <w:szCs w:val="18"/>
              </w:rPr>
              <w:t xml:space="preserve">Expansion from FCU + FIQ overage growth should exceed any contraction or churn. Agent adoption is the primary NDR driver.</w:t>
            </w:r>
          </w:p>
        </w:tc>
      </w:tr>
      <w:tr>
        <w:tc>
          <w:tcPr>
            <w:tcW w:type="dxa" w:w="3200"/>
            <w:tcBorders>
              <w:top w:val="single" w:color="D1D5DB" w:sz="1"/>
              <w:left w:val="single" w:color="D1D5DB" w:sz="1"/>
              <w:bottom w:val="single" w:color="D1D5DB" w:sz="1"/>
              <w:right w:val="single" w:color="D1D5DB" w:sz="1"/>
            </w:tcBorders>
            <w:tcMar>
              <w:top w:type="dxa" w:w="80"/>
              <w:left w:type="dxa" w:w="120"/>
              <w:bottom w:type="dxa" w:w="80"/>
              <w:right w:type="dxa" w:w="120"/>
            </w:tcMar>
          </w:tcPr>
          <w:p>
            <w:r>
              <w:rPr>
                <w:rFonts w:ascii="Arial" w:cs="Arial" w:eastAsia="Arial" w:hAnsi="Arial"/>
                <w:b w:val="false"/>
                <w:bCs w:val="false"/>
                <w:color w:val="111827"/>
                <w:sz w:val="18"/>
                <w:szCs w:val="18"/>
              </w:rPr>
              <w:t xml:space="preserve">Logo churn</w:t>
            </w:r>
          </w:p>
        </w:tc>
        <w:tc>
          <w:tcPr>
            <w:tcW w:type="dxa" w:w="2800"/>
            <w:tcBorders>
              <w:top w:val="single" w:color="D1D5DB" w:sz="1"/>
              <w:left w:val="single" w:color="D1D5DB" w:sz="1"/>
              <w:bottom w:val="single" w:color="D1D5DB" w:sz="1"/>
              <w:right w:val="single" w:color="D1D5DB" w:sz="1"/>
            </w:tcBorders>
            <w:tcMar>
              <w:top w:type="dxa" w:w="80"/>
              <w:left w:type="dxa" w:w="120"/>
              <w:bottom w:type="dxa" w:w="80"/>
              <w:right w:type="dxa" w:w="120"/>
            </w:tcMar>
          </w:tcPr>
          <w:p>
            <w:r>
              <w:rPr>
                <w:rFonts w:ascii="Arial" w:cs="Arial" w:eastAsia="Arial" w:hAnsi="Arial"/>
                <w:b w:val="false"/>
                <w:bCs w:val="false"/>
                <w:color w:val="111827"/>
                <w:sz w:val="18"/>
                <w:szCs w:val="18"/>
              </w:rPr>
              <w:t xml:space="preserve">&lt; 5% monthly</w:t>
            </w:r>
          </w:p>
        </w:tc>
        <w:tc>
          <w:tcPr>
            <w:tcW w:type="dxa" w:w="3360"/>
            <w:tcBorders>
              <w:top w:val="single" w:color="D1D5DB" w:sz="1"/>
              <w:left w:val="single" w:color="D1D5DB" w:sz="1"/>
              <w:bottom w:val="single" w:color="D1D5DB" w:sz="1"/>
              <w:right w:val="single" w:color="D1D5DB" w:sz="1"/>
            </w:tcBorders>
            <w:tcMar>
              <w:top w:type="dxa" w:w="80"/>
              <w:left w:type="dxa" w:w="120"/>
              <w:bottom w:type="dxa" w:w="80"/>
              <w:right w:type="dxa" w:w="120"/>
            </w:tcMar>
          </w:tcPr>
          <w:p>
            <w:r>
              <w:rPr>
                <w:rFonts w:ascii="Arial" w:cs="Arial" w:eastAsia="Arial" w:hAnsi="Arial"/>
                <w:b w:val="false"/>
                <w:bCs w:val="false"/>
                <w:color w:val="111827"/>
                <w:sz w:val="18"/>
                <w:szCs w:val="18"/>
              </w:rPr>
              <w:t xml:space="preserve">Monthly billing (no annual lock-in) means higher churn risk. Offset by configuration stickiness and AI agent dependency.</w:t>
            </w:r>
          </w:p>
        </w:tc>
      </w:tr>
      <w:tr>
        <w:tc>
          <w:tcPr>
            <w:tcW w:type="dxa" w:w="3200"/>
            <w:tcBorders>
              <w:top w:val="single" w:color="D1D5DB" w:sz="1"/>
              <w:left w:val="single" w:color="D1D5DB" w:sz="1"/>
              <w:bottom w:val="single" w:color="D1D5DB" w:sz="1"/>
              <w:right w:val="single" w:color="D1D5DB" w:sz="1"/>
            </w:tcBorders>
            <w:shd w:fill="EFF6FF" w:val="clear"/>
            <w:tcMar>
              <w:top w:type="dxa" w:w="80"/>
              <w:left w:type="dxa" w:w="120"/>
              <w:bottom w:type="dxa" w:w="80"/>
              <w:right w:type="dxa" w:w="120"/>
            </w:tcMar>
          </w:tcPr>
          <w:p>
            <w:r>
              <w:rPr>
                <w:rFonts w:ascii="Arial" w:cs="Arial" w:eastAsia="Arial" w:hAnsi="Arial"/>
                <w:b w:val="false"/>
                <w:bCs w:val="false"/>
                <w:color w:val="111827"/>
                <w:sz w:val="18"/>
                <w:szCs w:val="18"/>
              </w:rPr>
              <w:t xml:space="preserve">Average revenue per account (ARPA)</w:t>
            </w:r>
          </w:p>
        </w:tc>
        <w:tc>
          <w:tcPr>
            <w:tcW w:type="dxa" w:w="2800"/>
            <w:tcBorders>
              <w:top w:val="single" w:color="D1D5DB" w:sz="1"/>
              <w:left w:val="single" w:color="D1D5DB" w:sz="1"/>
              <w:bottom w:val="single" w:color="D1D5DB" w:sz="1"/>
              <w:right w:val="single" w:color="D1D5DB" w:sz="1"/>
            </w:tcBorders>
            <w:shd w:fill="EFF6FF" w:val="clear"/>
            <w:tcMar>
              <w:top w:type="dxa" w:w="80"/>
              <w:left w:type="dxa" w:w="120"/>
              <w:bottom w:type="dxa" w:w="80"/>
              <w:right w:type="dxa" w:w="120"/>
            </w:tcMar>
          </w:tcPr>
          <w:p>
            <w:r>
              <w:rPr>
                <w:rFonts w:ascii="Arial" w:cs="Arial" w:eastAsia="Arial" w:hAnsi="Arial"/>
                <w:b w:val="false"/>
                <w:bCs w:val="false"/>
                <w:color w:val="111827"/>
                <w:sz w:val="18"/>
                <w:szCs w:val="18"/>
              </w:rPr>
              <w:t xml:space="preserve">$2,600 (Year 1) → $8,000+ (Year 2)</w:t>
            </w:r>
          </w:p>
        </w:tc>
        <w:tc>
          <w:tcPr>
            <w:tcW w:type="dxa" w:w="3360"/>
            <w:tcBorders>
              <w:top w:val="single" w:color="D1D5DB" w:sz="1"/>
              <w:left w:val="single" w:color="D1D5DB" w:sz="1"/>
              <w:bottom w:val="single" w:color="D1D5DB" w:sz="1"/>
              <w:right w:val="single" w:color="D1D5DB" w:sz="1"/>
            </w:tcBorders>
            <w:shd w:fill="EFF6FF" w:val="clear"/>
            <w:tcMar>
              <w:top w:type="dxa" w:w="80"/>
              <w:left w:type="dxa" w:w="120"/>
              <w:bottom w:type="dxa" w:w="80"/>
              <w:right w:type="dxa" w:w="120"/>
            </w:tcMar>
          </w:tcPr>
          <w:p>
            <w:r>
              <w:rPr>
                <w:rFonts w:ascii="Arial" w:cs="Arial" w:eastAsia="Arial" w:hAnsi="Arial"/>
                <w:b w:val="false"/>
                <w:bCs w:val="false"/>
                <w:color w:val="111827"/>
                <w:sz w:val="18"/>
                <w:szCs w:val="18"/>
              </w:rPr>
              <w:t xml:space="preserve">Year 1 skews toward Premium customers. Year 2: agent adoption drives FIQ overage growth.</w:t>
            </w:r>
          </w:p>
        </w:tc>
      </w:tr>
      <w:tr>
        <w:tc>
          <w:tcPr>
            <w:tcW w:type="dxa" w:w="3200"/>
            <w:tcBorders>
              <w:top w:val="single" w:color="D1D5DB" w:sz="1"/>
              <w:left w:val="single" w:color="D1D5DB" w:sz="1"/>
              <w:bottom w:val="single" w:color="D1D5DB" w:sz="1"/>
              <w:right w:val="single" w:color="D1D5DB" w:sz="1"/>
            </w:tcBorders>
            <w:tcMar>
              <w:top w:type="dxa" w:w="80"/>
              <w:left w:type="dxa" w:w="120"/>
              <w:bottom w:type="dxa" w:w="80"/>
              <w:right w:type="dxa" w:w="120"/>
            </w:tcMar>
          </w:tcPr>
          <w:p>
            <w:r>
              <w:rPr>
                <w:rFonts w:ascii="Arial" w:cs="Arial" w:eastAsia="Arial" w:hAnsi="Arial"/>
                <w:b w:val="false"/>
                <w:bCs w:val="false"/>
                <w:color w:val="111827"/>
                <w:sz w:val="18"/>
                <w:szCs w:val="18"/>
              </w:rPr>
              <w:t xml:space="preserve">LTV (36-month, 5% monthly churn)</w:t>
            </w:r>
          </w:p>
        </w:tc>
        <w:tc>
          <w:tcPr>
            <w:tcW w:type="dxa" w:w="2800"/>
            <w:tcBorders>
              <w:top w:val="single" w:color="D1D5DB" w:sz="1"/>
              <w:left w:val="single" w:color="D1D5DB" w:sz="1"/>
              <w:bottom w:val="single" w:color="D1D5DB" w:sz="1"/>
              <w:right w:val="single" w:color="D1D5DB" w:sz="1"/>
            </w:tcBorders>
            <w:tcMar>
              <w:top w:type="dxa" w:w="80"/>
              <w:left w:type="dxa" w:w="120"/>
              <w:bottom w:type="dxa" w:w="80"/>
              <w:right w:type="dxa" w:w="120"/>
            </w:tcMar>
          </w:tcPr>
          <w:p>
            <w:r>
              <w:rPr>
                <w:rFonts w:ascii="Arial" w:cs="Arial" w:eastAsia="Arial" w:hAnsi="Arial"/>
                <w:b w:val="false"/>
                <w:bCs w:val="false"/>
                <w:color w:val="111827"/>
                <w:sz w:val="18"/>
                <w:szCs w:val="18"/>
              </w:rPr>
              <w:t xml:space="preserve">$18K–$22K</w:t>
            </w:r>
          </w:p>
        </w:tc>
        <w:tc>
          <w:tcPr>
            <w:tcW w:type="dxa" w:w="3360"/>
            <w:tcBorders>
              <w:top w:val="single" w:color="D1D5DB" w:sz="1"/>
              <w:left w:val="single" w:color="D1D5DB" w:sz="1"/>
              <w:bottom w:val="single" w:color="D1D5DB" w:sz="1"/>
              <w:right w:val="single" w:color="D1D5DB" w:sz="1"/>
            </w:tcBorders>
            <w:tcMar>
              <w:top w:type="dxa" w:w="80"/>
              <w:left w:type="dxa" w:w="120"/>
              <w:bottom w:type="dxa" w:w="80"/>
              <w:right w:type="dxa" w:w="120"/>
            </w:tcMar>
          </w:tcPr>
          <w:p>
            <w:r>
              <w:rPr>
                <w:rFonts w:ascii="Arial" w:cs="Arial" w:eastAsia="Arial" w:hAnsi="Arial"/>
                <w:b w:val="false"/>
                <w:bCs w:val="false"/>
                <w:color w:val="111827"/>
                <w:sz w:val="18"/>
                <w:szCs w:val="18"/>
              </w:rPr>
              <w:t xml:space="preserve">Conservative. Assumes blended ARPA of ~$3K and 5% monthly churn. Improves as NDR exceeds 100%.</w:t>
            </w:r>
          </w:p>
        </w:tc>
      </w:tr>
      <w:tr>
        <w:tc>
          <w:tcPr>
            <w:tcW w:type="dxa" w:w="3200"/>
            <w:tcBorders>
              <w:top w:val="single" w:color="D1D5DB" w:sz="1"/>
              <w:left w:val="single" w:color="D1D5DB" w:sz="1"/>
              <w:bottom w:val="single" w:color="D1D5DB" w:sz="1"/>
              <w:right w:val="single" w:color="D1D5DB" w:sz="1"/>
            </w:tcBorders>
            <w:shd w:fill="EFF6FF" w:val="clear"/>
            <w:tcMar>
              <w:top w:type="dxa" w:w="80"/>
              <w:left w:type="dxa" w:w="120"/>
              <w:bottom w:type="dxa" w:w="80"/>
              <w:right w:type="dxa" w:w="120"/>
            </w:tcMar>
          </w:tcPr>
          <w:p>
            <w:r>
              <w:rPr>
                <w:rFonts w:ascii="Arial" w:cs="Arial" w:eastAsia="Arial" w:hAnsi="Arial"/>
                <w:b w:val="false"/>
                <w:bCs w:val="false"/>
                <w:color w:val="111827"/>
                <w:sz w:val="18"/>
                <w:szCs w:val="18"/>
              </w:rPr>
              <w:t xml:space="preserve">CAC payback period</w:t>
            </w:r>
          </w:p>
        </w:tc>
        <w:tc>
          <w:tcPr>
            <w:tcW w:type="dxa" w:w="2800"/>
            <w:tcBorders>
              <w:top w:val="single" w:color="D1D5DB" w:sz="1"/>
              <w:left w:val="single" w:color="D1D5DB" w:sz="1"/>
              <w:bottom w:val="single" w:color="D1D5DB" w:sz="1"/>
              <w:right w:val="single" w:color="D1D5DB" w:sz="1"/>
            </w:tcBorders>
            <w:shd w:fill="EFF6FF" w:val="clear"/>
            <w:tcMar>
              <w:top w:type="dxa" w:w="80"/>
              <w:left w:type="dxa" w:w="120"/>
              <w:bottom w:type="dxa" w:w="80"/>
              <w:right w:type="dxa" w:w="120"/>
            </w:tcMar>
          </w:tcPr>
          <w:p>
            <w:r>
              <w:rPr>
                <w:rFonts w:ascii="Arial" w:cs="Arial" w:eastAsia="Arial" w:hAnsi="Arial"/>
                <w:b w:val="false"/>
                <w:bCs w:val="false"/>
                <w:color w:val="111827"/>
                <w:sz w:val="18"/>
                <w:szCs w:val="18"/>
              </w:rPr>
              <w:t xml:space="preserve">&lt; 6 months</w:t>
            </w:r>
          </w:p>
        </w:tc>
        <w:tc>
          <w:tcPr>
            <w:tcW w:type="dxa" w:w="3360"/>
            <w:tcBorders>
              <w:top w:val="single" w:color="D1D5DB" w:sz="1"/>
              <w:left w:val="single" w:color="D1D5DB" w:sz="1"/>
              <w:bottom w:val="single" w:color="D1D5DB" w:sz="1"/>
              <w:right w:val="single" w:color="D1D5DB" w:sz="1"/>
            </w:tcBorders>
            <w:shd w:fill="EFF6FF" w:val="clear"/>
            <w:tcMar>
              <w:top w:type="dxa" w:w="80"/>
              <w:left w:type="dxa" w:w="120"/>
              <w:bottom w:type="dxa" w:w="80"/>
              <w:right w:type="dxa" w:w="120"/>
            </w:tcMar>
          </w:tcPr>
          <w:p>
            <w:r>
              <w:rPr>
                <w:rFonts w:ascii="Arial" w:cs="Arial" w:eastAsia="Arial" w:hAnsi="Arial"/>
                <w:b w:val="false"/>
                <w:bCs w:val="false"/>
                <w:color w:val="111827"/>
                <w:sz w:val="18"/>
                <w:szCs w:val="18"/>
              </w:rPr>
              <w:t xml:space="preserve">Low-touch sales (Premium/Pro via self-serve). Enterprise requires sales touch but higher ARPA.</w:t>
            </w:r>
          </w:p>
        </w:tc>
      </w:tr>
      <w:tr>
        <w:tc>
          <w:tcPr>
            <w:tcW w:type="dxa" w:w="3200"/>
            <w:tcBorders>
              <w:top w:val="single" w:color="D1D5DB" w:sz="1"/>
              <w:left w:val="single" w:color="D1D5DB" w:sz="1"/>
              <w:bottom w:val="single" w:color="D1D5DB" w:sz="1"/>
              <w:right w:val="single" w:color="D1D5DB" w:sz="1"/>
            </w:tcBorders>
            <w:tcMar>
              <w:top w:type="dxa" w:w="80"/>
              <w:left w:type="dxa" w:w="120"/>
              <w:bottom w:type="dxa" w:w="80"/>
              <w:right w:type="dxa" w:w="120"/>
            </w:tcMar>
          </w:tcPr>
          <w:p>
            <w:r>
              <w:rPr>
                <w:rFonts w:ascii="Arial" w:cs="Arial" w:eastAsia="Arial" w:hAnsi="Arial"/>
                <w:b w:val="false"/>
                <w:bCs w:val="false"/>
                <w:color w:val="111827"/>
                <w:sz w:val="18"/>
                <w:szCs w:val="18"/>
              </w:rPr>
              <w:t xml:space="preserve">LTV:CAC ratio</w:t>
            </w:r>
          </w:p>
        </w:tc>
        <w:tc>
          <w:tcPr>
            <w:tcW w:type="dxa" w:w="2800"/>
            <w:tcBorders>
              <w:top w:val="single" w:color="D1D5DB" w:sz="1"/>
              <w:left w:val="single" w:color="D1D5DB" w:sz="1"/>
              <w:bottom w:val="single" w:color="D1D5DB" w:sz="1"/>
              <w:right w:val="single" w:color="D1D5DB" w:sz="1"/>
            </w:tcBorders>
            <w:tcMar>
              <w:top w:type="dxa" w:w="80"/>
              <w:left w:type="dxa" w:w="120"/>
              <w:bottom w:type="dxa" w:w="80"/>
              <w:right w:type="dxa" w:w="120"/>
            </w:tcMar>
          </w:tcPr>
          <w:p>
            <w:r>
              <w:rPr>
                <w:rFonts w:ascii="Arial" w:cs="Arial" w:eastAsia="Arial" w:hAnsi="Arial"/>
                <w:b w:val="false"/>
                <w:bCs w:val="false"/>
                <w:color w:val="111827"/>
                <w:sz w:val="18"/>
                <w:szCs w:val="18"/>
              </w:rPr>
              <w:t xml:space="preserve">&gt; 3:1</w:t>
            </w:r>
          </w:p>
        </w:tc>
        <w:tc>
          <w:tcPr>
            <w:tcW w:type="dxa" w:w="3360"/>
            <w:tcBorders>
              <w:top w:val="single" w:color="D1D5DB" w:sz="1"/>
              <w:left w:val="single" w:color="D1D5DB" w:sz="1"/>
              <w:bottom w:val="single" w:color="D1D5DB" w:sz="1"/>
              <w:right w:val="single" w:color="D1D5DB" w:sz="1"/>
            </w:tcBorders>
            <w:tcMar>
              <w:top w:type="dxa" w:w="80"/>
              <w:left w:type="dxa" w:w="120"/>
              <w:bottom w:type="dxa" w:w="80"/>
              <w:right w:type="dxa" w:w="120"/>
            </w:tcMar>
          </w:tcPr>
          <w:p>
            <w:r>
              <w:rPr>
                <w:rFonts w:ascii="Arial" w:cs="Arial" w:eastAsia="Arial" w:hAnsi="Arial"/>
                <w:b w:val="false"/>
                <w:bCs w:val="false"/>
                <w:color w:val="111827"/>
                <w:sz w:val="18"/>
                <w:szCs w:val="18"/>
              </w:rPr>
              <w:t xml:space="preserve">Standard SaaS benchmark. PipeLedger’s configuration stickiness and agent dependency should push this toward 5:1+.</w:t>
            </w:r>
          </w:p>
        </w:tc>
      </w:tr>
    </w:tbl>
    <w:p>
      <w:pPr>
        <w:spacing w:after="80"/>
      </w:pPr>
    </w:p>
    <w:p>
      <w:pPr>
        <w:pStyle w:val="Heading1"/>
      </w:pPr>
      <w:r>
        <w:t xml:space="preserve">12. Pricing Governance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6960"/>
      </w:tblGrid>
      <w:tr>
        <w:tc>
          <w:tcPr>
            <w:tcW w:type="dxa" w:w="2400"/>
            <w:tcBorders>
              <w:top w:val="single" w:color="D1D5DB" w:sz="1"/>
              <w:left w:val="single" w:color="D1D5DB" w:sz="1"/>
              <w:bottom w:val="single" w:color="D1D5DB" w:sz="1"/>
              <w:right w:val="single" w:color="D1D5DB" w:sz="1"/>
            </w:tcBorders>
            <w:shd w:fill="1E3A5F" w:val="clear"/>
            <w:tcMar>
              <w:top w:type="dxa" w:w="80"/>
              <w:left w:type="dxa" w:w="120"/>
              <w:bottom w:type="dxa" w:w="80"/>
              <w:right w:type="dxa" w:w="120"/>
            </w:tcMar>
          </w:tcPr>
          <w:p>
            <w:r>
              <w:rPr>
                <w:rFonts w:ascii="Arial" w:cs="Arial" w:eastAsia="Arial" w:hAnsi="Arial"/>
                <w:b/>
                <w:bCs/>
                <w:color w:val="FFFFFF"/>
                <w:sz w:val="17"/>
                <w:szCs w:val="17"/>
              </w:rPr>
              <w:t xml:space="preserve">Policy</w:t>
            </w:r>
          </w:p>
        </w:tc>
        <w:tc>
          <w:tcPr>
            <w:tcW w:type="dxa" w:w="6960"/>
            <w:tcBorders>
              <w:top w:val="single" w:color="D1D5DB" w:sz="1"/>
              <w:left w:val="single" w:color="D1D5DB" w:sz="1"/>
              <w:bottom w:val="single" w:color="D1D5DB" w:sz="1"/>
              <w:right w:val="single" w:color="D1D5DB" w:sz="1"/>
            </w:tcBorders>
            <w:shd w:fill="1E3A5F" w:val="clear"/>
            <w:tcMar>
              <w:top w:type="dxa" w:w="80"/>
              <w:left w:type="dxa" w:w="120"/>
              <w:bottom w:type="dxa" w:w="80"/>
              <w:right w:type="dxa" w:w="120"/>
            </w:tcMar>
          </w:tcPr>
          <w:p>
            <w:r>
              <w:rPr>
                <w:rFonts w:ascii="Arial" w:cs="Arial" w:eastAsia="Arial" w:hAnsi="Arial"/>
                <w:b/>
                <w:bCs/>
                <w:color w:val="FFFFFF"/>
                <w:sz w:val="17"/>
                <w:szCs w:val="17"/>
              </w:rPr>
              <w:t xml:space="preserve">Detail</w:t>
            </w:r>
          </w:p>
        </w:tc>
      </w:tr>
      <w:tr>
        <w:tc>
          <w:tcPr>
            <w:tcW w:type="dxa" w:w="2400"/>
            <w:tcBorders>
              <w:top w:val="single" w:color="D1D5DB" w:sz="1"/>
              <w:left w:val="single" w:color="D1D5DB" w:sz="1"/>
              <w:bottom w:val="single" w:color="D1D5DB" w:sz="1"/>
              <w:right w:val="single" w:color="D1D5DB" w:sz="1"/>
            </w:tcBorders>
            <w:shd w:fill="EFF6FF" w:val="clear"/>
            <w:tcMar>
              <w:top w:type="dxa" w:w="80"/>
              <w:left w:type="dxa" w:w="120"/>
              <w:bottom w:type="dxa" w:w="80"/>
              <w:right w:type="dxa" w:w="120"/>
            </w:tcMar>
          </w:tcPr>
          <w:p>
            <w:r>
              <w:rPr>
                <w:rFonts w:ascii="Arial" w:cs="Arial" w:eastAsia="Arial" w:hAnsi="Arial"/>
                <w:b w:val="false"/>
                <w:bCs w:val="false"/>
                <w:color w:val="111827"/>
                <w:sz w:val="18"/>
                <w:szCs w:val="18"/>
              </w:rPr>
              <w:t xml:space="preserve">Price change authority</w:t>
            </w:r>
          </w:p>
        </w:tc>
        <w:tc>
          <w:tcPr>
            <w:tcW w:type="dxa" w:w="6960"/>
            <w:tcBorders>
              <w:top w:val="single" w:color="D1D5DB" w:sz="1"/>
              <w:left w:val="single" w:color="D1D5DB" w:sz="1"/>
              <w:bottom w:val="single" w:color="D1D5DB" w:sz="1"/>
              <w:right w:val="single" w:color="D1D5DB" w:sz="1"/>
            </w:tcBorders>
            <w:shd w:fill="EFF6FF" w:val="clear"/>
            <w:tcMar>
              <w:top w:type="dxa" w:w="80"/>
              <w:left w:type="dxa" w:w="120"/>
              <w:bottom w:type="dxa" w:w="80"/>
              <w:right w:type="dxa" w:w="120"/>
            </w:tcMar>
          </w:tcPr>
          <w:p>
            <w:r>
              <w:rPr>
                <w:rFonts w:ascii="Arial" w:cs="Arial" w:eastAsia="Arial" w:hAnsi="Arial"/>
                <w:b w:val="false"/>
                <w:bCs w:val="false"/>
                <w:color w:val="111827"/>
                <w:sz w:val="18"/>
                <w:szCs w:val="18"/>
              </w:rPr>
              <w:t xml:space="preserve">Founder approval required for any pricing change (plan prices, overage rates, included allocations). No unilateral changes by sales or account team.</w:t>
            </w:r>
          </w:p>
        </w:tc>
      </w:tr>
      <w:tr>
        <w:tc>
          <w:tcPr>
            <w:tcW w:type="dxa" w:w="2400"/>
            <w:tcBorders>
              <w:top w:val="single" w:color="D1D5DB" w:sz="1"/>
              <w:left w:val="single" w:color="D1D5DB" w:sz="1"/>
              <w:bottom w:val="single" w:color="D1D5DB" w:sz="1"/>
              <w:right w:val="single" w:color="D1D5DB" w:sz="1"/>
            </w:tcBorders>
            <w:tcMar>
              <w:top w:type="dxa" w:w="80"/>
              <w:left w:type="dxa" w:w="120"/>
              <w:bottom w:type="dxa" w:w="80"/>
              <w:right w:type="dxa" w:w="120"/>
            </w:tcMar>
          </w:tcPr>
          <w:p>
            <w:r>
              <w:rPr>
                <w:rFonts w:ascii="Arial" w:cs="Arial" w:eastAsia="Arial" w:hAnsi="Arial"/>
                <w:b w:val="false"/>
                <w:bCs w:val="false"/>
                <w:color w:val="111827"/>
                <w:sz w:val="18"/>
                <w:szCs w:val="18"/>
              </w:rPr>
              <w:t xml:space="preserve">Customer notification for price changes</w:t>
            </w:r>
          </w:p>
        </w:tc>
        <w:tc>
          <w:tcPr>
            <w:tcW w:type="dxa" w:w="6960"/>
            <w:tcBorders>
              <w:top w:val="single" w:color="D1D5DB" w:sz="1"/>
              <w:left w:val="single" w:color="D1D5DB" w:sz="1"/>
              <w:bottom w:val="single" w:color="D1D5DB" w:sz="1"/>
              <w:right w:val="single" w:color="D1D5DB" w:sz="1"/>
            </w:tcBorders>
            <w:tcMar>
              <w:top w:type="dxa" w:w="80"/>
              <w:left w:type="dxa" w:w="120"/>
              <w:bottom w:type="dxa" w:w="80"/>
              <w:right w:type="dxa" w:w="120"/>
            </w:tcMar>
          </w:tcPr>
          <w:p>
            <w:r>
              <w:rPr>
                <w:rFonts w:ascii="Arial" w:cs="Arial" w:eastAsia="Arial" w:hAnsi="Arial"/>
                <w:b w:val="false"/>
                <w:bCs w:val="false"/>
                <w:color w:val="111827"/>
                <w:sz w:val="18"/>
                <w:szCs w:val="18"/>
              </w:rPr>
              <w:t xml:space="preserve">Existing customers receive 60 days written notice before any price increase takes effect. Price increases apply at the start of the next billing cycle after the notice period.</w:t>
            </w:r>
          </w:p>
        </w:tc>
      </w:tr>
      <w:tr>
        <w:tc>
          <w:tcPr>
            <w:tcW w:type="dxa" w:w="2400"/>
            <w:tcBorders>
              <w:top w:val="single" w:color="D1D5DB" w:sz="1"/>
              <w:left w:val="single" w:color="D1D5DB" w:sz="1"/>
              <w:bottom w:val="single" w:color="D1D5DB" w:sz="1"/>
              <w:right w:val="single" w:color="D1D5DB" w:sz="1"/>
            </w:tcBorders>
            <w:shd w:fill="EFF6FF" w:val="clear"/>
            <w:tcMar>
              <w:top w:type="dxa" w:w="80"/>
              <w:left w:type="dxa" w:w="120"/>
              <w:bottom w:type="dxa" w:w="80"/>
              <w:right w:type="dxa" w:w="120"/>
            </w:tcMar>
          </w:tcPr>
          <w:p>
            <w:r>
              <w:rPr>
                <w:rFonts w:ascii="Arial" w:cs="Arial" w:eastAsia="Arial" w:hAnsi="Arial"/>
                <w:b w:val="false"/>
                <w:bCs w:val="false"/>
                <w:color w:val="111827"/>
                <w:sz w:val="18"/>
                <w:szCs w:val="18"/>
              </w:rPr>
              <w:t xml:space="preserve">Enterprise custom pricing authority</w:t>
            </w:r>
          </w:p>
        </w:tc>
        <w:tc>
          <w:tcPr>
            <w:tcW w:type="dxa" w:w="6960"/>
            <w:tcBorders>
              <w:top w:val="single" w:color="D1D5DB" w:sz="1"/>
              <w:left w:val="single" w:color="D1D5DB" w:sz="1"/>
              <w:bottom w:val="single" w:color="D1D5DB" w:sz="1"/>
              <w:right w:val="single" w:color="D1D5DB" w:sz="1"/>
            </w:tcBorders>
            <w:shd w:fill="EFF6FF" w:val="clear"/>
            <w:tcMar>
              <w:top w:type="dxa" w:w="80"/>
              <w:left w:type="dxa" w:w="120"/>
              <w:bottom w:type="dxa" w:w="80"/>
              <w:right w:type="dxa" w:w="120"/>
            </w:tcMar>
          </w:tcPr>
          <w:p>
            <w:r>
              <w:rPr>
                <w:rFonts w:ascii="Arial" w:cs="Arial" w:eastAsia="Arial" w:hAnsi="Arial"/>
                <w:b w:val="false"/>
                <w:bCs w:val="false"/>
                <w:color w:val="111827"/>
                <w:sz w:val="18"/>
                <w:szCs w:val="18"/>
              </w:rPr>
              <w:t xml:space="preserve">Sales team may offer custom enterprise pricing within approved bands: subscription $10K–$50K/mo, FCU overage $0.75–$2.00/1K, FIQ overage $15–$40/1K. Pricing outside these bands requires founder approval.</w:t>
            </w:r>
          </w:p>
        </w:tc>
      </w:tr>
      <w:tr>
        <w:tc>
          <w:tcPr>
            <w:tcW w:type="dxa" w:w="2400"/>
            <w:tcBorders>
              <w:top w:val="single" w:color="D1D5DB" w:sz="1"/>
              <w:left w:val="single" w:color="D1D5DB" w:sz="1"/>
              <w:bottom w:val="single" w:color="D1D5DB" w:sz="1"/>
              <w:right w:val="single" w:color="D1D5DB" w:sz="1"/>
            </w:tcBorders>
            <w:tcMar>
              <w:top w:type="dxa" w:w="80"/>
              <w:left w:type="dxa" w:w="120"/>
              <w:bottom w:type="dxa" w:w="80"/>
              <w:right w:type="dxa" w:w="120"/>
            </w:tcMar>
          </w:tcPr>
          <w:p>
            <w:r>
              <w:rPr>
                <w:rFonts w:ascii="Arial" w:cs="Arial" w:eastAsia="Arial" w:hAnsi="Arial"/>
                <w:b w:val="false"/>
                <w:bCs w:val="false"/>
                <w:color w:val="111827"/>
                <w:sz w:val="18"/>
                <w:szCs w:val="18"/>
              </w:rPr>
              <w:t xml:space="preserve">Discount authority</w:t>
            </w:r>
          </w:p>
        </w:tc>
        <w:tc>
          <w:tcPr>
            <w:tcW w:type="dxa" w:w="6960"/>
            <w:tcBorders>
              <w:top w:val="single" w:color="D1D5DB" w:sz="1"/>
              <w:left w:val="single" w:color="D1D5DB" w:sz="1"/>
              <w:bottom w:val="single" w:color="D1D5DB" w:sz="1"/>
              <w:right w:val="single" w:color="D1D5DB" w:sz="1"/>
            </w:tcBorders>
            <w:tcMar>
              <w:top w:type="dxa" w:w="80"/>
              <w:left w:type="dxa" w:w="120"/>
              <w:bottom w:type="dxa" w:w="80"/>
              <w:right w:type="dxa" w:w="120"/>
            </w:tcMar>
          </w:tcPr>
          <w:p>
            <w:r>
              <w:rPr>
                <w:rFonts w:ascii="Arial" w:cs="Arial" w:eastAsia="Arial" w:hAnsi="Arial"/>
                <w:b w:val="false"/>
                <w:bCs w:val="false"/>
                <w:color w:val="111827"/>
                <w:sz w:val="18"/>
                <w:szCs w:val="18"/>
              </w:rPr>
              <w:t xml:space="preserve">No discounts on Premium or Pro plans (price integrity). Enterprise: up to 15% annual volume discount with founder approval. No free months.</w:t>
            </w:r>
          </w:p>
        </w:tc>
      </w:tr>
      <w:tr>
        <w:tc>
          <w:tcPr>
            <w:tcW w:type="dxa" w:w="2400"/>
            <w:tcBorders>
              <w:top w:val="single" w:color="D1D5DB" w:sz="1"/>
              <w:left w:val="single" w:color="D1D5DB" w:sz="1"/>
              <w:bottom w:val="single" w:color="D1D5DB" w:sz="1"/>
              <w:right w:val="single" w:color="D1D5DB" w:sz="1"/>
            </w:tcBorders>
            <w:shd w:fill="EFF6FF" w:val="clear"/>
            <w:tcMar>
              <w:top w:type="dxa" w:w="80"/>
              <w:left w:type="dxa" w:w="120"/>
              <w:bottom w:type="dxa" w:w="80"/>
              <w:right w:type="dxa" w:w="120"/>
            </w:tcMar>
          </w:tcPr>
          <w:p>
            <w:r>
              <w:rPr>
                <w:rFonts w:ascii="Arial" w:cs="Arial" w:eastAsia="Arial" w:hAnsi="Arial"/>
                <w:b w:val="false"/>
                <w:bCs w:val="false"/>
                <w:color w:val="111827"/>
                <w:sz w:val="18"/>
                <w:szCs w:val="18"/>
              </w:rPr>
              <w:t xml:space="preserve">FIQ weighting model changes</w:t>
            </w:r>
          </w:p>
        </w:tc>
        <w:tc>
          <w:tcPr>
            <w:tcW w:type="dxa" w:w="6960"/>
            <w:tcBorders>
              <w:top w:val="single" w:color="D1D5DB" w:sz="1"/>
              <w:left w:val="single" w:color="D1D5DB" w:sz="1"/>
              <w:bottom w:val="single" w:color="D1D5DB" w:sz="1"/>
              <w:right w:val="single" w:color="D1D5DB" w:sz="1"/>
            </w:tcBorders>
            <w:shd w:fill="EFF6FF" w:val="clear"/>
            <w:tcMar>
              <w:top w:type="dxa" w:w="80"/>
              <w:left w:type="dxa" w:w="120"/>
              <w:bottom w:type="dxa" w:w="80"/>
              <w:right w:type="dxa" w:w="120"/>
            </w:tcMar>
          </w:tcPr>
          <w:p>
            <w:r>
              <w:rPr>
                <w:rFonts w:ascii="Arial" w:cs="Arial" w:eastAsia="Arial" w:hAnsi="Arial"/>
                <w:b w:val="false"/>
                <w:bCs w:val="false"/>
                <w:color w:val="111827"/>
                <w:sz w:val="18"/>
                <w:szCs w:val="18"/>
              </w:rPr>
              <w:t xml:space="preserve">Quarterly review. Changes require founder approval. Existing customers grandfathered for 90 days before new weighting applies.</w:t>
            </w:r>
          </w:p>
        </w:tc>
      </w:tr>
      <w:tr>
        <w:tc>
          <w:tcPr>
            <w:tcW w:type="dxa" w:w="2400"/>
            <w:tcBorders>
              <w:top w:val="single" w:color="D1D5DB" w:sz="1"/>
              <w:left w:val="single" w:color="D1D5DB" w:sz="1"/>
              <w:bottom w:val="single" w:color="D1D5DB" w:sz="1"/>
              <w:right w:val="single" w:color="D1D5DB" w:sz="1"/>
            </w:tcBorders>
            <w:tcMar>
              <w:top w:type="dxa" w:w="80"/>
              <w:left w:type="dxa" w:w="120"/>
              <w:bottom w:type="dxa" w:w="80"/>
              <w:right w:type="dxa" w:w="120"/>
            </w:tcMar>
          </w:tcPr>
          <w:p>
            <w:r>
              <w:rPr>
                <w:rFonts w:ascii="Arial" w:cs="Arial" w:eastAsia="Arial" w:hAnsi="Arial"/>
                <w:b w:val="false"/>
                <w:bCs w:val="false"/>
                <w:color w:val="111827"/>
                <w:sz w:val="18"/>
                <w:szCs w:val="18"/>
              </w:rPr>
              <w:t xml:space="preserve">Annual pricing review</w:t>
            </w:r>
          </w:p>
        </w:tc>
        <w:tc>
          <w:tcPr>
            <w:tcW w:type="dxa" w:w="6960"/>
            <w:tcBorders>
              <w:top w:val="single" w:color="D1D5DB" w:sz="1"/>
              <w:left w:val="single" w:color="D1D5DB" w:sz="1"/>
              <w:bottom w:val="single" w:color="D1D5DB" w:sz="1"/>
              <w:right w:val="single" w:color="D1D5DB" w:sz="1"/>
            </w:tcBorders>
            <w:tcMar>
              <w:top w:type="dxa" w:w="80"/>
              <w:left w:type="dxa" w:w="120"/>
              <w:bottom w:type="dxa" w:w="80"/>
              <w:right w:type="dxa" w:w="120"/>
            </w:tcMar>
          </w:tcPr>
          <w:p>
            <w:r>
              <w:rPr>
                <w:rFonts w:ascii="Arial" w:cs="Arial" w:eastAsia="Arial" w:hAnsi="Arial"/>
                <w:b w:val="false"/>
                <w:bCs w:val="false"/>
                <w:color w:val="111827"/>
                <w:sz w:val="18"/>
                <w:szCs w:val="18"/>
              </w:rPr>
              <w:t xml:space="preserve">Annual review of all pricing (plans, overages, allocations) against COGS, competitive landscape, and expansion data. Documented decision: hold, increase, or restructure.</w:t>
            </w:r>
          </w:p>
        </w:tc>
      </w:tr>
    </w:tbl>
    <w:p>
      <w:pPr>
        <w:spacing w:after="80"/>
      </w:pPr>
    </w:p>
    <w:p>
      <w:pPr>
        <w:pBdr>
          <w:top w:val="single" w:color="2563EB" w:sz="4" w:space="8"/>
        </w:pBdr>
        <w:spacing w:before="360"/>
      </w:pPr>
      <w:r>
        <w:rPr>
          <w:rFonts w:ascii="Arial" w:cs="Arial" w:eastAsia="Arial" w:hAnsi="Arial"/>
          <w:b/>
          <w:bCs/>
          <w:color w:val="9CA3AF"/>
          <w:sz w:val="18"/>
          <w:szCs w:val="18"/>
        </w:rPr>
        <w:t xml:space="preserve">END OF COMMERCIAL, USAGE &amp; SUBSCRIPTION FRAMEWORK — v2.0</w:t>
      </w:r>
    </w:p>
    <w:sectPr>
      <w:headerReference w:type="default" r:id="rId6"/>
      <w:footerReference w:type="default" r:id="rId7"/>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Arial" w:cs="Arial" w:eastAsia="Arial" w:hAnsi="Arial"/>
        <w:color w:val="9CA3AF"/>
        <w:sz w:val="16"/>
        <w:szCs w:val="16"/>
      </w:rPr>
      <w:t xml:space="preserve">Capitani Inc. • CONFIDENTIAL • Page </w:t>
    </w:r>
    <w:r>
      <w:rPr>
        <w:rFonts w:ascii="Arial" w:cs="Arial" w:eastAsia="Arial" w:hAnsi="Arial"/>
        <w:color w:val="9CA3AF"/>
        <w:sz w:val="16"/>
        <w:szCs w:val="16"/>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2563EB" w:sz="4" w:space="4"/>
      </w:pBdr>
      <w:spacing w:after="0"/>
    </w:pPr>
    <w:r>
      <w:rPr>
        <w:rFonts w:ascii="Arial" w:cs="Arial" w:eastAsia="Arial" w:hAnsi="Arial"/>
        <w:b/>
        <w:bCs/>
        <w:color w:val="2563EB"/>
        <w:sz w:val="16"/>
        <w:szCs w:val="16"/>
      </w:rPr>
      <w:t xml:space="preserve">PIPELEDGER AI</w:t>
    </w:r>
    <w:r>
      <w:rPr>
        <w:rFonts w:ascii="Arial" w:cs="Arial" w:eastAsia="Arial" w:hAnsi="Arial"/>
        <w:color w:val="9CA3AF"/>
        <w:sz w:val="16"/>
        <w:szCs w:val="16"/>
      </w:rPr>
      <w:t xml:space="preserve">  •  Commercial, Usage &amp; Subscription Framework</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paragraph" w:styleId="Heading1">
    <w:name w:val="Heading 1"/>
    <w:basedOn w:val="Normal"/>
    <w:next w:val="Normal"/>
    <w:qFormat/>
    <w:pPr>
      <w:spacing w:before="360" w:after="200"/>
      <w:outlineLvl w:val="0"/>
    </w:pPr>
    <w:rPr>
      <w:rFonts w:ascii="Arial" w:cs="Arial" w:eastAsia="Arial" w:hAnsi="Arial"/>
      <w:b/>
      <w:bCs/>
      <w:color w:val="111827"/>
      <w:sz w:val="30"/>
      <w:szCs w:val="30"/>
    </w:rPr>
  </w:style>
  <w:style w:type="paragraph" w:styleId="Heading2">
    <w:name w:val="Heading 2"/>
    <w:basedOn w:val="Normal"/>
    <w:next w:val="Normal"/>
    <w:qFormat/>
    <w:pPr>
      <w:spacing w:before="280" w:after="160"/>
      <w:outlineLvl w:val="1"/>
    </w:pPr>
    <w:rPr>
      <w:rFonts w:ascii="Arial" w:cs="Arial" w:eastAsia="Arial" w:hAnsi="Arial"/>
      <w:b/>
      <w:bCs/>
      <w:color w:val="111827"/>
      <w:sz w:val="26"/>
      <w:szCs w:val="26"/>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 Id="rId6" Type="http://schemas.openxmlformats.org/officeDocument/2006/relationships/header" Target="header1.xml"/><Relationship Id="rId7" Type="http://schemas.openxmlformats.org/officeDocument/2006/relationships/footer" Target="footer1.xml"/><Relationship Id="rId8" Type="http://schemas.openxmlformats.org/officeDocument/2006/relationships/fontTable" Target="fontTable.xml"/></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2026-03-03T01:15:46.592Z</dcterms:created>
  <dcterms:modified xsi:type="dcterms:W3CDTF">2026-03-03T01:15:46.618Z</dcterms:modified>
</cp:coreProperties>
</file>

<file path=docProps/custom.xml><?xml version="1.0" encoding="utf-8"?>
<Properties xmlns="http://schemas.openxmlformats.org/officeDocument/2006/custom-properties" xmlns:vt="http://schemas.openxmlformats.org/officeDocument/2006/docPropsVTypes"/>
</file>