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8E725" w14:textId="77777777" w:rsidR="00584E45" w:rsidRPr="00584E45" w:rsidRDefault="00584E45" w:rsidP="00584E45">
      <w:pPr>
        <w:jc w:val="center"/>
        <w:rPr>
          <w:b/>
          <w:bCs/>
          <w:sz w:val="32"/>
          <w:szCs w:val="32"/>
        </w:rPr>
      </w:pPr>
      <w:r w:rsidRPr="00584E45">
        <w:rPr>
          <w:b/>
          <w:bCs/>
          <w:sz w:val="32"/>
          <w:szCs w:val="32"/>
        </w:rPr>
        <w:t>Literature Review: Real-Time Traffic Anomaly Detection and AI Benchmarking</w:t>
      </w:r>
    </w:p>
    <w:p w14:paraId="35D0AEB7" w14:textId="21CB7D25" w:rsidR="00584E45" w:rsidRDefault="00584E45" w:rsidP="00584E45">
      <w:pPr>
        <w:pStyle w:val="a9"/>
        <w:numPr>
          <w:ilvl w:val="0"/>
          <w:numId w:val="2"/>
        </w:numPr>
      </w:pPr>
      <w:r w:rsidRPr="00584E45">
        <w:rPr>
          <w:rStyle w:val="20"/>
          <w:b/>
          <w:bCs/>
        </w:rPr>
        <w:t>Introduction &amp; The IoT Data Quality Challenge</w:t>
      </w:r>
      <w:r w:rsidRPr="00584E45">
        <w:t xml:space="preserve"> </w:t>
      </w:r>
    </w:p>
    <w:p w14:paraId="6F7818EF" w14:textId="77777777" w:rsidR="00D66D4A" w:rsidRDefault="00D66D4A" w:rsidP="00D66D4A">
      <w:r w:rsidRPr="00D66D4A">
        <w:t>Smart cities increasingly rely on IoT sensors to monitor traffic networks. While Machine Learning (ML) is highly effective at predicting traffic anomalies when trained on clean, static datasets in controlled lab environments, deploying these models in the real world presents a severe software engineering challenge. In practice, live streaming data is inherently chaotic; physical sensors frequently transmit malformed "dirty data," such as negative vehicle speeds or broken JSON formats. If a pipeline feeds this unvalidated streaming data directly into an inference engine, it inevitably leads to two critical failures: local predictive models experience system crashes, and routing malformed payloads to external endpoints wastes expensive cloud LLM API costs. In the field of Machine Learning Operations (MLOps), failing to isolate and validate data before inference is a classic manifestation of "Hidden Technical Debt". As articulated by Sculley et al. (2015), without strict data verification mechanisms, production ML systems are highly susceptible to silent failures caused by corrupted inputs. Furthermore, while foundational literature by Chandola et al. (2009) comprehensively establishes the theoretical algorithms for identifying data outliers , transitioning these static theories to monitor live urban traffic requires a paradigm shift towards fault-tolerant middleware architectures. Therefore, managing IoT data quality is the critical first step before any reliable AI benchmarking can occur.</w:t>
      </w:r>
    </w:p>
    <w:p w14:paraId="49D15274" w14:textId="7E17BB44" w:rsidR="00584E45" w:rsidRDefault="00584E45" w:rsidP="00584E45">
      <w:pPr>
        <w:pStyle w:val="a9"/>
        <w:numPr>
          <w:ilvl w:val="0"/>
          <w:numId w:val="2"/>
        </w:numPr>
      </w:pPr>
      <w:r w:rsidRPr="00584E45">
        <w:rPr>
          <w:rStyle w:val="20"/>
          <w:b/>
          <w:bCs/>
        </w:rPr>
        <w:t>State-of-the-Art ML Models in Traffic Prediction</w:t>
      </w:r>
      <w:r w:rsidRPr="00584E45">
        <w:t xml:space="preserve"> </w:t>
      </w:r>
    </w:p>
    <w:p w14:paraId="7F1D2290" w14:textId="77777777" w:rsidR="00D66D4A" w:rsidRDefault="00D66D4A" w:rsidP="00D66D4A">
      <w:r>
        <w:t xml:space="preserve">To address the complexities of traffic anomaly detection, machine learning (ML) has firmly established itself as the industry standard, supplanting traditional statistical and heuristic-based approaches. Recent comprehensive reviews of Intelligent Transportation Systems (ITS) demonstrate that a wide spectrum of classical and ensemble machine learning algorithms can achieve exceptionally high detection accuracy on complex traffic flow data </w:t>
      </w:r>
      <w:r>
        <w:rPr>
          <w:b/>
          <w:bCs/>
        </w:rPr>
        <w:t>(Boukerche &amp; Wang, 2020)</w:t>
      </w:r>
      <w:r>
        <w:t>. While heavy, monolithic deep learning architectures (such as spatial-temporal graph neural networks) excel in extracting deep traffic patterns, they often struggle with high inference latency and massive memory consumption. Consequently, lightweight ensemble ML models are increasingly favored for real-time edge computing and middleware systems due to their minimal computational overhead and rapid inference capabilities.</w:t>
      </w:r>
    </w:p>
    <w:p w14:paraId="1BC3FD47" w14:textId="77777777" w:rsidR="00D66D4A" w:rsidRDefault="00D66D4A" w:rsidP="00D66D4A">
      <w:r>
        <w:t>However, a recurring and critical limitation across current algorithmic research is the idealization of evaluation datasets. Regardless of the specific model chosen, the vast majority of state-of-the-art algorithms are trained and benchmarked on perfectly pre-cleaned, historical datasets (e.g., standard baseline PeMS datasets). These academic benchmarks inherently assume a pristine data environment, completely failing to account for the chaotic, malformed nature of live streaming data encountered in production. This creates a significant gap between algorithmic theory and system reliability; a lightweight ML model may report 99% accuracy in a lab environment but will instantly crash when fed anomalous API payloads or broken JSON structures from real-world IoT sensors.</w:t>
      </w:r>
    </w:p>
    <w:p w14:paraId="467B5984" w14:textId="77777777" w:rsidR="00D66D4A" w:rsidRPr="00D66D4A" w:rsidRDefault="00D66D4A" w:rsidP="00584E45"/>
    <w:p w14:paraId="7D231DF6" w14:textId="77777777" w:rsidR="00584E45" w:rsidRDefault="00584E45" w:rsidP="00584E45">
      <w:r w:rsidRPr="00584E45">
        <w:rPr>
          <w:rStyle w:val="20"/>
          <w:b/>
          <w:bCs/>
        </w:rPr>
        <w:t>3. The Necessity of MLOps and Data Validation Gateways</w:t>
      </w:r>
      <w:r w:rsidRPr="00584E45">
        <w:t xml:space="preserve"> </w:t>
      </w:r>
    </w:p>
    <w:p w14:paraId="2EA246DB" w14:textId="48D29B62" w:rsidR="00D66D4A" w:rsidRPr="00584E45" w:rsidRDefault="00D66D4A" w:rsidP="00584E45">
      <w:r w:rsidRPr="00D66D4A">
        <w:t xml:space="preserve">To bridge the critical gap between idealized algorithmic performance and chaotic real-world IoT environments, proactive data quality management—a core pillar of Machine Learning Operations (MLOps)—is no longer an optional enhancement, but a strict architectural necessity. Industrial standards dictate that continuous data schema validation serves as the final line of defense to prevent AI model degradation and catastrophic system failures in production </w:t>
      </w:r>
      <w:r w:rsidRPr="00D66D4A">
        <w:rPr>
          <w:b/>
          <w:bCs/>
        </w:rPr>
        <w:t>(Polyzotis et al., 2017)</w:t>
      </w:r>
      <w:r w:rsidRPr="00D66D4A">
        <w:t>. While traditional academic research often assumes data pipelines are pristine, real-world traffic monitoring demands fault-tolerant middleware. Implementing a rigorous data validation gateway is essential for robust system architecture. By enforcing strict data typing and routing invalid payloads (e.g., missing timestamps or negative vehicle speeds) to a Dead Letter Queue (DLQ), the system can physically isolate corrupted data before inference occurs. This architectural pattern not only protects downstream machine learning engines from input noise but also acts as a crucial financial safeguard; it guarantees that only structurally sound, validated data triggers calls to external commercial Large Language Model (LLM) APIs, thereby optimizing operational costs and preventing wasted token expenditures.</w:t>
      </w:r>
    </w:p>
    <w:p w14:paraId="37481FEF" w14:textId="77777777" w:rsidR="00584E45" w:rsidRDefault="00584E45" w:rsidP="00584E45">
      <w:r w:rsidRPr="00584E45">
        <w:rPr>
          <w:rStyle w:val="20"/>
          <w:b/>
          <w:bCs/>
        </w:rPr>
        <w:t>4. Benchmarking and Edge-to-Cloud Architecture</w:t>
      </w:r>
      <w:r w:rsidRPr="00584E45">
        <w:t xml:space="preserve"> </w:t>
      </w:r>
    </w:p>
    <w:p w14:paraId="7A7ED3B9" w14:textId="77777777" w:rsidR="00B36AFB" w:rsidRPr="00B36AFB" w:rsidRDefault="00B36AFB" w:rsidP="00B36AFB">
      <w:r w:rsidRPr="00B36AFB">
        <w:t xml:space="preserve">Beyond algorithmic accuracy, system latency and throughput are critical performance metrics in real-time traffic anomaly detection. Comprehensive benchmarking frameworks emphasize that evaluating inference latency under high-concurrency stress is just as important as measuring precision </w:t>
      </w:r>
      <w:r w:rsidRPr="00B36AFB">
        <w:rPr>
          <w:b/>
          <w:bCs/>
        </w:rPr>
        <w:t>(Reddi et al., 2020)</w:t>
      </w:r>
      <w:r w:rsidRPr="00B36AFB">
        <w:t xml:space="preserve">. In the context of modern Intelligent Transportation Systems, relying solely on cloud-based Large Language Models (LLMs) for continuous stream processing introduces unacceptable network latency and exorbitant financial costs. Conversely, local edge devices often lack the computational capacity and reasoning depth required for complex anomaly resolution. To resolve this dichotomy, recent literature strongly advocates for the paradigm of Edge Intelligence </w:t>
      </w:r>
      <w:r w:rsidRPr="00B36AFB">
        <w:rPr>
          <w:b/>
          <w:bCs/>
        </w:rPr>
        <w:t>(Zhou et al., 2019)</w:t>
      </w:r>
      <w:r w:rsidRPr="00B36AFB">
        <w:t>. This architectural approach strategically partitions workloads: lightweight local models operate at the edge for immediate, low-latency screening of routine traffic data, while complex or ambiguous anomalies are selectively escalated to external cloud APIs. Developing an asynchronous, dual-track benchmarking engine to quantitatively evaluate these trade-offs—balancing local execution speed against cloud-based analytical capability—represents a critical frontier in modern AI system design.</w:t>
      </w:r>
    </w:p>
    <w:p w14:paraId="6B90DB3A" w14:textId="77777777" w:rsidR="00B36AFB" w:rsidRPr="00584E45" w:rsidRDefault="00B36AFB" w:rsidP="00584E45"/>
    <w:p w14:paraId="3B709DC5" w14:textId="77777777" w:rsidR="00584E45" w:rsidRDefault="00584E45" w:rsidP="00584E45">
      <w:r w:rsidRPr="00584E45">
        <w:rPr>
          <w:rStyle w:val="20"/>
          <w:b/>
          <w:bCs/>
        </w:rPr>
        <w:t>5. Conclusion and Research Gap</w:t>
      </w:r>
      <w:r w:rsidRPr="00584E45">
        <w:t xml:space="preserve"> </w:t>
      </w:r>
    </w:p>
    <w:p w14:paraId="29669209" w14:textId="77777777" w:rsidR="00B36AFB" w:rsidRPr="00B36AFB" w:rsidRDefault="00B36AFB" w:rsidP="00B36AFB">
      <w:pPr>
        <w:rPr>
          <w:rFonts w:hint="eastAsia"/>
        </w:rPr>
      </w:pPr>
      <w:r w:rsidRPr="00B36AFB">
        <w:rPr>
          <w:rFonts w:hint="eastAsia"/>
        </w:rPr>
        <w:t xml:space="preserve">A comprehensive review of the current literature reveals a significant disconnect in the field of intelligent traffic monitoring. While lightweight ensemble algorithms and edge computing paradigms are theoretically mature, they are predominantly evaluated in isolated, pristine lab environments. There is a distinct and critical research gap: currently, no open-source, end-to-end middleware exists that integrates rigorous schema validation (MLOps), asynchronous edge-to-cloud workload distribution, and real-time inference benchmarking into a single </w:t>
      </w:r>
      <w:r w:rsidRPr="00B36AFB">
        <w:rPr>
          <w:rFonts w:hint="eastAsia"/>
        </w:rPr>
        <w:lastRenderedPageBreak/>
        <w:t>unified pipeline. Most existing systems either focus purely on algorithmic accuracy while ignoring the systemic threat of dirty data, or they propose cloud-based architectures that are financially and operationally unsustainable for continuous stream processing.</w:t>
      </w:r>
    </w:p>
    <w:p w14:paraId="5EFD1B17" w14:textId="77777777" w:rsidR="00B36AFB" w:rsidRPr="00B36AFB" w:rsidRDefault="00B36AFB" w:rsidP="00B36AFB">
      <w:pPr>
        <w:rPr>
          <w:rFonts w:hint="eastAsia"/>
        </w:rPr>
      </w:pPr>
    </w:p>
    <w:p w14:paraId="5331A616" w14:textId="2F05278F" w:rsidR="00B36AFB" w:rsidRPr="00584E45" w:rsidRDefault="00B36AFB" w:rsidP="00B36AFB">
      <w:pPr>
        <w:rPr>
          <w:rFonts w:hint="eastAsia"/>
        </w:rPr>
      </w:pPr>
      <w:r w:rsidRPr="00B36AFB">
        <w:rPr>
          <w:rFonts w:hint="eastAsia"/>
        </w:rPr>
        <w:t>This Capstone project is uniquely positioned to directly address these identified gaps. By designing a Dual-Track AI Benchmarking Engine—physically safeguarded by a strict Pydantic validation gateway and a Dead Letter Queue (DLQ)—this research shifts the academic focus from isolated model precision to production-ready system resilience. Ultimately, this project bridges the critical gap between theoretical data science and robust software engineering, delivering a fault-tolerant, scalable framework ready for industrial IoT deployment.</w:t>
      </w:r>
    </w:p>
    <w:p w14:paraId="6100C5A3" w14:textId="474157E2" w:rsidR="00584E45" w:rsidRPr="00584E45" w:rsidRDefault="00584E45" w:rsidP="00584E45">
      <w:pPr>
        <w:pStyle w:val="2"/>
        <w:rPr>
          <w:b/>
          <w:bCs/>
        </w:rPr>
      </w:pPr>
      <w:r w:rsidRPr="00584E45">
        <w:rPr>
          <w:b/>
          <w:bCs/>
        </w:rPr>
        <w:t xml:space="preserve">References </w:t>
      </w:r>
    </w:p>
    <w:p w14:paraId="75AADA13" w14:textId="77777777" w:rsidR="00584E45" w:rsidRPr="00584E45" w:rsidRDefault="00584E45" w:rsidP="00584E45">
      <w:pPr>
        <w:numPr>
          <w:ilvl w:val="0"/>
          <w:numId w:val="1"/>
        </w:numPr>
      </w:pPr>
      <w:r w:rsidRPr="00584E45">
        <w:t xml:space="preserve">Karkouch, A., Mousannif, H., Al Moatassieme, H., &amp; Noel, T. (2016). Data quality in internet of things: A state-of-the-art survey. </w:t>
      </w:r>
      <w:r w:rsidRPr="00584E45">
        <w:rPr>
          <w:i/>
          <w:iCs/>
        </w:rPr>
        <w:t>Journal of Network and Computer Applications</w:t>
      </w:r>
      <w:r w:rsidRPr="00584E45">
        <w:t xml:space="preserve">, 73, 57-81. </w:t>
      </w:r>
      <w:hyperlink r:id="rId5" w:tgtFrame="_blank" w:history="1">
        <w:r w:rsidRPr="00584E45">
          <w:rPr>
            <w:rStyle w:val="ae"/>
          </w:rPr>
          <w:t>https://doi.org/10.1016/j.jnca.2016.08.002</w:t>
        </w:r>
      </w:hyperlink>
    </w:p>
    <w:p w14:paraId="52DDD36E" w14:textId="77777777" w:rsidR="00D66D4A" w:rsidRDefault="00D66D4A" w:rsidP="00584E45">
      <w:pPr>
        <w:numPr>
          <w:ilvl w:val="0"/>
          <w:numId w:val="1"/>
        </w:numPr>
      </w:pPr>
      <w:r w:rsidRPr="00D66D4A">
        <w:t xml:space="preserve">Boukerche, A., &amp; Wang, J. (2020). Machine learning-based traffic prediction models for Intelligent Transportation Systems. </w:t>
      </w:r>
      <w:r w:rsidRPr="00D66D4A">
        <w:rPr>
          <w:i/>
          <w:iCs/>
        </w:rPr>
        <w:t>Computer Networks</w:t>
      </w:r>
      <w:r w:rsidRPr="00D66D4A">
        <w:t xml:space="preserve">, 181, 107530. </w:t>
      </w:r>
      <w:hyperlink r:id="rId6" w:tgtFrame="_blank" w:history="1">
        <w:r w:rsidRPr="00D66D4A">
          <w:rPr>
            <w:rStyle w:val="ae"/>
          </w:rPr>
          <w:t>https://doi.org/10.1016/j.comnet.2020.107530</w:t>
        </w:r>
      </w:hyperlink>
    </w:p>
    <w:p w14:paraId="2FE7B938" w14:textId="6B526446" w:rsidR="00584E45" w:rsidRPr="00584E45" w:rsidRDefault="00584E45" w:rsidP="00584E45">
      <w:pPr>
        <w:numPr>
          <w:ilvl w:val="0"/>
          <w:numId w:val="1"/>
        </w:numPr>
      </w:pPr>
      <w:r w:rsidRPr="00584E45">
        <w:t xml:space="preserve">Polyzotis, N., Roy, S., Whang, S. E., &amp; Zinkevich, M. (2017). Data management challenges in production machine learning. </w:t>
      </w:r>
      <w:r w:rsidRPr="00584E45">
        <w:rPr>
          <w:i/>
          <w:iCs/>
        </w:rPr>
        <w:t>Proceedings of the 2017 ACM International Conference on Management of Data</w:t>
      </w:r>
      <w:r w:rsidRPr="00584E45">
        <w:t xml:space="preserve">, 1723-1726. </w:t>
      </w:r>
      <w:hyperlink r:id="rId7" w:tgtFrame="_blank" w:history="1">
        <w:r w:rsidRPr="00584E45">
          <w:rPr>
            <w:rStyle w:val="ae"/>
          </w:rPr>
          <w:t>https://dl.acm.org/doi/10.1145/3035918.3054782</w:t>
        </w:r>
      </w:hyperlink>
    </w:p>
    <w:p w14:paraId="67B974FB" w14:textId="77777777" w:rsidR="00584E45" w:rsidRPr="00584E45" w:rsidRDefault="00584E45" w:rsidP="00584E45">
      <w:pPr>
        <w:numPr>
          <w:ilvl w:val="0"/>
          <w:numId w:val="1"/>
        </w:numPr>
      </w:pPr>
      <w:r w:rsidRPr="00584E45">
        <w:t xml:space="preserve">Reddi, V. J., Cheng, C., Kanter, D., Mattson, P., Schmuelling, G., Wu, C. J., ... &amp; Warden, P. (2020). MLPerf Inference Benchmark. </w:t>
      </w:r>
      <w:r w:rsidRPr="00584E45">
        <w:rPr>
          <w:i/>
          <w:iCs/>
        </w:rPr>
        <w:t>ACM Annual International Symposium on Computer Architecture (ISCA)</w:t>
      </w:r>
      <w:r w:rsidRPr="00584E45">
        <w:t xml:space="preserve">, 446-459. </w:t>
      </w:r>
      <w:hyperlink r:id="rId8" w:tgtFrame="_blank" w:history="1">
        <w:r w:rsidRPr="00584E45">
          <w:rPr>
            <w:rStyle w:val="ae"/>
          </w:rPr>
          <w:t>https://arxiv.org/abs/1911.02549</w:t>
        </w:r>
      </w:hyperlink>
    </w:p>
    <w:p w14:paraId="50C9A0A4" w14:textId="77777777" w:rsidR="00584E45" w:rsidRDefault="00584E45" w:rsidP="00584E45">
      <w:pPr>
        <w:numPr>
          <w:ilvl w:val="0"/>
          <w:numId w:val="1"/>
        </w:numPr>
      </w:pPr>
      <w:r w:rsidRPr="00584E45">
        <w:t xml:space="preserve">Zhou, Z., Chen, X., Li, E., Zeng, L., Luo, K., &amp; Zhang, J. (2019). Edge intelligence: Paving the last mile of artificial intelligence with edge computing. </w:t>
      </w:r>
      <w:r w:rsidRPr="00584E45">
        <w:rPr>
          <w:i/>
          <w:iCs/>
        </w:rPr>
        <w:t>Proceedings of the IEEE</w:t>
      </w:r>
      <w:r w:rsidRPr="00584E45">
        <w:t xml:space="preserve">, 107(8), 1738-1762. </w:t>
      </w:r>
      <w:hyperlink r:id="rId9" w:tgtFrame="_blank" w:history="1">
        <w:r w:rsidRPr="00584E45">
          <w:rPr>
            <w:rStyle w:val="ae"/>
          </w:rPr>
          <w:t>https://doi.org/10.1109/JPROC.2019.2918951</w:t>
        </w:r>
      </w:hyperlink>
    </w:p>
    <w:p w14:paraId="1F1254ED" w14:textId="77777777" w:rsidR="00584E45" w:rsidRDefault="00584E45" w:rsidP="00584E45">
      <w:pPr>
        <w:pStyle w:val="a9"/>
        <w:numPr>
          <w:ilvl w:val="0"/>
          <w:numId w:val="1"/>
        </w:numPr>
        <w:rPr>
          <w:rFonts w:hint="eastAsia"/>
        </w:rPr>
      </w:pPr>
      <w:r w:rsidRPr="002C7A0B">
        <w:rPr>
          <w:rStyle w:val="af0"/>
        </w:rPr>
        <w:t>Sculley, D., et al. (2015). Hidden Technical Debt in Machine Learning Systems. Advances in Neural Information Processing Systems (NeurIPS), 28.</w:t>
      </w:r>
      <w:r w:rsidRPr="00394E2D">
        <w:t xml:space="preserve"> </w:t>
      </w:r>
    </w:p>
    <w:p w14:paraId="1D50D055" w14:textId="4F80BB43" w:rsidR="00584E45" w:rsidRPr="002C7A0B" w:rsidRDefault="00584E45" w:rsidP="00584E45">
      <w:pPr>
        <w:pStyle w:val="a9"/>
        <w:rPr>
          <w:rStyle w:val="af0"/>
          <w:rFonts w:hint="eastAsia"/>
        </w:rPr>
      </w:pPr>
      <w:hyperlink r:id="rId10" w:history="1">
        <w:r w:rsidRPr="00F44CDE">
          <w:rPr>
            <w:rStyle w:val="ae"/>
            <w:i/>
            <w:iCs/>
          </w:rPr>
          <w:t>https://papers.neurips.cc/paper/5656-hidden-technical-debt-in-machine-learning-systems.pdf</w:t>
        </w:r>
      </w:hyperlink>
    </w:p>
    <w:p w14:paraId="40550440" w14:textId="77777777" w:rsidR="00584E45" w:rsidRDefault="00584E45" w:rsidP="00584E45">
      <w:pPr>
        <w:pStyle w:val="a9"/>
        <w:numPr>
          <w:ilvl w:val="0"/>
          <w:numId w:val="1"/>
        </w:numPr>
        <w:rPr>
          <w:rFonts w:hint="eastAsia"/>
        </w:rPr>
      </w:pPr>
      <w:r w:rsidRPr="002C7A0B">
        <w:rPr>
          <w:rStyle w:val="af0"/>
        </w:rPr>
        <w:t>Kreps, J., Narkhede, N., &amp; Rao, J. (2011). Kafka: A Distributed Messaging System for Log Processing. Proceedings of the NetDB, 11, 1-7.</w:t>
      </w:r>
      <w:r w:rsidRPr="00394E2D">
        <w:rPr>
          <w:rFonts w:hint="eastAsia"/>
        </w:rPr>
        <w:t xml:space="preserve"> </w:t>
      </w:r>
    </w:p>
    <w:p w14:paraId="1890EE02" w14:textId="4DB25152" w:rsidR="00584E45" w:rsidRPr="002C7A0B" w:rsidRDefault="00584E45" w:rsidP="00584E45">
      <w:pPr>
        <w:pStyle w:val="a9"/>
        <w:rPr>
          <w:rStyle w:val="af0"/>
          <w:rFonts w:hint="eastAsia"/>
        </w:rPr>
      </w:pPr>
      <w:hyperlink r:id="rId11" w:history="1">
        <w:r w:rsidRPr="00F44CDE">
          <w:rPr>
            <w:rStyle w:val="ae"/>
            <w:i/>
            <w:iCs/>
          </w:rPr>
          <w:t>https://dl.acm.org/doi/10.1145/1541880.1541882</w:t>
        </w:r>
      </w:hyperlink>
    </w:p>
    <w:p w14:paraId="0B0785A4" w14:textId="77777777" w:rsidR="00584E45" w:rsidRDefault="00584E45" w:rsidP="00584E45">
      <w:pPr>
        <w:pStyle w:val="a9"/>
        <w:numPr>
          <w:ilvl w:val="0"/>
          <w:numId w:val="1"/>
        </w:numPr>
        <w:rPr>
          <w:rStyle w:val="af0"/>
          <w:rFonts w:hint="eastAsia"/>
        </w:rPr>
      </w:pPr>
      <w:r w:rsidRPr="002C7A0B">
        <w:rPr>
          <w:rStyle w:val="af0"/>
        </w:rPr>
        <w:t>Chandola, V., Banerjee, A., &amp; Kumar, V. (2009). Anomaly detection: A survey. ACM Computing Surveys (CSUR), 41(3), 1-58.</w:t>
      </w:r>
    </w:p>
    <w:p w14:paraId="367AF8D0" w14:textId="31223C06" w:rsidR="00CE1416" w:rsidRPr="00584E45" w:rsidRDefault="00584E45" w:rsidP="00584E45">
      <w:pPr>
        <w:pStyle w:val="a9"/>
        <w:rPr>
          <w:rFonts w:hint="eastAsia"/>
          <w:i/>
          <w:iCs/>
        </w:rPr>
      </w:pPr>
      <w:hyperlink r:id="rId12" w:history="1">
        <w:r w:rsidRPr="00F44CDE">
          <w:rPr>
            <w:rStyle w:val="ae"/>
            <w:i/>
            <w:iCs/>
          </w:rPr>
          <w:t>http://pages.cs.wisc.edu/~akella/CS744/F17/838-CloudPapers/Kafka.pdf</w:t>
        </w:r>
      </w:hyperlink>
    </w:p>
    <w:sectPr w:rsidR="00CE1416" w:rsidRPr="00584E4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E78D3"/>
    <w:multiLevelType w:val="multilevel"/>
    <w:tmpl w:val="1AF8D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2342A2"/>
    <w:multiLevelType w:val="hybridMultilevel"/>
    <w:tmpl w:val="AA146A7E"/>
    <w:lvl w:ilvl="0" w:tplc="DE061D98">
      <w:start w:val="1"/>
      <w:numFmt w:val="decimal"/>
      <w:lvlText w:val="%1."/>
      <w:lvlJc w:val="left"/>
      <w:pPr>
        <w:ind w:left="360" w:hanging="360"/>
      </w:pPr>
      <w:rPr>
        <w:rFonts w:asciiTheme="majorHAnsi" w:eastAsiaTheme="majorEastAsia" w:hAnsiTheme="majorHAnsi" w:cstheme="majorBidi" w:hint="default"/>
        <w:b/>
        <w:color w:val="000000" w:themeColor="text1"/>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32968917">
    <w:abstractNumId w:val="0"/>
  </w:num>
  <w:num w:numId="2" w16cid:durableId="1278679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904"/>
    <w:rsid w:val="001D7BB9"/>
    <w:rsid w:val="00387D81"/>
    <w:rsid w:val="004A1E73"/>
    <w:rsid w:val="00584E45"/>
    <w:rsid w:val="00A71904"/>
    <w:rsid w:val="00B36AFB"/>
    <w:rsid w:val="00C9300E"/>
    <w:rsid w:val="00CE1416"/>
    <w:rsid w:val="00D66D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33C9E5"/>
  <w15:chartTrackingRefBased/>
  <w15:docId w15:val="{AD515130-E98C-49E5-8C96-2D2DE21AA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7190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584E45"/>
    <w:pPr>
      <w:keepNext/>
      <w:keepLines/>
      <w:spacing w:before="160" w:after="80"/>
      <w:outlineLvl w:val="1"/>
    </w:pPr>
    <w:rPr>
      <w:rFonts w:asciiTheme="majorHAnsi" w:eastAsiaTheme="majorEastAsia" w:hAnsiTheme="majorHAnsi" w:cstheme="majorBidi"/>
      <w:color w:val="000000" w:themeColor="text1"/>
      <w:sz w:val="28"/>
      <w:szCs w:val="40"/>
    </w:rPr>
  </w:style>
  <w:style w:type="paragraph" w:styleId="3">
    <w:name w:val="heading 3"/>
    <w:basedOn w:val="a"/>
    <w:next w:val="a"/>
    <w:link w:val="30"/>
    <w:uiPriority w:val="9"/>
    <w:semiHidden/>
    <w:unhideWhenUsed/>
    <w:qFormat/>
    <w:rsid w:val="00A7190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7190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7190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7190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7190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7190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7190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7190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584E45"/>
    <w:rPr>
      <w:rFonts w:asciiTheme="majorHAnsi" w:eastAsiaTheme="majorEastAsia" w:hAnsiTheme="majorHAnsi" w:cstheme="majorBidi"/>
      <w:color w:val="000000" w:themeColor="text1"/>
      <w:sz w:val="28"/>
      <w:szCs w:val="40"/>
    </w:rPr>
  </w:style>
  <w:style w:type="character" w:customStyle="1" w:styleId="30">
    <w:name w:val="标题 3 字符"/>
    <w:basedOn w:val="a0"/>
    <w:link w:val="3"/>
    <w:uiPriority w:val="9"/>
    <w:semiHidden/>
    <w:rsid w:val="00A7190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71904"/>
    <w:rPr>
      <w:rFonts w:cstheme="majorBidi"/>
      <w:color w:val="0F4761" w:themeColor="accent1" w:themeShade="BF"/>
      <w:sz w:val="28"/>
      <w:szCs w:val="28"/>
    </w:rPr>
  </w:style>
  <w:style w:type="character" w:customStyle="1" w:styleId="50">
    <w:name w:val="标题 5 字符"/>
    <w:basedOn w:val="a0"/>
    <w:link w:val="5"/>
    <w:uiPriority w:val="9"/>
    <w:semiHidden/>
    <w:rsid w:val="00A71904"/>
    <w:rPr>
      <w:rFonts w:cstheme="majorBidi"/>
      <w:color w:val="0F4761" w:themeColor="accent1" w:themeShade="BF"/>
      <w:sz w:val="24"/>
      <w:szCs w:val="24"/>
    </w:rPr>
  </w:style>
  <w:style w:type="character" w:customStyle="1" w:styleId="60">
    <w:name w:val="标题 6 字符"/>
    <w:basedOn w:val="a0"/>
    <w:link w:val="6"/>
    <w:uiPriority w:val="9"/>
    <w:semiHidden/>
    <w:rsid w:val="00A71904"/>
    <w:rPr>
      <w:rFonts w:cstheme="majorBidi"/>
      <w:b/>
      <w:bCs/>
      <w:color w:val="0F4761" w:themeColor="accent1" w:themeShade="BF"/>
    </w:rPr>
  </w:style>
  <w:style w:type="character" w:customStyle="1" w:styleId="70">
    <w:name w:val="标题 7 字符"/>
    <w:basedOn w:val="a0"/>
    <w:link w:val="7"/>
    <w:uiPriority w:val="9"/>
    <w:semiHidden/>
    <w:rsid w:val="00A71904"/>
    <w:rPr>
      <w:rFonts w:cstheme="majorBidi"/>
      <w:b/>
      <w:bCs/>
      <w:color w:val="595959" w:themeColor="text1" w:themeTint="A6"/>
    </w:rPr>
  </w:style>
  <w:style w:type="character" w:customStyle="1" w:styleId="80">
    <w:name w:val="标题 8 字符"/>
    <w:basedOn w:val="a0"/>
    <w:link w:val="8"/>
    <w:uiPriority w:val="9"/>
    <w:semiHidden/>
    <w:rsid w:val="00A71904"/>
    <w:rPr>
      <w:rFonts w:cstheme="majorBidi"/>
      <w:color w:val="595959" w:themeColor="text1" w:themeTint="A6"/>
    </w:rPr>
  </w:style>
  <w:style w:type="character" w:customStyle="1" w:styleId="90">
    <w:name w:val="标题 9 字符"/>
    <w:basedOn w:val="a0"/>
    <w:link w:val="9"/>
    <w:uiPriority w:val="9"/>
    <w:semiHidden/>
    <w:rsid w:val="00A71904"/>
    <w:rPr>
      <w:rFonts w:eastAsiaTheme="majorEastAsia" w:cstheme="majorBidi"/>
      <w:color w:val="595959" w:themeColor="text1" w:themeTint="A6"/>
    </w:rPr>
  </w:style>
  <w:style w:type="paragraph" w:styleId="a3">
    <w:name w:val="Title"/>
    <w:basedOn w:val="a"/>
    <w:next w:val="a"/>
    <w:link w:val="a4"/>
    <w:uiPriority w:val="10"/>
    <w:qFormat/>
    <w:rsid w:val="00A7190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19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190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190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1904"/>
    <w:pPr>
      <w:spacing w:before="160" w:after="160"/>
      <w:jc w:val="center"/>
    </w:pPr>
    <w:rPr>
      <w:i/>
      <w:iCs/>
      <w:color w:val="404040" w:themeColor="text1" w:themeTint="BF"/>
    </w:rPr>
  </w:style>
  <w:style w:type="character" w:customStyle="1" w:styleId="a8">
    <w:name w:val="引用 字符"/>
    <w:basedOn w:val="a0"/>
    <w:link w:val="a7"/>
    <w:uiPriority w:val="29"/>
    <w:rsid w:val="00A71904"/>
    <w:rPr>
      <w:i/>
      <w:iCs/>
      <w:color w:val="404040" w:themeColor="text1" w:themeTint="BF"/>
    </w:rPr>
  </w:style>
  <w:style w:type="paragraph" w:styleId="a9">
    <w:name w:val="List Paragraph"/>
    <w:basedOn w:val="a"/>
    <w:uiPriority w:val="34"/>
    <w:qFormat/>
    <w:rsid w:val="00A71904"/>
    <w:pPr>
      <w:ind w:left="720"/>
      <w:contextualSpacing/>
    </w:pPr>
  </w:style>
  <w:style w:type="character" w:styleId="aa">
    <w:name w:val="Intense Emphasis"/>
    <w:basedOn w:val="a0"/>
    <w:uiPriority w:val="21"/>
    <w:qFormat/>
    <w:rsid w:val="00A71904"/>
    <w:rPr>
      <w:i/>
      <w:iCs/>
      <w:color w:val="0F4761" w:themeColor="accent1" w:themeShade="BF"/>
    </w:rPr>
  </w:style>
  <w:style w:type="paragraph" w:styleId="ab">
    <w:name w:val="Intense Quote"/>
    <w:basedOn w:val="a"/>
    <w:next w:val="a"/>
    <w:link w:val="ac"/>
    <w:uiPriority w:val="30"/>
    <w:qFormat/>
    <w:rsid w:val="00A71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71904"/>
    <w:rPr>
      <w:i/>
      <w:iCs/>
      <w:color w:val="0F4761" w:themeColor="accent1" w:themeShade="BF"/>
    </w:rPr>
  </w:style>
  <w:style w:type="character" w:styleId="ad">
    <w:name w:val="Intense Reference"/>
    <w:basedOn w:val="a0"/>
    <w:uiPriority w:val="32"/>
    <w:qFormat/>
    <w:rsid w:val="00A71904"/>
    <w:rPr>
      <w:b/>
      <w:bCs/>
      <w:smallCaps/>
      <w:color w:val="0F4761" w:themeColor="accent1" w:themeShade="BF"/>
      <w:spacing w:val="5"/>
    </w:rPr>
  </w:style>
  <w:style w:type="character" w:styleId="ae">
    <w:name w:val="Hyperlink"/>
    <w:basedOn w:val="a0"/>
    <w:uiPriority w:val="99"/>
    <w:unhideWhenUsed/>
    <w:rsid w:val="00584E45"/>
    <w:rPr>
      <w:color w:val="467886" w:themeColor="hyperlink"/>
      <w:u w:val="single"/>
    </w:rPr>
  </w:style>
  <w:style w:type="character" w:styleId="af">
    <w:name w:val="Unresolved Mention"/>
    <w:basedOn w:val="a0"/>
    <w:uiPriority w:val="99"/>
    <w:semiHidden/>
    <w:unhideWhenUsed/>
    <w:rsid w:val="00584E45"/>
    <w:rPr>
      <w:color w:val="605E5C"/>
      <w:shd w:val="clear" w:color="auto" w:fill="E1DFDD"/>
    </w:rPr>
  </w:style>
  <w:style w:type="character" w:styleId="af0">
    <w:name w:val="Emphasis"/>
    <w:basedOn w:val="a0"/>
    <w:uiPriority w:val="20"/>
    <w:qFormat/>
    <w:rsid w:val="00584E45"/>
    <w:rPr>
      <w:i/>
      <w:iCs/>
    </w:rPr>
  </w:style>
  <w:style w:type="paragraph" w:styleId="af1">
    <w:name w:val="Normal (Web)"/>
    <w:basedOn w:val="a"/>
    <w:uiPriority w:val="99"/>
    <w:semiHidden/>
    <w:unhideWhenUsed/>
    <w:rsid w:val="00D66D4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911.0254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l.acm.org/doi/10.1145/3035918.3054782" TargetMode="External"/><Relationship Id="rId12" Type="http://schemas.openxmlformats.org/officeDocument/2006/relationships/hyperlink" Target="http://pages.cs.wisc.edu/~akella/CS744/F17/838-CloudPapers/Kafka.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comnet.2020.107530" TargetMode="External"/><Relationship Id="rId11" Type="http://schemas.openxmlformats.org/officeDocument/2006/relationships/hyperlink" Target="https://dl.acm.org/doi/10.1145/1541880.1541882" TargetMode="External"/><Relationship Id="rId5" Type="http://schemas.openxmlformats.org/officeDocument/2006/relationships/hyperlink" Target="https://doi.org/10.1016/j.jnca.2016.08.002" TargetMode="External"/><Relationship Id="rId10" Type="http://schemas.openxmlformats.org/officeDocument/2006/relationships/hyperlink" Target="https://papers.neurips.cc/paper/5656-hidden-technical-debt-in-machine-learning-systems.pdf" TargetMode="External"/><Relationship Id="rId4" Type="http://schemas.openxmlformats.org/officeDocument/2006/relationships/webSettings" Target="webSettings.xml"/><Relationship Id="rId9" Type="http://schemas.openxmlformats.org/officeDocument/2006/relationships/hyperlink" Target="https://doi.org/10.1109/JPROC.2019.2918951"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1311</Words>
  <Characters>8500</Characters>
  <Application>Microsoft Office Word</Application>
  <DocSecurity>0</DocSecurity>
  <Lines>149</Lines>
  <Paragraphs>55</Paragraphs>
  <ScaleCrop>false</ScaleCrop>
  <Company/>
  <LinksUpToDate>false</LinksUpToDate>
  <CharactersWithSpaces>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JIU YU LI</dc:creator>
  <cp:keywords/>
  <dc:description/>
  <cp:lastModifiedBy>JIU YU LI</cp:lastModifiedBy>
  <cp:revision>2</cp:revision>
  <dcterms:created xsi:type="dcterms:W3CDTF">2026-04-25T10:42:00Z</dcterms:created>
  <dcterms:modified xsi:type="dcterms:W3CDTF">2026-04-25T11:08:00Z</dcterms:modified>
</cp:coreProperties>
</file>