
<file path=[Content_Types].xml><?xml version="1.0" encoding="utf-8"?>
<Types xmlns="http://schemas.openxmlformats.org/package/2006/content-types">
  <Default Extension="png" ContentType="image/png"/>
  <Default Extension="jpg" ContentType="image/jpeg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media/image1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media/image1.jpg" ContentType="image/jpeg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w="http://schemas.openxmlformats.org/wordprocessingml/2006/main" xmlns:wpsCustomData="http://www.wps.cn/officeDocument/2013/wpsCustomData" xmlns:m="http://schemas.openxmlformats.org/officeDocument/2006/math" xmlns:r="http://schemas.openxmlformats.org/officeDocument/2006/relationships" xmlns:w14="http://schemas.microsoft.com/office/word/2010/wordml" xmlns:w10="urn:schemas-microsoft-com:office:word" xmlns:wpi="http://schemas.microsoft.com/office/word/2010/wordprocessingInk" xmlns:v="urn:schemas-microsoft-com:vml" xmlns:wp14="http://schemas.microsoft.com/office/word/2010/wordprocessingDrawing" xmlns:wp="http://schemas.openxmlformats.org/drawingml/2006/wordprocessingDrawing" xmlns:wpg="http://schemas.microsoft.com/office/word/2010/wordprocessingGroup" xmlns:w15="http://schemas.microsoft.com/office/word/2012/wordml" xmlns:wne="http://schemas.microsoft.com/office/word/2006/wordml" xmlns:a="http://schemas.openxmlformats.org/drawingml/2006/main" xmlns:wps="http://schemas.microsoft.com/office/word/2010/wordprocessingShape" xmlns:pic="http://schemas.openxmlformats.org/drawingml/2006/picture" mc:Ignorable="w14 w15 wp14">
  <w:body>
    <w:p w14:paraId="5AB5C2D2">
      <w:pPr>
        <w:jc w:val="center"/>
        <w:rPr>
          <w:b w:val="1"/>
          <w:sz w:val="28"/>
          <w:szCs w:val="28"/>
          <w:rFonts w:ascii="仿宋_GB2312;仿宋" w:hAnsi="仿宋_GB2312;仿宋" w:eastAsia="仿宋_GB2312;仿宋" w:cs="宋体"/>
        </w:rPr>
      </w:pPr>
      <w:r>
        <w:rPr>
          <w:b w:val="1"/>
          <w:sz w:val="28"/>
          <w:szCs w:val="28"/>
          <w:rFonts w:ascii="仿宋_GB2312;仿宋" w:hAnsi="仿宋_GB2312;仿宋" w:eastAsia="仿宋_GB2312;仿宋" w:cs="宋体"/>
        </w:rPr>
        <w:t>西安交通大学思想政治理论课实践教学活动记录册</w:t>
      </w:r>
    </w:p>
    <w:tbl>
      <w:tblPr>
        <w:tblStyle w:val="7"/>
        <w:tblW w:w="8522" w:type="dxa"/>
        <w:tblInd w:type="dxa" w:w="0.000000"/>
        <w:tblLayout w:type="fixed"/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645.000000"/>
        <w:gridCol w:w="533.000000"/>
        <w:gridCol w:w="1330.000000"/>
        <w:gridCol w:w="1176.000000"/>
        <w:gridCol w:w="1838.000000"/>
        <w:gridCol w:w="1262.000000"/>
        <w:gridCol w:w="1738.000000"/>
      </w:tblGrid>
      <w:tr w14:paraId="72705BEA">
        <w:tblPrEx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607" w:hRule="atLeast"/>
        </w:trPr>
        <w:tc>
          <w:tcPr>
            <w:tcW w:w="1178" w:type="dxa"/>
            <w:gridSpan w:val="2"/>
            <w:vAlign w:val="center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29177D">
            <w:pPr>
              <w:jc w:val="center"/>
              <w:rPr>
                <w:sz w:val="24"/>
                <w:rFonts w:ascii="仿宋_GB2312;仿宋" w:hAnsi="仿宋_GB2312;仿宋" w:eastAsia="仿宋_GB2312;仿宋"/>
              </w:rPr>
            </w:pPr>
            <w:r>
              <w:rPr>
                <w:sz w:val="24"/>
                <w:rFonts w:ascii="仿宋_GB2312" w:hAnsi="仿宋_GB2312" w:eastAsia="仿宋_GB2312"/>
              </w:rPr>
              <w:t>姓名</w:t>
            </w:r>
          </w:p>
        </w:tc>
        <w:tc>
          <w:tcPr>
            <w:tcW w:w="1330" w:type="dxa"/>
            <w:vAlign w:val="center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059E31">
            <w:pPr>
              <w:jc w:val="center"/>
              <w:spacing w:after="0" w:before="0"/>
            </w:pPr>
            <w:r>
              <w:rPr>
                <w:b w:val="0"/>
                <w:sz w:val="24"/>
                <w:rFonts w:ascii="仿宋_GB2312" w:hAnsi="仿宋_GB2312" w:eastAsia="仿宋_GB2312"/>
              </w:rPr>
              <w:t>林硕锦</w:t>
            </w:r>
          </w:p>
        </w:tc>
        <w:tc>
          <w:tcPr>
            <w:tcW w:w="1176" w:type="dxa"/>
            <w:vAlign w:val="center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E8C769">
            <w:pPr>
              <w:jc w:val="center"/>
              <w:rPr>
                <w:sz w:val="24"/>
                <w:rFonts w:ascii="仿宋_GB2312;仿宋" w:hAnsi="仿宋_GB2312;仿宋" w:eastAsia="仿宋_GB2312;仿宋"/>
              </w:rPr>
            </w:pPr>
            <w:r>
              <w:rPr>
                <w:sz w:val="24"/>
                <w:rFonts w:ascii="仿宋_GB2312" w:hAnsi="仿宋_GB2312" w:eastAsia="仿宋_GB2312"/>
              </w:rPr>
              <w:t>学号</w:t>
            </w:r>
          </w:p>
        </w:tc>
        <w:tc>
          <w:tcPr>
            <w:tcW w:w="1838" w:type="dxa"/>
            <w:vAlign w:val="center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7CF2CF">
            <w:pPr>
              <w:jc w:val="center"/>
              <w:spacing w:after="0" w:before="0"/>
            </w:pPr>
            <w:r>
              <w:rPr>
                <w:b w:val="0"/>
                <w:sz w:val="24"/>
                <w:rFonts w:ascii="仿宋_GB2312" w:hAnsi="仿宋_GB2312" w:eastAsia="仿宋_GB2312"/>
              </w:rPr>
              <w:t>2243515519</w:t>
            </w:r>
          </w:p>
        </w:tc>
        <w:tc>
          <w:tcPr>
            <w:tcW w:w="1262" w:type="dxa"/>
            <w:vAlign w:val="center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2787A8">
            <w:pPr>
              <w:jc w:val="center"/>
              <w:rPr>
                <w:sz w:val="24"/>
                <w:rFonts w:ascii="仿宋_GB2312;仿宋" w:hAnsi="仿宋_GB2312;仿宋" w:eastAsia="仿宋_GB2312;仿宋"/>
              </w:rPr>
            </w:pPr>
            <w:r>
              <w:rPr>
                <w:sz w:val="24"/>
                <w:rFonts w:ascii="仿宋_GB2312" w:hAnsi="仿宋_GB2312" w:eastAsia="仿宋_GB2312"/>
              </w:rPr>
              <w:t>指导老师</w:t>
            </w:r>
          </w:p>
        </w:tc>
        <w:tc>
          <w:tcPr>
            <w:tcW w:w="1738" w:type="dxa"/>
            <w:vAlign w:val="center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A40320">
            <w:pPr>
              <w:jc w:val="center"/>
              <w:spacing w:after="0" w:before="0"/>
            </w:pPr>
            <w:r>
              <w:rPr>
                <w:b w:val="0"/>
                <w:sz w:val="24"/>
                <w:rFonts w:ascii="仿宋_GB2312" w:hAnsi="仿宋_GB2312" w:eastAsia="仿宋_GB2312"/>
              </w:rPr>
              <w:t>刘晗梦</w:t>
            </w:r>
          </w:p>
        </w:tc>
      </w:tr>
      <w:tr w14:paraId="4F033AC0">
        <w:tblPrEx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615" w:hRule="atLeast"/>
        </w:trPr>
        <w:tc>
          <w:tcPr>
            <w:tcW w:w="1178" w:type="dxa"/>
            <w:gridSpan w:val="2"/>
            <w:vAlign w:val="center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0FD5C9">
            <w:pPr>
              <w:jc w:val="center"/>
              <w:rPr>
                <w:sz w:val="24"/>
                <w:rFonts w:ascii="仿宋_GB2312;仿宋" w:hAnsi="仿宋_GB2312;仿宋" w:eastAsia="仿宋_GB2312;仿宋"/>
              </w:rPr>
            </w:pPr>
            <w:r>
              <w:rPr>
                <w:sz w:val="24"/>
                <w:rFonts w:ascii="仿宋_GB2312" w:hAnsi="仿宋_GB2312" w:eastAsia="仿宋_GB2312"/>
              </w:rPr>
              <w:t>书院</w:t>
            </w:r>
          </w:p>
        </w:tc>
        <w:tc>
          <w:tcPr>
            <w:tcW w:w="2506" w:type="dxa"/>
            <w:gridSpan w:val="2"/>
            <w:vAlign w:val="center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5AE838">
            <w:pPr>
              <w:jc w:val="center"/>
              <w:spacing w:after="0" w:before="0"/>
            </w:pPr>
            <w:r>
              <w:rPr>
                <w:b w:val="0"/>
                <w:sz w:val="24"/>
                <w:rFonts w:ascii="仿宋_GB2312" w:hAnsi="仿宋_GB2312" w:eastAsia="仿宋_GB2312"/>
              </w:rPr>
              <w:t>励志书院</w:t>
            </w:r>
          </w:p>
        </w:tc>
        <w:tc>
          <w:tcPr>
            <w:tcW w:w="1838" w:type="dxa"/>
            <w:vAlign w:val="center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097B94">
            <w:pPr>
              <w:jc w:val="center"/>
              <w:rPr>
                <w:sz w:val="24"/>
                <w:rFonts w:ascii="仿宋_GB2312;仿宋" w:hAnsi="仿宋_GB2312;仿宋" w:eastAsia="仿宋_GB2312;仿宋"/>
              </w:rPr>
            </w:pPr>
            <w:r>
              <w:rPr>
                <w:sz w:val="24"/>
                <w:rFonts w:ascii="仿宋_GB2312" w:hAnsi="仿宋_GB2312" w:eastAsia="仿宋_GB2312"/>
              </w:rPr>
              <w:t>班级</w:t>
            </w:r>
          </w:p>
        </w:tc>
        <w:tc>
          <w:tcPr>
            <w:tcW w:w="3000" w:type="dxa"/>
            <w:gridSpan w:val="2"/>
            <w:vAlign w:val="center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7BD118">
            <w:pPr>
              <w:jc w:val="center"/>
              <w:spacing w:after="0" w:before="0"/>
            </w:pPr>
            <w:r>
              <w:rPr>
                <w:b w:val="0"/>
                <w:sz w:val="24"/>
                <w:rFonts w:ascii="仿宋_GB2312" w:hAnsi="仿宋_GB2312" w:eastAsia="仿宋_GB2312"/>
              </w:rPr>
              <w:t>信计2401</w:t>
            </w:r>
          </w:p>
        </w:tc>
      </w:tr>
      <w:tr w14:paraId="7B1BCA1B">
        <w:tblPrEx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622" w:hRule="atLeast"/>
        </w:trPr>
        <w:tc>
          <w:tcPr>
            <w:tcW w:w="1178" w:type="dxa"/>
            <w:gridSpan w:val="2"/>
            <w:vAlign w:val="center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3C622F">
            <w:pPr>
              <w:jc w:val="center"/>
              <w:rPr>
                <w:sz w:val="24"/>
                <w:rFonts w:ascii="仿宋_GB2312;仿宋" w:hAnsi="仿宋_GB2312;仿宋" w:eastAsia="仿宋_GB2312;仿宋"/>
              </w:rPr>
            </w:pPr>
            <w:r>
              <w:rPr>
                <w:sz w:val="24"/>
                <w:rFonts w:ascii="仿宋_GB2312" w:hAnsi="仿宋_GB2312" w:eastAsia="仿宋_GB2312"/>
              </w:rPr>
              <w:t>实践时间</w:t>
            </w:r>
          </w:p>
        </w:tc>
        <w:tc>
          <w:tcPr>
            <w:tcW w:w="2506" w:type="dxa"/>
            <w:gridSpan w:val="2"/>
            <w:vAlign w:val="center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926E44">
            <w:pPr>
              <w:jc w:val="center"/>
              <w:spacing w:after="0" w:before="0"/>
            </w:pPr>
            <w:r>
              <w:rPr>
                <w:b w:val="0"/>
                <w:sz w:val="24"/>
                <w:rFonts w:ascii="仿宋_GB2312" w:hAnsi="仿宋_GB2312" w:eastAsia="仿宋_GB2312"/>
              </w:rPr>
              <w:t>2026.7.19-2026.7.25</w:t>
            </w:r>
          </w:p>
        </w:tc>
        <w:tc>
          <w:tcPr>
            <w:tcW w:w="1838" w:type="dxa"/>
            <w:vAlign w:val="center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4F90D5">
            <w:pPr>
              <w:jc w:val="center"/>
              <w:rPr>
                <w:sz w:val="24"/>
                <w:rFonts w:ascii="仿宋_GB2312;仿宋" w:hAnsi="仿宋_GB2312;仿宋" w:eastAsia="仿宋_GB2312;仿宋"/>
              </w:rPr>
            </w:pPr>
            <w:r>
              <w:rPr>
                <w:sz w:val="24"/>
                <w:rFonts w:ascii="仿宋_GB2312" w:hAnsi="仿宋_GB2312" w:eastAsia="仿宋_GB2312"/>
              </w:rPr>
              <w:t>累计实践学时</w:t>
            </w:r>
          </w:p>
        </w:tc>
        <w:tc>
          <w:tcPr>
            <w:tcW w:w="3000" w:type="dxa"/>
            <w:gridSpan w:val="2"/>
            <w:vAlign w:val="center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F23278">
            <w:pPr>
              <w:jc w:val="center"/>
              <w:spacing w:after="0" w:before="0"/>
            </w:pPr>
            <w:r>
              <w:rPr>
                <w:b w:val="0"/>
                <w:sz w:val="24"/>
                <w:rFonts w:ascii="仿宋_GB2312" w:hAnsi="仿宋_GB2312" w:eastAsia="仿宋_GB2312"/>
              </w:rPr>
              <w:t>60</w:t>
            </w:r>
          </w:p>
        </w:tc>
      </w:tr>
      <w:tr w14:paraId="7CAB34DA">
        <w:tblPrEx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602" w:hRule="atLeast"/>
        </w:trPr>
        <w:tc>
          <w:tcPr>
            <w:tcW w:w="1178" w:type="dxa"/>
            <w:gridSpan w:val="2"/>
            <w:vAlign w:val="center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DE5530">
            <w:pPr>
              <w:jc w:val="center"/>
              <w:rPr>
                <w:sz w:val="24"/>
                <w:rFonts w:ascii="仿宋_GB2312;仿宋" w:hAnsi="仿宋_GB2312;仿宋" w:eastAsia="仿宋_GB2312;仿宋"/>
              </w:rPr>
            </w:pPr>
            <w:r>
              <w:rPr>
                <w:sz w:val="24"/>
                <w:rFonts w:ascii="仿宋_GB2312" w:hAnsi="仿宋_GB2312" w:eastAsia="仿宋_GB2312"/>
              </w:rPr>
              <w:t>实践类型</w:t>
            </w:r>
          </w:p>
        </w:tc>
        <w:tc>
          <w:tcPr>
            <w:tcW w:w="7344" w:type="dxa"/>
            <w:gridSpan w:val="5"/>
            <w:vAlign w:val="center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6D002F">
            <w:pPr>
              <w:jc w:val="left"/>
              <w:spacing w:after="0" w:before="0" w:line="288" w:lineRule="auto"/>
            </w:pPr>
            <w:r>
              <w:rPr>
                <w:b w:val="0"/>
                <w:sz w:val="24"/>
                <w:rFonts w:ascii="仿宋_GB2312" w:hAnsi="仿宋_GB2312" w:eastAsia="仿宋_GB2312"/>
              </w:rPr>
              <w:t>□红色寻访    □体验教育    □社会观察    □其他</w:t>
            </w:r>
          </w:p>
          <w:p w14:paraId="4DA4C41A">
            <w:pPr>
              <w:jc w:val="left"/>
              <w:spacing w:after="0" w:before="0" w:line="288" w:lineRule="auto"/>
            </w:pPr>
            <w:r>
              <w:rPr>
                <w:b w:val="0"/>
                <w:sz w:val="24"/>
                <w:rFonts w:ascii="仿宋_GB2312" w:hAnsi="仿宋_GB2312" w:eastAsia="仿宋_GB2312"/>
              </w:rPr>
              <w:t>☑主题调研    □理论宣讲    □志愿服务</w:t>
            </w:r>
          </w:p>
        </w:tc>
      </w:tr>
      <w:tr w14:paraId="3FF8C195">
        <w:tblPrEx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1962" w:hRule="atLeast"/>
        </w:trPr>
        <w:tc>
          <w:tcPr>
            <w:tcW w:w="8522" w:type="dxa"/>
            <w:gridSpan w:val="7"/>
            <w:vAlign w:val="top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1B764E">
            <w:pPr>
              <w:jc w:val="left"/>
              <w:spacing w:after="0" w:before="0"/>
            </w:pPr>
            <w:r>
              <w:rPr>
                <w:b w:val="0"/>
                <w:sz w:val="24"/>
                <w:rFonts w:ascii="仿宋_GB2312" w:hAnsi="仿宋_GB2312" w:eastAsia="仿宋_GB2312"/>
              </w:rPr>
              <w:t>实践活动简介（200字左右，活动开展情况、主要心得、政策建议等概要）</w:t>
            </w:r>
          </w:p>
          <w:p w14:paraId="2F6D6668">
            <w:pPr>
              <w:spacing w:after="0" w:before="0"/>
            </w:pPr>
          </w:p>
          <w:p w14:paraId="59817DF1">
            <w:pPr>
              <w:jc w:val="both"/>
              <w:spacing w:after="0" w:before="0" w:line="360" w:lineRule="auto"/>
              <w:ind w:firstLine="480"/>
            </w:pPr>
            <w:r>
              <w:rPr>
                <w:b w:val="0"/>
                <w:sz w:val="24"/>
                <w:rFonts w:ascii="仿宋_GB2312" w:hAnsi="仿宋_GB2312" w:eastAsia="仿宋_GB2312"/>
              </w:rPr>
              <w:t>2026年7月19日至25日，西安交通大学“启明寻洛，脉续中原”实践队赴洛阳、开封开展中原文化传承主题调研。实践队走访隋唐洛阳城国家遗址公园、龙门石窟、洛阳博物馆、二里头夏都遗址博物馆、清明上河园和万岁山武侠城，通过现场考察、讲解交流与游客访谈，了解文化遗产保护和文旅传播现状。</w:t>
            </w:r>
            <w:r>
              <w:rPr>
                <w:b w:val="0"/>
                <w:sz w:val="24"/>
                <w:rFonts w:ascii="仿宋_GB2312" w:hAnsi="仿宋_GB2312" w:eastAsia="仿宋_GB2312" w:hint="eastAsia"/>
              </w:rPr>
              <w:t>调研中，游客普遍认可数字互动和沉浸式演艺带来的文化体验，也反映高温天气下休憩设施不足、演出抢票困难。建议景区完善遮阴休息和票务服务，并在保留文化内核的前提下改进演出表达。</w:t>
            </w:r>
          </w:p>
          <w:p w14:paraId="27547CE0">
            <w:pPr>
              <w:spacing w:after="0" w:before="0"/>
            </w:pPr>
          </w:p>
        </w:tc>
      </w:tr>
      <w:tr w14:paraId="2F0635C5">
        <w:tblPrEx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5302" w:hRule="atLeast"/>
        </w:trPr>
        <w:tc>
          <w:tcPr>
            <w:tcW w:w="8522" w:type="dxa"/>
            <w:gridSpan w:val="7"/>
            <w:vAlign w:val="top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C0228D">
            <w:pPr>
              <w:jc w:val="left"/>
              <w:spacing w:after="0" w:before="0"/>
            </w:pPr>
            <w:r>
              <w:rPr>
                <w:b w:val="0"/>
                <w:sz w:val="24"/>
                <w:rFonts w:ascii="仿宋_GB2312" w:hAnsi="仿宋_GB2312" w:eastAsia="仿宋_GB2312"/>
              </w:rPr>
              <w:t>实践活动总结（不少于2000字，可附页）</w:t>
            </w:r>
          </w:p>
          <w:p w14:paraId="028DA8B4">
            <w:pPr>
              <w:spacing w:after="0" w:before="0"/>
            </w:pPr>
          </w:p>
          <w:p w14:paraId="7117CFB9">
            <w:pPr>
              <w:jc w:val="both"/>
              <w:spacing w:after="40" w:before="0" w:line="360" w:lineRule="auto"/>
              <w:ind w:firstLine="480"/>
            </w:pPr>
            <w:r>
              <w:rPr>
                <w:b w:val="0"/>
                <w:sz w:val="24"/>
                <w:rFonts w:ascii="仿宋_GB2312" w:hAnsi="仿宋_GB2312" w:eastAsia="仿宋_GB2312"/>
              </w:rPr>
              <w:t>2026年7月19日至25日，西安交通大学“启明寻洛，脉续中原”实践队赴洛阳、开封开展主题调研。此次实践以中原文化的保护与传播为主线，希望通过实地考察回答两个问题：厚重的历史如何被当代公众读懂，传统文化又应以怎样的方式进入青年生活。实践期间，队伍走进遗址、石窟、博物馆和文旅景区，在讲解与采访中不断修正自己对“文化传承”的认识。它不是对古代符号的简单复刻，而是要守住真实的历史根基，再找到适合当代人的表达方式。</w:t>
            </w:r>
          </w:p>
          <w:p w14:paraId="2FC1E1E7">
            <w:pPr>
              <w:jc w:val="both"/>
              <w:spacing w:after="40" w:before="0" w:line="360" w:lineRule="auto"/>
              <w:ind w:firstLine="480"/>
            </w:pPr>
            <w:r>
              <w:rPr>
                <w:b w:val="0"/>
                <w:sz w:val="24"/>
                <w:rFonts w:ascii="仿宋_GB2312" w:hAnsi="仿宋_GB2312" w:eastAsia="仿宋_GB2312"/>
              </w:rPr>
              <w:t>7月19日晚，实践队抵达洛阳后前往隋唐洛阳城国家遗址公园。夜色中的天堂与九洲池，使已经消失的宫城格局重新获得可见的轮廓。下沉广场的演出借助舞台叙事呈现隋唐风貌，观众不必先掌握大量史料，也能由人物和故事进入那段历史。这样的呈现方式让我意识到，遗址保护并不意味着让历史停留在静止的展板上。合理的复原和演绎能够为公众建立理解入口，但内容越具观赏性，越需要清楚说明复原依据，避免让艺术加工取代历史事实。</w:t>
            </w:r>
          </w:p>
          <w:p w14:paraId="0AF1298C">
            <w:pPr>
              <w:jc w:val="both"/>
              <w:spacing w:after="40" w:before="0" w:line="360" w:lineRule="auto"/>
              <w:ind w:firstLine="480"/>
            </w:pPr>
            <w:r>
              <w:rPr>
                <w:b w:val="0"/>
                <w:sz w:val="24"/>
                <w:rFonts w:ascii="仿宋_GB2312" w:hAnsi="仿宋_GB2312" w:eastAsia="仿宋_GB2312"/>
              </w:rPr>
              <w:t>当晚，队员还采访了外国游客和身着传统服饰的小朋友。外国游客对洛阳古城的建筑气象和文化氛围给予了积极评价，小朋友则用朴素的语言表达了对传统服饰和古都故事的喜爱。两类受访者的回答让我看到，文化认同往往从一次具体的观看开始。传播者不必一味追求宏大表述，先让人愿意靠近、产生好奇，历史才有机会被进一步了解。</w:t>
            </w:r>
          </w:p>
          <w:p w14:paraId="2884537D">
            <w:pPr>
              <w:jc w:val="both"/>
              <w:spacing w:after="40" w:before="0" w:line="360" w:lineRule="auto"/>
              <w:ind w:firstLine="480"/>
            </w:pPr>
            <w:r>
              <w:rPr>
                <w:b w:val="0"/>
                <w:sz w:val="24"/>
                <w:rFonts w:ascii="仿宋_GB2312" w:hAnsi="仿宋_GB2312" w:eastAsia="仿宋_GB2312"/>
              </w:rPr>
              <w:t>7月20日，实践队来到龙门石窟。伊河从两山之间穿过，石窟沿西山崖壁铺展开来，这一地理格局本身就构成了龙门独特的文化景观。沿栈道前行，宾阳三洞、万佛洞、莲花洞和奉先寺等窟龛依次进入视野。不同造像在面容和衣纹上的差异，记录了审美风格随时代发生的变化。尤其站在卢舍那大佛前，宏大的尺度并未带来距离感，平和的神态反而使人感到一种安定的力量。千年石刻能够保存至今，背后是长期而细致的保护工作，也提醒我们在参观时尊重文物本体和景区秩序。</w:t>
            </w:r>
          </w:p>
          <w:p w14:paraId="18A6BBD6">
            <w:pPr>
              <w:jc w:val="both"/>
              <w:spacing w:after="40" w:before="0" w:line="360" w:lineRule="auto"/>
              <w:ind w:firstLine="480"/>
            </w:pPr>
            <w:r>
              <w:rPr>
                <w:b w:val="0"/>
                <w:sz w:val="24"/>
                <w:rFonts w:ascii="仿宋_GB2312" w:hAnsi="仿宋_GB2312" w:eastAsia="仿宋_GB2312"/>
              </w:rPr>
              <w:t>在龙门石窟，实践队围绕景区变化和文化讲解采访了导游。受访者提到，讲解的价值不只是说明年代和名称，更重要的是把零散的造像信息放回历史语境，让游客知道“为什么这样雕刻”。我们也与外国游客进行了交流。语言不同并未妨碍他对石窟艺术作出真诚回应，这让我更加直观地感受到，优秀文化遗产具有跨越语言的感染力。不过，跨文化传播仍需要准确、清晰的阐释，不能只依赖视觉震撼。</w:t>
            </w:r>
          </w:p>
          <w:p w14:paraId="2F52AE42">
            <w:pPr>
              <w:jc w:val="both"/>
              <w:spacing w:after="40" w:before="0" w:line="360" w:lineRule="auto"/>
              <w:ind w:firstLine="480"/>
            </w:pPr>
            <w:r>
              <w:rPr>
                <w:b w:val="0"/>
                <w:sz w:val="24"/>
                <w:rFonts w:ascii="仿宋_GB2312" w:hAnsi="仿宋_GB2312" w:eastAsia="仿宋_GB2312"/>
              </w:rPr>
              <w:t>7月21日上午，实践队走进洛阳博物馆。都城沙盘将洛阳历代城市格局集中呈现，馆藏文物则把宏观历史落实到具体生活。器物上的磨损和纹饰，让过去不再只是朝代名称。以唐三彩马为例，其饱满造型和流动釉色不仅体现制陶水平，也折射出唐代洛阳开放的城市气质。博物馆的意义正在于此：它把分散的文物组织成有脉络的叙事，使参观者能够从一件器物出发，逐步理解一座城市。</w:t>
            </w:r>
          </w:p>
          <w:p w14:paraId="0EEE6C49">
            <w:pPr>
              <w:jc w:val="both"/>
              <w:spacing w:after="40" w:before="0" w:line="360" w:lineRule="auto"/>
              <w:ind w:firstLine="480"/>
            </w:pPr>
            <w:r>
              <w:rPr>
                <w:b w:val="0"/>
                <w:sz w:val="24"/>
                <w:lang w:val="en-US" w:eastAsia="zh-CN"/>
                <w:rFonts w:ascii="仿宋_GB2312" w:hAnsi="仿宋_GB2312" w:eastAsia="仿宋_GB2312" w:hint="eastAsia"/>
              </w:rPr>
              <w:t>翌日</w:t>
            </w:r>
            <w:r>
              <w:rPr>
                <w:b w:val="0"/>
                <w:sz w:val="24"/>
                <w:rFonts w:ascii="仿宋_GB2312" w:hAnsi="仿宋_GB2312" w:eastAsia="仿宋_GB2312"/>
              </w:rPr>
              <w:t>，实践队前往二里头夏都遗址博物馆。宫殿建筑模型和遗迹复原展示了早期都邑的空间秩序，陶器、青铜礼器和绿松石器则提供了认识社会分工与礼制发展的实物线索。绿松石兽面纹铜牌饰和龙形器给我留下了深刻印象。细小材料被组合成完整图案，说明当时已经形成较高水平的工艺组织。二里头遗址是探索夏文化和早期国家的重要考古遗址，面对相关历史问题，更应尊重考古证据，避免把尚待研究的结论写成简单确定的故事。</w:t>
            </w:r>
          </w:p>
          <w:p w14:paraId="560193E2">
            <w:pPr>
              <w:jc w:val="both"/>
              <w:spacing w:after="40" w:before="0" w:line="360" w:lineRule="auto"/>
              <w:ind w:firstLine="480"/>
            </w:pPr>
            <w:r>
              <w:rPr>
                <w:b w:val="0"/>
                <w:sz w:val="24"/>
                <w:rFonts w:ascii="仿宋_GB2312" w:hAnsi="仿宋_GB2312" w:eastAsia="仿宋_GB2312"/>
              </w:rPr>
              <w:t>馆内的数字展陈为考古成果传播提供了另一种思路。象形符号互动装置要求参观者先观察图形，再选择可能的含义，屏幕会呈现不同选项的分布。知识不再被动地从展板传向观众，而是在判断和反馈中逐渐形成。另一处装置把问答设计成“拨打电话”，参观者拿起听筒，仿佛同古人展开对话。熟悉的动作降低了理解门槛，也自然激发了继续探索的兴趣。数字技术并未削弱文物的真实性，恰当使用时，它能够补足背景信息，让镇馆珍品背后的考古过程更容易被看见。</w:t>
            </w:r>
          </w:p>
          <w:p w14:paraId="342D7C5F">
            <w:pPr>
              <w:jc w:val="both"/>
              <w:spacing w:after="40" w:before="0" w:line="360" w:lineRule="auto"/>
              <w:ind w:firstLine="480"/>
            </w:pPr>
            <w:r>
              <w:rPr>
                <w:b w:val="0"/>
                <w:sz w:val="24"/>
                <w:rFonts w:ascii="仿宋_GB2312" w:hAnsi="仿宋_GB2312" w:eastAsia="仿宋_GB2312"/>
              </w:rPr>
              <w:t>随后，实践队前往开封。清明上河园以《清明上河图》为蓝本重构北宋汴京的市井空间，虹桥和沿河商铺使画卷中的城市生活获得了现实尺度。园内的民俗表演与市井互动把静态图像转化为现场情境，游客得以从日常生活而非帝王叙事进入宋文化。调研中，受访游客普遍认可这种沉浸式呈现，同时也有人关注演出安全。这一反馈说明，文化景区既要提高内容质量，也要把人员保护和现场秩序放在稳定运营的基础位置。</w:t>
            </w:r>
          </w:p>
          <w:p w14:paraId="64A513A2">
            <w:pPr>
              <w:jc w:val="both"/>
              <w:spacing w:after="40" w:before="0" w:line="360" w:lineRule="auto"/>
              <w:ind w:firstLine="480"/>
            </w:pPr>
            <w:r>
              <w:rPr>
                <w:b w:val="0"/>
                <w:sz w:val="24"/>
                <w:rFonts w:ascii="仿宋_GB2312" w:hAnsi="仿宋_GB2312" w:eastAsia="仿宋_GB2312"/>
              </w:rPr>
              <w:t>在万岁山武侠城，大型实景演出《三打祝家庄》最具感染力。演员的现场配合和情节推进，使武侠故事具有很强的临场感。园区并未把自己局限为纯粹的古风场景，搏击馆、音乐酒吧和七八十年代街区等现代内容与武侠演出并置，形成了面向年轻游客的复合空间。这种融合表明，传统文化可以进入当代娱乐，但创新不能只停留在造景和热度上。只有人物精神、历史背景和价值内核得到认真阐释，文化消费才可能转化为持续的文化兴趣。</w:t>
            </w:r>
          </w:p>
          <w:p w14:paraId="0890336B">
            <w:pPr>
              <w:jc w:val="both"/>
              <w:spacing w:after="40" w:before="0" w:line="360" w:lineRule="auto"/>
              <w:ind w:firstLine="480"/>
            </w:pPr>
            <w:r>
              <w:rPr>
                <w:b w:val="0"/>
                <w:sz w:val="24"/>
                <w:lang w:val="en-US" w:eastAsia="zh-CN"/>
                <w:rFonts w:ascii="仿宋_GB2312" w:hAnsi="仿宋_GB2312" w:eastAsia="仿宋_GB2312" w:hint="eastAsia"/>
              </w:rPr>
              <w:t>一周的</w:t>
            </w:r>
            <w:r>
              <w:rPr>
                <w:b w:val="0"/>
                <w:sz w:val="24"/>
                <w:rFonts w:ascii="仿宋_GB2312" w:hAnsi="仿宋_GB2312" w:eastAsia="仿宋_GB2312"/>
              </w:rPr>
              <w:t>实践使我</w:t>
            </w:r>
            <w:r>
              <w:rPr>
                <w:b w:val="0"/>
                <w:sz w:val="24"/>
                <w:lang w:val="en-US" w:eastAsia="zh-CN"/>
                <w:rFonts w:ascii="仿宋_GB2312" w:hAnsi="仿宋_GB2312" w:eastAsia="仿宋_GB2312" w:hint="eastAsia"/>
              </w:rPr>
              <w:t>明白</w:t>
            </w:r>
            <w:r>
              <w:rPr>
                <w:b w:val="0"/>
                <w:sz w:val="24"/>
                <w:rFonts w:ascii="仿宋_GB2312" w:hAnsi="仿宋_GB2312" w:eastAsia="仿宋_GB2312"/>
              </w:rPr>
              <w:t>，中原文化的当代表达没有单一答案。龙门石窟强调保护真实遗存，博物馆依靠文</w:t>
            </w:r>
            <w:bookmarkStart w:id="0" w:name="_GoBack"/>
            <w:bookmarkEnd w:id="0"/>
            <w:r>
              <w:rPr>
                <w:b w:val="0"/>
                <w:sz w:val="24"/>
                <w:rFonts w:ascii="仿宋_GB2312" w:hAnsi="仿宋_GB2312" w:eastAsia="仿宋_GB2312"/>
              </w:rPr>
              <w:t>物建立历史脉络，文旅景区则通过现场情境吸引公众。这些路径各有优势，也都要处理内容准确性与传播效果之间的关系。今后的文化传播应让专业研究更早进入策划环节，并在互动项目中说明史实依据。针对青少年，可按照年龄和知识基础设计不同层次的讲解。高强度实景演出则应把安全规范落实到排练和现场管理中。</w:t>
            </w:r>
          </w:p>
          <w:p w14:paraId="319103C7">
            <w:pPr>
              <w:jc w:val="both"/>
              <w:spacing w:after="40" w:before="0" w:line="360" w:lineRule="auto"/>
              <w:ind w:firstLine="480"/>
            </w:pPr>
            <w:r>
              <w:rPr>
                <w:b w:val="0"/>
                <w:sz w:val="24"/>
                <w:rFonts w:ascii="仿宋_GB2312" w:hAnsi="仿宋_GB2312" w:eastAsia="仿宋_GB2312"/>
              </w:rPr>
              <w:t>对我而言，这次实践最大的收获，是不再把文化传承理解成一句口号。它发生在文物得到妥善保护时，也发生在一次准确讲解和一次真诚交流中。青年既是传统文化的受众，也可以成为传播者。今后我会更加主动地了解历史背景，尊重专业研究，用清楚、可靠的方式分享所见所思，让中原文脉在真实而持续的关注中延续下去。</w:t>
            </w:r>
          </w:p>
        </w:tc>
      </w:tr>
      <w:tr w14:paraId="4E99D0A3">
        <w:tblPrEx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8522" w:type="dxa"/>
            <w:gridSpan w:val="7"/>
            <w:vAlign w:val="top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CBC023">
            <w:pPr>
              <w:spacing w:after="0" w:before="0"/>
            </w:pPr>
          </w:p>
          <w:p w14:paraId="40ED2BB4">
            <w:pPr>
              <w:jc w:val="left"/>
              <w:spacing w:after="0" w:before="0"/>
            </w:pPr>
            <w:r>
              <w:rPr>
                <w:b w:val="0"/>
                <w:sz w:val="24"/>
                <w:rFonts w:ascii="仿宋_GB2312" w:hAnsi="仿宋_GB2312" w:eastAsia="仿宋_GB2312"/>
              </w:rPr>
              <w:t>我保证上述内容的真实性，若有不实处，本人承担一切后果。</w:t>
            </w:r>
          </w:p>
          <w:p w14:paraId="76861690">
            <w:pPr>
              <w:spacing w:after="0" w:before="0"/>
            </w:pPr>
          </w:p>
          <w:p w14:paraId="48DDD309">
            <w:pPr>
              <w:spacing w:after="0" w:before="0"/>
            </w:pPr>
          </w:p>
          <w:p w14:paraId="18BED134">
            <w:pPr>
              <w:jc w:val="right"/>
              <w:spacing w:after="0" w:before="0"/>
            </w:pPr>
            <w:r>
              <w:rPr>
                <w:b w:val="0"/>
                <w:sz w:val="24"/>
                <w:rFonts w:ascii="仿宋_GB2312" w:hAnsi="仿宋_GB2312" w:eastAsia="仿宋_GB2312"/>
              </w:rPr>
              <w:drawing>
                <wp:anchor distT="0" distB="0" distL="0" distR="0" simplePos="0" relativeHeight="251658240" behindDoc="0" locked="0" layoutInCell="1" allowOverlap="1">
                  <wp:simplePos x="0" y="0"/>
                  <wp:positionH relativeFrom="page">
                    <wp:posOffset>2858279</wp:posOffset>
                  </wp:positionH>
                  <wp:positionV relativeFrom="page">
                    <wp:posOffset>393087</wp:posOffset>
                  </wp:positionV>
                  <wp:extent cx="1630810" cy="635245"/>
                  <wp:effectExtent l="0" t="0" r="0" b="0"/>
                  <wp:wrapNone/>
                  <wp:docPr id="1" name="图片 2" descr="图示, 示意图&amp;#10;&amp;#10;中度可信度描述已自动生成:ver1"/>
                  <wp:cNvGraphicFramePr>
                    <a:graphicFrameLocks xmlns:wpc="http://schemas.microsoft.com/office/word/2010/wordprocessingCanvas" xmlns:mc="http://schemas.openxmlformats.org/markup-compatibility/2006" xmlns:o="urn:schemas-microsoft-com:office:office" xmlns:w="http://schemas.openxmlformats.org/wordprocessingml/2006/main" xmlns:wpsCustomData="http://www.wps.cn/officeDocument/2013/wpsCustomData" xmlns:m="http://schemas.openxmlformats.org/officeDocument/2006/math" xmlns:r="http://schemas.openxmlformats.org/officeDocument/2006/relationships" xmlns:w14="http://schemas.microsoft.com/office/word/2010/wordml" xmlns:w10="urn:schemas-microsoft-com:office:word" xmlns:wpi="http://schemas.microsoft.com/office/word/2010/wordprocessingInk" xmlns:v="urn:schemas-microsoft-com:vml" xmlns:wp14="http://schemas.microsoft.com/office/word/2010/wordprocessingDrawing" xmlns:wp="http://schemas.openxmlformats.org/drawingml/2006/wordprocessingDrawing" xmlns:wpg="http://schemas.microsoft.com/office/word/2010/wordprocessingGroup" xmlns:w15="http://schemas.microsoft.com/office/word/2012/wordml" xmlns:wne="http://schemas.microsoft.com/office/word/2006/wordml" xmlns:a="http://schemas.openxmlformats.org/drawingml/2006/main" xmlns:wps="http://schemas.microsoft.com/office/word/2010/wordprocessingShape" xmlns:pic="http://schemas.openxmlformats.org/drawingml/2006/picture" noChangeAspect="1"/>
                  </wp:cNvGraphicFramePr>
                  <a:graphic xmlns:wpc="http://schemas.microsoft.com/office/word/2010/wordprocessingCanvas" xmlns:mc="http://schemas.openxmlformats.org/markup-compatibility/2006" xmlns:o="urn:schemas-microsoft-com:office:office" xmlns:w="http://schemas.openxmlformats.org/wordprocessingml/2006/main" xmlns:wpsCustomData="http://www.wps.cn/officeDocument/2013/wpsCustomData" xmlns:m="http://schemas.openxmlformats.org/officeDocument/2006/math" xmlns:r="http://schemas.openxmlformats.org/officeDocument/2006/relationships" xmlns:w14="http://schemas.microsoft.com/office/word/2010/wordml" xmlns:w10="urn:schemas-microsoft-com:office:word" xmlns:wpi="http://schemas.microsoft.com/office/word/2010/wordprocessingInk" xmlns:v="urn:schemas-microsoft-com:vml" xmlns:wp14="http://schemas.microsoft.com/office/word/2010/wordprocessingDrawing" xmlns:wp="http://schemas.openxmlformats.org/drawingml/2006/wordprocessingDrawing" xmlns:wpg="http://schemas.microsoft.com/office/word/2010/wordprocessingGroup" xmlns:w15="http://schemas.microsoft.com/office/word/2012/wordml" xmlns:wne="http://schemas.microsoft.com/office/word/2006/wordml" xmlns:a="http://schemas.openxmlformats.org/drawingml/2006/main" xmlns:wps="http://schemas.microsoft.com/office/word/2010/wordprocessingShape" xmlns:pic="http://schemas.openxmlformats.org/drawingml/2006/picture">
                    <a:graphicData uri="http://schemas.openxmlformats.org/drawingml/2006/picture">
                      <pic:pic xmlns:wpc="http://schemas.microsoft.com/office/word/2010/wordprocessingCanvas" xmlns:mc="http://schemas.openxmlformats.org/markup-compatibility/2006" xmlns:o="urn:schemas-microsoft-com:office:office" xmlns:w="http://schemas.openxmlformats.org/wordprocessingml/2006/main" xmlns:wpsCustomData="http://www.wps.cn/officeDocument/2013/wpsCustomData" xmlns:m="http://schemas.openxmlformats.org/officeDocument/2006/math" xmlns:r="http://schemas.openxmlformats.org/officeDocument/2006/relationships" xmlns:w14="http://schemas.microsoft.com/office/word/2010/wordml" xmlns:w10="urn:schemas-microsoft-com:office:word" xmlns:wpi="http://schemas.microsoft.com/office/word/2010/wordprocessingInk" xmlns:v="urn:schemas-microsoft-com:vml" xmlns:wp14="http://schemas.microsoft.com/office/word/2010/wordprocessingDrawing" xmlns:wp="http://schemas.openxmlformats.org/drawingml/2006/wordprocessingDrawing" xmlns:wpg="http://schemas.microsoft.com/office/word/2010/wordprocessingGroup" xmlns:w15="http://schemas.microsoft.com/office/word/2012/wordml" xmlns:wne="http://schemas.microsoft.com/office/word/2006/wordml" xmlns:a="http://schemas.openxmlformats.org/drawingml/2006/main" xmlns:wps="http://schemas.microsoft.com/office/word/2010/wordprocessingShape" xmlns:pic="http://schemas.openxmlformats.org/drawingml/2006/picture">
                        <pic:nvPicPr>
                          <pic:cNvPr id="3" name="图片 2" descr="图示, 示意图&amp;#10;&amp;#10;中度可信度描述已自动生成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810" cy="635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 w:val="0"/>
                <w:sz w:val="24"/>
                <w:rFonts w:ascii="仿宋_GB2312" w:hAnsi="仿宋_GB2312" w:eastAsia="仿宋_GB2312"/>
              </w:rPr>
              <w:t>学生（签名）                    2026年7月26日</w:t>
            </w:r>
          </w:p>
          <w:p w14:paraId="47B00F51">
            <w:pPr>
              <w:spacing w:after="0" w:before="0"/>
            </w:pPr>
          </w:p>
        </w:tc>
      </w:tr>
      <w:tr w14:paraId="69ABA5FA">
        <w:tblPrEx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3220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62CEAA">
            <w:pPr>
              <w:snapToGrid w:val="0"/>
              <w:rPr>
                <w:sz w:val="24"/>
                <w:rFonts w:ascii="仿宋_GB2312;仿宋" w:hAnsi="仿宋_GB2312;仿宋" w:eastAsia="仿宋_GB2312;仿宋"/>
              </w:rPr>
            </w:pPr>
          </w:p>
          <w:p w14:paraId="22C2B109">
            <w:pPr>
              <w:rPr>
                <w:sz w:val="24"/>
                <w:rFonts w:ascii="仿宋_GB2312;仿宋" w:hAnsi="仿宋_GB2312;仿宋" w:eastAsia="仿宋_GB2312;仿宋"/>
              </w:rPr>
            </w:pPr>
          </w:p>
          <w:p w14:paraId="0B27572C">
            <w:pPr>
              <w:rPr>
                <w:sz w:val="24"/>
                <w:rFonts w:ascii="仿宋_GB2312;仿宋" w:hAnsi="仿宋_GB2312;仿宋" w:eastAsia="仿宋_GB2312;仿宋"/>
              </w:rPr>
            </w:pPr>
          </w:p>
          <w:p w14:paraId="39C70D88">
            <w:pPr>
              <w:rPr>
                <w:sz w:val="24"/>
                <w:rFonts w:ascii="仿宋_GB2312;仿宋" w:hAnsi="仿宋_GB2312;仿宋" w:eastAsia="仿宋_GB2312;仿宋"/>
              </w:rPr>
            </w:pPr>
          </w:p>
          <w:p w14:paraId="5EFBF0F5">
            <w:pPr>
              <w:rPr>
                <w:sz w:val="24"/>
                <w:rFonts w:ascii="仿宋_GB2312;仿宋" w:hAnsi="仿宋_GB2312;仿宋" w:eastAsia="仿宋_GB2312;仿宋"/>
              </w:rPr>
            </w:pPr>
            <w:r>
              <w:rPr>
                <w:sz w:val="24"/>
                <w:rFonts w:ascii="仿宋_GB2312" w:hAnsi="仿宋_GB2312" w:eastAsia="仿宋_GB2312"/>
              </w:rPr>
              <w:t>指导老师意见</w:t>
            </w:r>
          </w:p>
        </w:tc>
        <w:tc>
          <w:tcPr>
            <w:tcW w:w="7877" w:type="dxa"/>
            <w:gridSpan w:val="6"/>
            <w:vAlign w:val="top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C5473E">
            <w:pPr>
              <w:spacing w:after="0" w:before="0"/>
            </w:pPr>
          </w:p>
          <w:p w14:paraId="2D2F5CC8">
            <w:pPr>
              <w:spacing w:after="0" w:before="0"/>
            </w:pPr>
          </w:p>
          <w:p w14:paraId="3236D11B">
            <w:pPr>
              <w:jc w:val="both"/>
              <w:spacing w:after="0" w:before="0" w:line="360" w:lineRule="auto"/>
              <w:ind w:firstLine="480"/>
            </w:pPr>
            <w:r>
              <w:rPr>
                <w:b w:val="0"/>
                <w:sz w:val="24"/>
                <w:rFonts w:ascii="仿宋_GB2312" w:hAnsi="仿宋_GB2312" w:eastAsia="仿宋_GB2312"/>
              </w:rPr>
              <w:t>本次实践主题明确，组织安排合理。</w:t>
            </w:r>
            <w:r>
              <w:rPr>
                <w:b w:val="0"/>
                <w:sz w:val="24"/>
                <w:lang w:val="en-US" w:eastAsia="zh-CN"/>
                <w:rFonts w:ascii="仿宋_GB2312" w:hAnsi="仿宋_GB2312" w:eastAsia="仿宋_GB2312" w:hint="eastAsia"/>
              </w:rPr>
              <w:t>实践队</w:t>
            </w:r>
            <w:r>
              <w:rPr>
                <w:b w:val="0"/>
                <w:sz w:val="24"/>
                <w:rFonts w:ascii="仿宋_GB2312" w:hAnsi="仿宋_GB2312" w:eastAsia="仿宋_GB2312"/>
              </w:rPr>
              <w:t>能够认真参与洛阳、开封各调研点位的实地考察，主动记录并思考传统文化保护与当代表达之间的关系，形成了较完整的实践总结。材料内容真实，观点较为深入，达到了思想政治理论课实践教学要求。希望今后继续关注文化遗产保护，在学习和社会观察中增强责任意识。</w:t>
            </w:r>
          </w:p>
          <w:p w14:paraId="4D7F5591">
            <w:pPr>
              <w:spacing w:after="0" w:before="0"/>
            </w:pPr>
          </w:p>
          <w:p w14:paraId="23FD9272">
            <w:pPr>
              <w:jc w:val="right"/>
              <w:spacing w:after="0" w:before="0"/>
            </w:pPr>
            <w:r>
              <w:rPr>
                <w:b w:val="0"/>
                <w:sz w:val="24"/>
                <w:rFonts w:ascii="仿宋_GB2312" w:hAnsi="仿宋_GB2312" w:eastAsia="仿宋_GB2312"/>
              </w:rPr>
              <w:t>指导老师签字：</w:t>
            </w:r>
            <w:r>
              <w:rPr>
                <w:b w:val="0"/>
                <w:sz w:val="24"/>
                <w:rFonts w:ascii="仿宋_GB2312" w:hAnsi="仿宋_GB2312" w:eastAsia="仿宋_GB2312"/>
              </w:rPr>
              <w:drawing>
                <wp:inline distT="0" distB="0" distL="0" distR="0">
                  <wp:extent cx="596755" cy="436806"/>
                  <wp:effectExtent l="0" t="0" r="0" b="0"/>
                  <wp:docPr id="2" name="图片 2" descr="图示, 示意图&amp;#10;&amp;#10;中度可信度描述已自动生成:ver1"/>
                  <wp:cNvGraphicFramePr>
                    <a:graphicFrameLocks xmlns:wpc="http://schemas.microsoft.com/office/word/2010/wordprocessingCanvas" xmlns:mc="http://schemas.openxmlformats.org/markup-compatibility/2006" xmlns:o="urn:schemas-microsoft-com:office:office" xmlns:w="http://schemas.openxmlformats.org/wordprocessingml/2006/main" xmlns:wpsCustomData="http://www.wps.cn/officeDocument/2013/wpsCustomData" xmlns:m="http://schemas.openxmlformats.org/officeDocument/2006/math" xmlns:r="http://schemas.openxmlformats.org/officeDocument/2006/relationships" xmlns:w14="http://schemas.microsoft.com/office/word/2010/wordml" xmlns:w10="urn:schemas-microsoft-com:office:word" xmlns:wpi="http://schemas.microsoft.com/office/word/2010/wordprocessingInk" xmlns:v="urn:schemas-microsoft-com:vml" xmlns:wp14="http://schemas.microsoft.com/office/word/2010/wordprocessingDrawing" xmlns:wp="http://schemas.openxmlformats.org/drawingml/2006/wordprocessingDrawing" xmlns:wpg="http://schemas.microsoft.com/office/word/2010/wordprocessingGroup" xmlns:w15="http://schemas.microsoft.com/office/word/2012/wordml" xmlns:wne="http://schemas.microsoft.com/office/word/2006/wordml" xmlns:a="http://schemas.openxmlformats.org/drawingml/2006/main" xmlns:wps="http://schemas.microsoft.com/office/word/2010/wordprocessingShape" xmlns:pic="http://schemas.openxmlformats.org/drawingml/2006/picture" noChangeAspect="1"/>
                  </wp:cNvGraphicFramePr>
                  <a:graphic xmlns:wpc="http://schemas.microsoft.com/office/word/2010/wordprocessingCanvas" xmlns:mc="http://schemas.openxmlformats.org/markup-compatibility/2006" xmlns:o="urn:schemas-microsoft-com:office:office" xmlns:w="http://schemas.openxmlformats.org/wordprocessingml/2006/main" xmlns:wpsCustomData="http://www.wps.cn/officeDocument/2013/wpsCustomData" xmlns:m="http://schemas.openxmlformats.org/officeDocument/2006/math" xmlns:r="http://schemas.openxmlformats.org/officeDocument/2006/relationships" xmlns:w14="http://schemas.microsoft.com/office/word/2010/wordml" xmlns:w10="urn:schemas-microsoft-com:office:word" xmlns:wpi="http://schemas.microsoft.com/office/word/2010/wordprocessingInk" xmlns:v="urn:schemas-microsoft-com:vml" xmlns:wp14="http://schemas.microsoft.com/office/word/2010/wordprocessingDrawing" xmlns:wp="http://schemas.openxmlformats.org/drawingml/2006/wordprocessingDrawing" xmlns:wpg="http://schemas.microsoft.com/office/word/2010/wordprocessingGroup" xmlns:w15="http://schemas.microsoft.com/office/word/2012/wordml" xmlns:wne="http://schemas.microsoft.com/office/word/2006/wordml" xmlns:a="http://schemas.openxmlformats.org/drawingml/2006/main" xmlns:wps="http://schemas.microsoft.com/office/word/2010/wordprocessingShape" xmlns:pic="http://schemas.openxmlformats.org/drawingml/2006/picture">
                    <a:graphicData uri="http://schemas.openxmlformats.org/drawingml/2006/picture">
                      <pic:pic xmlns:wpc="http://schemas.microsoft.com/office/word/2010/wordprocessingCanvas" xmlns:mc="http://schemas.openxmlformats.org/markup-compatibility/2006" xmlns:o="urn:schemas-microsoft-com:office:office" xmlns:w="http://schemas.openxmlformats.org/wordprocessingml/2006/main" xmlns:wpsCustomData="http://www.wps.cn/officeDocument/2013/wpsCustomData" xmlns:m="http://schemas.openxmlformats.org/officeDocument/2006/math" xmlns:r="http://schemas.openxmlformats.org/officeDocument/2006/relationships" xmlns:w14="http://schemas.microsoft.com/office/word/2010/wordml" xmlns:w10="urn:schemas-microsoft-com:office:word" xmlns:wpi="http://schemas.microsoft.com/office/word/2010/wordprocessingInk" xmlns:v="urn:schemas-microsoft-com:vml" xmlns:wp14="http://schemas.microsoft.com/office/word/2010/wordprocessingDrawing" xmlns:wp="http://schemas.openxmlformats.org/drawingml/2006/wordprocessingDrawing" xmlns:wpg="http://schemas.microsoft.com/office/word/2010/wordprocessingGroup" xmlns:w15="http://schemas.microsoft.com/office/word/2012/wordml" xmlns:wne="http://schemas.microsoft.com/office/word/2006/wordml" xmlns:a="http://schemas.openxmlformats.org/drawingml/2006/main" xmlns:wps="http://schemas.microsoft.com/office/word/2010/wordprocessingShape" xmlns:pic="http://schemas.openxmlformats.org/drawingml/2006/picture">
                        <pic:nvPicPr>
                          <pic:cNvPr id="1" name="图片 2" descr="图示, 示意图&amp;#10;&amp;#10;中度可信度描述已自动生成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rcRect l="23113" t="22311" r="17531" b="96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755" cy="436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7C5DA0">
            <w:pPr>
              <w:jc w:val="right"/>
              <w:spacing w:after="0" w:before="0"/>
            </w:pPr>
            <w:r>
              <w:rPr>
                <w:b w:val="0"/>
                <w:sz w:val="24"/>
                <w:rFonts w:ascii="仿宋_GB2312" w:hAnsi="仿宋_GB2312" w:eastAsia="仿宋_GB2312"/>
              </w:rPr>
              <w:t>2026年7月28日</w:t>
            </w:r>
          </w:p>
          <w:p w14:paraId="27A442A9">
            <w:pPr>
              <w:spacing w:after="0" w:before="0"/>
            </w:pPr>
          </w:p>
          <w:p w14:paraId="05D2CA66">
            <w:pPr>
              <w:spacing w:after="0" w:before="0"/>
            </w:pPr>
          </w:p>
        </w:tc>
      </w:tr>
      <w:tr w14:paraId="7A547D12">
        <w:tblPrEx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4342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3A949A">
            <w:pPr>
              <w:snapToGrid w:val="0"/>
              <w:rPr>
                <w:sz w:val="24"/>
                <w:rFonts w:ascii="仿宋_GB2312;仿宋" w:hAnsi="仿宋_GB2312;仿宋" w:eastAsia="仿宋_GB2312;仿宋"/>
              </w:rPr>
            </w:pPr>
          </w:p>
          <w:p w14:paraId="5516FFB1">
            <w:pPr>
              <w:rPr>
                <w:sz w:val="24"/>
                <w:rFonts w:ascii="仿宋_GB2312;仿宋" w:hAnsi="仿宋_GB2312;仿宋" w:eastAsia="仿宋_GB2312;仿宋"/>
              </w:rPr>
            </w:pPr>
          </w:p>
          <w:p w14:paraId="55B3DB98">
            <w:pPr>
              <w:rPr>
                <w:sz w:val="24"/>
                <w:rFonts w:ascii="仿宋_GB2312;仿宋" w:hAnsi="仿宋_GB2312;仿宋" w:eastAsia="仿宋_GB2312;仿宋"/>
              </w:rPr>
            </w:pPr>
          </w:p>
          <w:p w14:paraId="7B20D426">
            <w:pPr>
              <w:rPr>
                <w:sz w:val="24"/>
                <w:rFonts w:ascii="仿宋_GB2312;仿宋" w:hAnsi="仿宋_GB2312;仿宋" w:eastAsia="仿宋_GB2312;仿宋"/>
              </w:rPr>
            </w:pPr>
            <w:r>
              <w:rPr>
                <w:sz w:val="24"/>
                <w:rFonts w:ascii="仿宋_GB2312;仿宋" w:hAnsi="仿宋_GB2312;仿宋" w:eastAsia="仿宋_GB2312;仿宋"/>
              </w:rPr>
              <w:t>挂靠单位意见</w:t>
            </w:r>
          </w:p>
          <w:p w14:paraId="3EB5D5D6">
            <w:pPr>
              <w:rPr>
                <w:sz w:val="24"/>
                <w:rFonts w:ascii="仿宋_GB2312;仿宋" w:hAnsi="仿宋_GB2312;仿宋" w:eastAsia="仿宋_GB2312;仿宋"/>
              </w:rPr>
            </w:pPr>
          </w:p>
        </w:tc>
        <w:tc>
          <w:tcPr>
            <w:tcW w:w="787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6F300E">
            <w:pPr>
              <w:snapToGrid w:val="0"/>
              <w:rPr>
                <w:sz w:val="24"/>
                <w:rFonts w:ascii="仿宋_GB2312;仿宋" w:hAnsi="仿宋_GB2312;仿宋" w:eastAsia="仿宋_GB2312;仿宋"/>
              </w:rPr>
            </w:pPr>
          </w:p>
          <w:p w14:paraId="2DC8FC76">
            <w:pPr>
              <w:rPr>
                <w:sz w:val="24"/>
                <w:rFonts w:ascii="仿宋_GB2312;仿宋" w:hAnsi="仿宋_GB2312;仿宋" w:eastAsia="仿宋_GB2312;仿宋"/>
              </w:rPr>
            </w:pPr>
          </w:p>
          <w:p w14:paraId="36972BDC">
            <w:pPr>
              <w:rPr>
                <w:sz w:val="24"/>
                <w:rFonts w:ascii="仿宋_GB2312;仿宋" w:hAnsi="仿宋_GB2312;仿宋" w:eastAsia="仿宋_GB2312;仿宋"/>
              </w:rPr>
            </w:pPr>
          </w:p>
          <w:p w14:paraId="4B82BBC1">
            <w:pPr>
              <w:rPr>
                <w:sz w:val="24"/>
                <w:rFonts w:ascii="仿宋_GB2312;仿宋" w:hAnsi="仿宋_GB2312;仿宋" w:eastAsia="仿宋_GB2312;仿宋"/>
              </w:rPr>
            </w:pPr>
          </w:p>
          <w:p w14:paraId="443466D8">
            <w:pPr>
              <w:rPr>
                <w:sz w:val="24"/>
                <w:rFonts w:ascii="仿宋_GB2312;仿宋" w:hAnsi="仿宋_GB2312;仿宋" w:eastAsia="仿宋_GB2312;仿宋"/>
              </w:rPr>
            </w:pPr>
          </w:p>
          <w:p w14:paraId="19A6ABD3">
            <w:pPr>
              <w:ind w:left="4210" w:right="0"/>
              <w:rPr>
                <w:sz w:val="24"/>
                <w:rFonts w:ascii="仿宋_GB2312;仿宋" w:hAnsi="仿宋_GB2312;仿宋" w:eastAsia="仿宋_GB2312;仿宋"/>
              </w:rPr>
            </w:pPr>
            <w:r>
              <w:rPr>
                <w:sz w:val="24"/>
                <w:rFonts w:ascii="仿宋_GB2312;仿宋" w:hAnsi="仿宋_GB2312;仿宋" w:eastAsia="仿宋_GB2312;仿宋"/>
              </w:rPr>
              <w:t xml:space="preserve">签字：  </w:t>
            </w:r>
          </w:p>
          <w:p w14:paraId="5DB63238">
            <w:pPr>
              <w:ind w:left="4210" w:right="0"/>
              <w:rPr>
                <w:sz w:val="24"/>
                <w:rFonts w:ascii="仿宋_GB2312;仿宋" w:hAnsi="仿宋_GB2312;仿宋" w:eastAsia="仿宋_GB2312;仿宋"/>
              </w:rPr>
            </w:pPr>
          </w:p>
          <w:p w14:paraId="0F6AB7EC">
            <w:pPr>
              <w:ind w:left="4210" w:right="0"/>
              <w:rPr>
                <w:sz w:val="24"/>
                <w:rFonts w:ascii="仿宋_GB2312;仿宋" w:hAnsi="仿宋_GB2312;仿宋" w:eastAsia="仿宋_GB2312;仿宋"/>
              </w:rPr>
            </w:pPr>
            <w:r>
              <w:rPr>
                <w:sz w:val="24"/>
                <w:rFonts w:ascii="仿宋_GB2312;仿宋" w:hAnsi="仿宋_GB2312;仿宋" w:eastAsia="仿宋_GB2312;仿宋"/>
              </w:rPr>
              <w:t xml:space="preserve">公章：          </w:t>
            </w:r>
          </w:p>
          <w:p w14:paraId="159C3F9C">
            <w:pPr>
              <w:ind w:left="4210" w:right="0"/>
              <w:rPr>
                <w:sz w:val="24"/>
                <w:rFonts w:ascii="仿宋_GB2312;仿宋" w:hAnsi="仿宋_GB2312;仿宋" w:eastAsia="仿宋_GB2312;仿宋"/>
              </w:rPr>
            </w:pPr>
          </w:p>
          <w:p w14:paraId="2EF40793">
            <w:pPr>
              <w:ind w:left="4210" w:right="0"/>
              <w:rPr>
                <w:sz w:val="24"/>
                <w:rFonts w:ascii="仿宋_GB2312;仿宋" w:hAnsi="仿宋_GB2312;仿宋" w:eastAsia="仿宋_GB2312;仿宋"/>
              </w:rPr>
            </w:pPr>
            <w:r>
              <w:rPr>
                <w:sz w:val="24"/>
                <w:rFonts w:ascii="仿宋_GB2312;仿宋" w:hAnsi="仿宋_GB2312;仿宋" w:eastAsia="仿宋_GB2312;仿宋"/>
              </w:rPr>
              <w:t>年     月    日</w:t>
            </w:r>
          </w:p>
          <w:p w14:paraId="7E587F80">
            <w:pPr>
              <w:rPr>
                <w:sz w:val="24"/>
                <w:rFonts w:ascii="仿宋_GB2312;仿宋" w:hAnsi="仿宋_GB2312;仿宋" w:eastAsia="仿宋_GB2312;仿宋"/>
              </w:rPr>
            </w:pPr>
          </w:p>
          <w:p w14:paraId="668C7991">
            <w:pPr>
              <w:ind w:left="4210" w:right="0"/>
              <w:rPr>
                <w:sz w:val="24"/>
                <w:rFonts w:ascii="仿宋_GB2312;仿宋" w:hAnsi="仿宋_GB2312;仿宋" w:eastAsia="仿宋_GB2312;仿宋"/>
              </w:rPr>
            </w:pPr>
            <w:r>
              <w:rPr>
                <w:sz w:val="24"/>
                <w:rFonts w:ascii="仿宋_GB2312;仿宋" w:hAnsi="仿宋_GB2312;仿宋" w:eastAsia="仿宋_GB2312;仿宋" w:cs="仿宋_GB2312;仿宋"/>
              </w:rPr>
              <w:t xml:space="preserve">                                   </w:t>
            </w:r>
          </w:p>
        </w:tc>
      </w:tr>
      <w:tr w14:paraId="4EDAE4D3">
        <w:tblPrEx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3417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5D31C9">
            <w:pPr>
              <w:snapToGrid w:val="0"/>
              <w:rPr>
                <w:sz w:val="24"/>
                <w:rFonts w:ascii="仿宋_GB2312;仿宋" w:hAnsi="仿宋_GB2312;仿宋" w:eastAsia="仿宋_GB2312;仿宋"/>
              </w:rPr>
            </w:pPr>
          </w:p>
          <w:p w14:paraId="411D6760">
            <w:pPr>
              <w:rPr>
                <w:sz w:val="24"/>
                <w:rFonts w:ascii="仿宋_GB2312;仿宋" w:hAnsi="仿宋_GB2312;仿宋" w:eastAsia="仿宋_GB2312;仿宋"/>
              </w:rPr>
            </w:pPr>
            <w:r>
              <w:rPr>
                <w:sz w:val="24"/>
                <w:rFonts w:ascii="仿宋_GB2312;仿宋" w:hAnsi="仿宋_GB2312;仿宋" w:eastAsia="仿宋_GB2312;仿宋"/>
              </w:rPr>
              <w:t>校团委审核意见</w:t>
            </w:r>
          </w:p>
        </w:tc>
        <w:tc>
          <w:tcPr>
            <w:tcW w:w="787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BC6F40">
            <w:pPr>
              <w:snapToGrid w:val="0"/>
              <w:ind w:firstLine="720" w:right="0"/>
              <w:rPr>
                <w:sz w:val="24"/>
                <w:rFonts w:ascii="仿宋_GB2312;仿宋" w:hAnsi="仿宋_GB2312;仿宋" w:eastAsia="仿宋_GB2312;仿宋"/>
              </w:rPr>
            </w:pPr>
          </w:p>
          <w:p w14:paraId="5AEAC193">
            <w:pPr>
              <w:rPr>
                <w:sz w:val="24"/>
                <w:rFonts w:ascii="仿宋_GB2312;仿宋" w:hAnsi="仿宋_GB2312;仿宋" w:eastAsia="仿宋_GB2312;仿宋"/>
              </w:rPr>
            </w:pPr>
          </w:p>
          <w:p w14:paraId="4EA0A417">
            <w:pPr>
              <w:ind w:firstLine="720" w:right="0"/>
              <w:rPr>
                <w:sz w:val="24"/>
                <w:rFonts w:ascii="仿宋_GB2312;仿宋" w:hAnsi="仿宋_GB2312;仿宋" w:eastAsia="仿宋_GB2312;仿宋"/>
              </w:rPr>
            </w:pPr>
            <w:r>
              <w:rPr>
                <w:sz w:val="24"/>
                <w:rFonts w:ascii="Wingdings 2" w:hAnsi="Wingdings 2" w:eastAsia="Wingdings 2" w:cs="Wingdings 2"/>
              </w:rPr>
              <w:sym w:char="F0A3" w:font="Wingdings 2"/>
            </w:r>
            <w:r>
              <w:rPr>
                <w:sz w:val="24"/>
                <w:rFonts w:ascii="仿宋_GB2312;仿宋" w:hAnsi="仿宋_GB2312;仿宋" w:eastAsia="仿宋_GB2312;仿宋"/>
              </w:rPr>
              <w:t>通过       □不通过</w:t>
            </w:r>
          </w:p>
          <w:p w14:paraId="308B56F4">
            <w:pPr>
              <w:ind w:left="4210" w:right="0"/>
              <w:rPr>
                <w:sz w:val="24"/>
                <w:rFonts w:ascii="仿宋_GB2312;仿宋" w:hAnsi="仿宋_GB2312;仿宋" w:eastAsia="仿宋_GB2312;仿宋"/>
              </w:rPr>
            </w:pPr>
          </w:p>
          <w:p w14:paraId="3309A249">
            <w:pPr>
              <w:ind w:left="4210" w:right="0"/>
              <w:rPr>
                <w:sz w:val="24"/>
                <w:rFonts w:ascii="仿宋_GB2312;仿宋" w:hAnsi="仿宋_GB2312;仿宋" w:eastAsia="仿宋_GB2312;仿宋"/>
              </w:rPr>
            </w:pPr>
            <w:r>
              <w:rPr>
                <w:sz w:val="24"/>
                <w:rFonts w:ascii="仿宋_GB2312;仿宋" w:hAnsi="仿宋_GB2312;仿宋" w:eastAsia="仿宋_GB2312;仿宋" w:cs="仿宋_GB2312;仿宋"/>
              </w:rPr>
              <w:t xml:space="preserve">                                          </w:t>
            </w:r>
            <w:r>
              <w:rPr>
                <w:sz w:val="24"/>
                <w:rFonts w:ascii="仿宋_GB2312;仿宋" w:hAnsi="仿宋_GB2312;仿宋" w:eastAsia="仿宋_GB2312;仿宋"/>
              </w:rPr>
              <w:t>公章：</w:t>
            </w:r>
          </w:p>
          <w:p w14:paraId="2B82E5FC">
            <w:pPr>
              <w:ind w:left="4210" w:right="0"/>
              <w:rPr>
                <w:sz w:val="24"/>
                <w:rFonts w:ascii="仿宋_GB2312;仿宋" w:hAnsi="仿宋_GB2312;仿宋" w:eastAsia="仿宋_GB2312;仿宋"/>
              </w:rPr>
            </w:pPr>
          </w:p>
          <w:p w14:paraId="63AB949C">
            <w:pPr>
              <w:ind w:left="4210" w:right="0"/>
              <w:rPr>
                <w:sz w:val="24"/>
                <w:rFonts w:ascii="仿宋_GB2312;仿宋" w:hAnsi="仿宋_GB2312;仿宋" w:eastAsia="仿宋_GB2312;仿宋"/>
              </w:rPr>
            </w:pPr>
            <w:r>
              <w:rPr>
                <w:sz w:val="24"/>
                <w:rFonts w:ascii="仿宋_GB2312;仿宋" w:hAnsi="仿宋_GB2312;仿宋" w:eastAsia="仿宋_GB2312;仿宋"/>
              </w:rPr>
              <w:t>年     月    日</w:t>
            </w:r>
          </w:p>
          <w:p w14:paraId="364F2E19">
            <w:pPr>
              <w:ind w:left="4210" w:right="0"/>
              <w:rPr>
                <w:sz w:val="24"/>
                <w:rFonts w:ascii="仿宋_GB2312;仿宋" w:hAnsi="仿宋_GB2312;仿宋" w:eastAsia="仿宋_GB2312;仿宋"/>
              </w:rPr>
            </w:pPr>
            <w:r>
              <w:rPr>
                <w:sz w:val="24"/>
                <w:rFonts w:ascii="仿宋_GB2312;仿宋" w:hAnsi="仿宋_GB2312;仿宋" w:eastAsia="仿宋_GB2312;仿宋" w:cs="仿宋_GB2312;仿宋"/>
              </w:rPr>
              <w:t xml:space="preserve">                                    </w:t>
            </w:r>
          </w:p>
        </w:tc>
      </w:tr>
    </w:tbl>
    <w:p w14:paraId="01081AC1">
      <w:r>
        <w:rPr>
          <w:rFonts w:eastAsia="黑体"/>
        </w:rPr>
        <w:t>说明：按照《西安交通大学思政课实践教学管理办法》要求，本记录册为交大本科生获得思政实践学分的必要材料。实践学生本人填写，组织单位认定，学生交由辅导员收集后报备至马克思主义学院留存。</w:t>
      </w:r>
    </w:p>
    <w:sectPr>
      <w:docGrid w:type="lines" w:linePitch="312" w:charSpace="0"/>
      <w:pgSz w:w="11906" w:h="16838"/>
      <w:pgMar w:top="1440" w:right="1800" w:bottom="1440" w:left="1800" w:header="0" w:footer="0" w:gutter="0"/>
      <w:pgNumType w:fmt="decimal"/>
      <w:pgNumType w:fmt="decimal"/>
      <w:pgNumType w:fmt="decimal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oto Serif CJK 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Noto Sans CJK SC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;仿宋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00000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w="http://schemas.openxmlformats.org/wordprocessingml/2006/main" xmlns:m="http://schemas.openxmlformats.org/officeDocument/2006/math" xmlns:w10="urn:schemas-microsoft-com:office:word" xmlns:wpsCustomData="http://www.wps.cn/officeDocument/2013/wpsCustomData" xmlns:v="urn:schemas-microsoft-com:vml" xmlns:sl="http://schemas.openxmlformats.org/schemaLibrary/2006/main" xmlns:r="http://schemas.openxmlformats.org/officeDocument/2006/relationships" xmlns:w14="http://schemas.microsoft.com/office/word/2010/wordml" mc:Ignorable="w14">
  <w:bordersDoNotSurroundHeader/>
  <w:bordersDoNotSurroundFooter/>
  <w:defaultTabStop w:val="420"/>
  <w:displayHorizontalDrawingGridEvery w:val="1"/>
  <w:displayVerticalDrawingGridEvery w:val="1"/>
  <w:zoom w:percent="100"/>
  <w:compat>
    <w:doNotExpandShiftReturn/>
    <w:useFELayout/>
    <w:compatSetting w:val="11" w:uri="http://schemas.microsoft.com/office/word" w:name="compatibilityMode"/>
  </w:compat>
  <w:rsids>
    <w:rsidRoot w:val="00000000"/>
    <w:rsid w:val="10985396"/>
    <w:rsid w:val="48CB345D"/>
    <w:rsid w:val="596A0A97"/>
  </w:rsids>
  <m:mathPr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/>
  <w:listSeparator/>
</w:settings>
</file>

<file path=word/styles.xml><?xml version="1.0" encoding="utf-8"?>
<w:styles xmlns:mc="http://schemas.openxmlformats.org/markup-compatibility/2006" xmlns:o="urn:schemas-microsoft-com:office:office" xmlns:w="http://schemas.openxmlformats.org/wordprocessingml/2006/main" xmlns:m="http://schemas.openxmlformats.org/officeDocument/2006/math" xmlns:v="urn:schemas-microsoft-com:vml" xmlns:sl="http://schemas.openxmlformats.org/schemaLibrary/2006/main" xmlns:r="http://schemas.openxmlformats.org/officeDocument/2006/relationships" xmlns:w14="http://schemas.microsoft.com/office/word/2010/wordml" xmlns:w10="urn:schemas-microsoft-com:office:word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SemiHidden="1" w:defUnhideWhenUsed="1" w:defQFormat="0" w:defUIPriority="99" w:count="260">
    <w:lsdException w:name="Balloon Text" w:semiHidden="0" w:unhideWhenUsed="0"/>
    <w:lsdException w:name="Block Text" w:semiHidden="0" w:unhideWhenUsed="0"/>
    <w:lsdException w:name="Body Text" w:semiHidden="0" w:unhideWhenUsed="0"/>
    <w:lsdException w:name="Body Text 2" w:semiHidden="0" w:unhideWhenUsed="0"/>
    <w:lsdException w:name="Body Text 3" w:semiHidden="0" w:unhideWhenUsed="0"/>
    <w:lsdException w:name="Body Text First Indent" w:semiHidden="0" w:unhideWhenUsed="0"/>
    <w:lsdException w:name="Body Text First Indent 2" w:semiHidden="0" w:unhideWhenUsed="0"/>
    <w:lsdException w:name="Body Text Indent" w:semiHidden="0" w:unhideWhenUsed="0"/>
    <w:lsdException w:name="Body Text Indent 2" w:semiHidden="0" w:unhideWhenUsed="0"/>
    <w:lsdException w:name="Body Text Indent 3" w:semiHidden="0" w:unhideWhenUsed="0"/>
    <w:lsdException w:name="Closing" w:semiHidden="0" w:unhideWhenUsed="0"/>
    <w:lsdException w:name="Colorful Grid" w:semiHidden="0" w:unhideWhenUsed="0"/>
    <w:lsdException w:name="Colorful Grid Accent 1" w:semiHidden="0" w:unhideWhenUsed="0"/>
    <w:lsdException w:name="Colorful Grid Accent 2" w:semiHidden="0" w:unhideWhenUsed="0"/>
    <w:lsdException w:name="Colorful Grid Accent 3" w:semiHidden="0" w:unhideWhenUsed="0"/>
    <w:lsdException w:name="Colorful Grid Accent 4" w:semiHidden="0" w:unhideWhenUsed="0"/>
    <w:lsdException w:name="Colorful Grid Accent 5" w:semiHidden="0" w:unhideWhenUsed="0"/>
    <w:lsdException w:name="Colorful Grid Accent 6" w:semiHidden="0" w:unhideWhenUsed="0"/>
    <w:lsdException w:name="Colorful List" w:semiHidden="0" w:unhideWhenUsed="0"/>
    <w:lsdException w:name="Colorful List Accent 1" w:semiHidden="0" w:unhideWhenUsed="0"/>
    <w:lsdException w:name="Colorful List Accent 2" w:semiHidden="0" w:unhideWhenUsed="0"/>
    <w:lsdException w:name="Colorful List Accent 3" w:semiHidden="0" w:unhideWhenUsed="0"/>
    <w:lsdException w:name="Colorful List Accent 4" w:semiHidden="0" w:unhideWhenUsed="0"/>
    <w:lsdException w:name="Colorful List Accent 5" w:semiHidden="0" w:unhideWhenUsed="0"/>
    <w:lsdException w:name="Colorful List Accent 6" w:semiHidden="0" w:unhideWhenUsed="0"/>
    <w:lsdException w:name="Colorful Shading" w:semiHidden="0" w:unhideWhenUsed="0"/>
    <w:lsdException w:name="Colorful Shading Accent 1" w:semiHidden="0" w:unhideWhenUsed="0"/>
    <w:lsdException w:name="Colorful Shading Accent 2" w:semiHidden="0" w:unhideWhenUsed="0"/>
    <w:lsdException w:name="Colorful Shading Accent 3" w:semiHidden="0" w:unhideWhenUsed="0"/>
    <w:lsdException w:name="Colorful Shading Accent 4" w:semiHidden="0" w:unhideWhenUsed="0"/>
    <w:lsdException w:name="Colorful Shading Accent 5" w:semiHidden="0" w:unhideWhenUsed="0"/>
    <w:lsdException w:name="Colorful Shading Accent 6" w:semiHidden="0" w:unhideWhenUsed="0"/>
    <w:lsdException w:name="Dark List" w:semiHidden="0" w:unhideWhenUsed="0"/>
    <w:lsdException w:name="Dark List Accent 1" w:semiHidden="0" w:unhideWhenUsed="0"/>
    <w:lsdException w:name="Dark List Accent 2" w:semiHidden="0" w:unhideWhenUsed="0"/>
    <w:lsdException w:name="Dark List Accent 3" w:semiHidden="0" w:unhideWhenUsed="0"/>
    <w:lsdException w:name="Dark List Accent 4" w:semiHidden="0" w:unhideWhenUsed="0"/>
    <w:lsdException w:name="Dark List Accent 5" w:semiHidden="0" w:unhideWhenUsed="0"/>
    <w:lsdException w:name="Dark List Accent 6" w:semiHidden="0" w:unhideWhenUsed="0"/>
    <w:lsdException w:name="Date" w:semiHidden="0" w:unhideWhenUsed="0"/>
    <w:lsdException w:name="Default Paragraph Font" w:unhideWhenUsed="0"/>
    <w:lsdException w:name="Document Map" w:semiHidden="0" w:unhideWhenUsed="0"/>
    <w:lsdException w:name="E-mail Signature" w:semiHidden="0" w:unhideWhenUsed="0"/>
    <w:lsdException w:name="Emphasis" w:semiHidden="0" w:unhideWhenUsed="0"/>
    <w:lsdException w:name="FollowedHyperlink" w:semiHidden="0" w:unhideWhenUsed="0"/>
    <w:lsdException w:name="HTML Acronym" w:semiHidden="0" w:unhideWhenUsed="0"/>
    <w:lsdException w:name="HTML Address" w:semiHidden="0" w:unhideWhenUsed="0"/>
    <w:lsdException w:name="HTML Cite" w:semiHidden="0" w:unhideWhenUsed="0"/>
    <w:lsdException w:name="HTML Code" w:semiHidden="0" w:unhideWhenUsed="0"/>
    <w:lsdException w:name="HTML Definition" w:semiHidden="0" w:unhideWhenUsed="0"/>
    <w:lsdException w:name="HTML Keyboard" w:semiHidden="0" w:unhideWhenUsed="0"/>
    <w:lsdException w:name="HTML Preformatted" w:semiHidden="0" w:unhideWhenUsed="0"/>
    <w:lsdException w:name="HTML Sample" w:semiHidden="0" w:unhideWhenUsed="0"/>
    <w:lsdException w:name="HTML Typewriter" w:semiHidden="0" w:unhideWhenUsed="0"/>
    <w:lsdException w:name="HTML Variable" w:semiHidden="0" w:unhideWhenUsed="0"/>
    <w:lsdException w:name="Hyperlink" w:semiHidden="0" w:unhideWhenUsed="0"/>
    <w:lsdException w:name="Light Grid" w:semiHidden="0" w:unhideWhenUsed="0"/>
    <w:lsdException w:name="Light Grid Accent 1" w:semiHidden="0" w:unhideWhenUsed="0"/>
    <w:lsdException w:name="Light Grid Accent 2" w:semiHidden="0" w:unhideWhenUsed="0"/>
    <w:lsdException w:name="Light Grid Accent 3" w:semiHidden="0" w:unhideWhenUsed="0"/>
    <w:lsdException w:name="Light Grid Accent 4" w:semiHidden="0" w:unhideWhenUsed="0"/>
    <w:lsdException w:name="Light Grid Accent 5" w:semiHidden="0" w:unhideWhenUsed="0"/>
    <w:lsdException w:name="Light Grid Accent 6" w:semiHidden="0" w:unhideWhenUsed="0"/>
    <w:lsdException w:name="Light List" w:semiHidden="0" w:unhideWhenUsed="0"/>
    <w:lsdException w:name="Light List Accent 1" w:semiHidden="0" w:unhideWhenUsed="0"/>
    <w:lsdException w:name="Light List Accent 2" w:semiHidden="0" w:unhideWhenUsed="0"/>
    <w:lsdException w:name="Light List Accent 3" w:semiHidden="0" w:unhideWhenUsed="0"/>
    <w:lsdException w:name="Light List Accent 4" w:semiHidden="0" w:unhideWhenUsed="0"/>
    <w:lsdException w:name="Light List Accent 5" w:semiHidden="0" w:unhideWhenUsed="0"/>
    <w:lsdException w:name="Light List Accent 6" w:semiHidden="0" w:unhideWhenUsed="0"/>
    <w:lsdException w:name="Light Shading" w:semiHidden="0" w:unhideWhenUsed="0"/>
    <w:lsdException w:name="Light Shading Accent 1" w:semiHidden="0" w:unhideWhenUsed="0"/>
    <w:lsdException w:name="Light Shading Accent 2" w:semiHidden="0" w:unhideWhenUsed="0"/>
    <w:lsdException w:name="Light Shading Accent 3" w:semiHidden="0" w:unhideWhenUsed="0"/>
    <w:lsdException w:name="Light Shading Accent 4" w:semiHidden="0" w:unhideWhenUsed="0"/>
    <w:lsdException w:name="Light Shading Accent 5" w:semiHidden="0" w:unhideWhenUsed="0"/>
    <w:lsdException w:name="Light Shading Accent 6" w:semiHidden="0" w:unhideWhenUsed="0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Continue" w:semiHidden="0" w:unhideWhenUsed="0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List Number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List Number 5" w:semiHidden="0" w:unhideWhenUsed="0"/>
    <w:lsdException w:name="Medium Grid 1" w:semiHidden="0" w:unhideWhenUsed="0"/>
    <w:lsdException w:name="Medium Grid 1 Accent 1" w:semiHidden="0" w:unhideWhenUsed="0"/>
    <w:lsdException w:name="Medium Grid 1 Accent 2" w:semiHidden="0" w:unhideWhenUsed="0"/>
    <w:lsdException w:name="Medium Grid 1 Accent 3" w:semiHidden="0" w:unhideWhenUsed="0"/>
    <w:lsdException w:name="Medium Grid 1 Accent 4" w:semiHidden="0" w:unhideWhenUsed="0"/>
    <w:lsdException w:name="Medium Grid 1 Accent 5" w:semiHidden="0" w:unhideWhenUsed="0"/>
    <w:lsdException w:name="Medium Grid 1 Accent 6" w:semiHidden="0" w:unhideWhenUsed="0"/>
    <w:lsdException w:name="Medium Grid 2" w:semiHidden="0" w:unhideWhenUsed="0"/>
    <w:lsdException w:name="Medium Grid 2 Accent 1" w:semiHidden="0" w:unhideWhenUsed="0"/>
    <w:lsdException w:name="Medium Grid 2 Accent 2" w:semiHidden="0" w:unhideWhenUsed="0"/>
    <w:lsdException w:name="Medium Grid 2 Accent 3" w:semiHidden="0" w:unhideWhenUsed="0"/>
    <w:lsdException w:name="Medium Grid 2 Accent 4" w:semiHidden="0" w:unhideWhenUsed="0"/>
    <w:lsdException w:name="Medium Grid 2 Accent 5" w:semiHidden="0" w:unhideWhenUsed="0"/>
    <w:lsdException w:name="Medium Grid 2 Accent 6" w:semiHidden="0" w:unhideWhenUsed="0"/>
    <w:lsdException w:name="Medium Grid 3" w:semiHidden="0" w:unhideWhenUsed="0"/>
    <w:lsdException w:name="Medium Grid 3 Accent 1" w:semiHidden="0" w:unhideWhenUsed="0"/>
    <w:lsdException w:name="Medium Grid 3 Accent 2" w:semiHidden="0" w:unhideWhenUsed="0"/>
    <w:lsdException w:name="Medium Grid 3 Accent 3" w:semiHidden="0" w:unhideWhenUsed="0"/>
    <w:lsdException w:name="Medium Grid 3 Accent 4" w:semiHidden="0" w:unhideWhenUsed="0"/>
    <w:lsdException w:name="Medium Grid 3 Accent 5" w:semiHidden="0" w:unhideWhenUsed="0"/>
    <w:lsdException w:name="Medium Grid 3 Accent 6" w:semiHidden="0" w:unhideWhenUsed="0"/>
    <w:lsdException w:name="Medium List 1" w:semiHidden="0" w:unhideWhenUsed="0"/>
    <w:lsdException w:name="Medium List 1 Accent 1" w:semiHidden="0" w:unhideWhenUsed="0"/>
    <w:lsdException w:name="Medium List 1 Accent 2" w:semiHidden="0" w:unhideWhenUsed="0"/>
    <w:lsdException w:name="Medium List 1 Accent 3" w:semiHidden="0" w:unhideWhenUsed="0"/>
    <w:lsdException w:name="Medium List 1 Accent 4" w:semiHidden="0" w:unhideWhenUsed="0"/>
    <w:lsdException w:name="Medium List 1 Accent 5" w:semiHidden="0" w:unhideWhenUsed="0"/>
    <w:lsdException w:name="Medium List 1 Accent 6" w:semiHidden="0" w:unhideWhenUsed="0"/>
    <w:lsdException w:name="Medium List 2" w:semiHidden="0" w:unhideWhenUsed="0"/>
    <w:lsdException w:name="Medium List 2 Accent 1" w:semiHidden="0" w:unhideWhenUsed="0"/>
    <w:lsdException w:name="Medium List 2 Accent 2" w:semiHidden="0" w:unhideWhenUsed="0"/>
    <w:lsdException w:name="Medium List 2 Accent 3" w:semiHidden="0" w:unhideWhenUsed="0"/>
    <w:lsdException w:name="Medium List 2 Accent 4" w:semiHidden="0" w:unhideWhenUsed="0"/>
    <w:lsdException w:name="Medium List 2 Accent 5" w:semiHidden="0" w:unhideWhenUsed="0"/>
    <w:lsdException w:name="Medium List 2 Accent 6" w:semiHidden="0" w:unhideWhenUsed="0"/>
    <w:lsdException w:name="Medium Shading 1" w:semiHidden="0" w:unhideWhenUsed="0"/>
    <w:lsdException w:name="Medium Shading 1 Accent 1" w:semiHidden="0" w:unhideWhenUsed="0"/>
    <w:lsdException w:name="Medium Shading 1 Accent 2" w:semiHidden="0" w:unhideWhenUsed="0"/>
    <w:lsdException w:name="Medium Shading 1 Accent 3" w:semiHidden="0" w:unhideWhenUsed="0"/>
    <w:lsdException w:name="Medium Shading 1 Accent 4" w:semiHidden="0" w:unhideWhenUsed="0"/>
    <w:lsdException w:name="Medium Shading 1 Accent 5" w:semiHidden="0" w:unhideWhenUsed="0"/>
    <w:lsdException w:name="Medium Shading 1 Accent 6" w:semiHidden="0" w:unhideWhenUsed="0"/>
    <w:lsdException w:name="Medium Shading 2" w:semiHidden="0" w:unhideWhenUsed="0"/>
    <w:lsdException w:name="Medium Shading 2 Accent 1" w:semiHidden="0" w:unhideWhenUsed="0"/>
    <w:lsdException w:name="Medium Shading 2 Accent 2" w:semiHidden="0" w:unhideWhenUsed="0"/>
    <w:lsdException w:name="Medium Shading 2 Accent 3" w:semiHidden="0" w:unhideWhenUsed="0"/>
    <w:lsdException w:name="Medium Shading 2 Accent 4" w:semiHidden="0" w:unhideWhenUsed="0"/>
    <w:lsdException w:name="Medium Shading 2 Accent 5" w:semiHidden="0" w:unhideWhenUsed="0"/>
    <w:lsdException w:name="Medium Shading 2 Accent 6" w:semiHidden="0" w:unhideWhenUsed="0"/>
    <w:lsdException w:name="Message Header" w:semiHidden="0" w:unhideWhenUsed="0"/>
    <w:lsdException w:name="Normal" w:semiHidden="0" w:unhideWhenUsed="0"/>
    <w:lsdException w:name="Normal (Web)" w:semiHidden="0" w:unhideWhenUsed="0"/>
    <w:lsdException w:name="Normal Indent" w:semiHidden="0" w:unhideWhenUsed="0"/>
    <w:lsdException w:name="Normal Table" w:unhideWhenUsed="0"/>
    <w:lsdException w:name="Note Heading" w:semiHidden="0" w:unhideWhenUsed="0"/>
    <w:lsdException w:name="Plain Text" w:semiHidden="0" w:unhideWhenUsed="0"/>
    <w:lsdException w:name="Salutation" w:semiHidden="0" w:unhideWhenUsed="0"/>
    <w:lsdException w:name="Signature" w:semiHidden="0" w:unhideWhenUsed="0"/>
    <w:lsdException w:name="Strong" w:semiHidden="0" w:unhideWhenUsed="0"/>
    <w:lsdException w:name="Subtitle" w:semiHidden="0" w:unhideWhenUsed="0"/>
    <w:lsdException w:name="Table 3D effects 1" w:semiHidden="0" w:unhideWhenUsed="0"/>
    <w:lsdException w:name="Table 3D effects 2" w:semiHidden="0" w:unhideWhenUsed="0"/>
    <w:lsdException w:name="Table 3D effects 3" w:semiHidden="0" w:unhideWhenUsed="0"/>
    <w:lsdException w:name="Table Classic 1" w:semiHidden="0" w:unhideWhenUsed="0"/>
    <w:lsdException w:name="Table Classic 2" w:semiHidden="0" w:unhideWhenUsed="0"/>
    <w:lsdException w:name="Table Classic 3" w:semiHidden="0" w:unhideWhenUsed="0"/>
    <w:lsdException w:name="Table Classic 4" w:semiHidden="0" w:unhideWhenUsed="0"/>
    <w:lsdException w:name="Table Colorful 1" w:semiHidden="0" w:unhideWhenUsed="0"/>
    <w:lsdException w:name="Table Colorful 2" w:semiHidden="0" w:unhideWhenUsed="0"/>
    <w:lsdException w:name="Table Colorful 3" w:semiHidden="0" w:unhideWhenUsed="0"/>
    <w:lsdException w:name="Table Columns 1" w:semiHidden="0" w:unhideWhenUsed="0"/>
    <w:lsdException w:name="Table Columns 2" w:semiHidden="0" w:unhideWhenUsed="0"/>
    <w:lsdException w:name="Table Columns 3" w:semiHidden="0" w:unhideWhenUsed="0"/>
    <w:lsdException w:name="Table Columns 4" w:semiHidden="0" w:unhideWhenUsed="0"/>
    <w:lsdException w:name="Table Columns 5" w:semiHidden="0" w:unhideWhenUsed="0"/>
    <w:lsdException w:name="Table Contemporary" w:semiHidden="0" w:unhideWhenUsed="0"/>
    <w:lsdException w:name="Table Elegant" w:semiHidden="0" w:unhideWhenUsed="0"/>
    <w:lsdException w:name="Table Grid" w:semiHidden="0" w:unhideWhenUsed="0"/>
    <w:lsdException w:name="Table Grid 1" w:semiHidden="0" w:unhideWhenUsed="0"/>
    <w:lsdException w:name="Table Grid 2" w:semiHidden="0" w:unhideWhenUsed="0"/>
    <w:lsdException w:name="Table Grid 3" w:semiHidden="0" w:unhideWhenUsed="0"/>
    <w:lsdException w:name="Table Grid 4" w:semiHidden="0" w:unhideWhenUsed="0"/>
    <w:lsdException w:name="Table Grid 5" w:semiHidden="0" w:unhideWhenUsed="0"/>
    <w:lsdException w:name="Table Grid 6" w:semiHidden="0" w:unhideWhenUsed="0"/>
    <w:lsdException w:name="Table Grid 7" w:semiHidden="0" w:unhideWhenUsed="0"/>
    <w:lsdException w:name="Table Grid 8" w:semiHidden="0" w:unhideWhenUsed="0"/>
    <w:lsdException w:name="Table List 1" w:semiHidden="0" w:unhideWhenUsed="0"/>
    <w:lsdException w:name="Table List 2" w:semiHidden="0" w:unhideWhenUsed="0"/>
    <w:lsdException w:name="Table List 3" w:semiHidden="0" w:unhideWhenUsed="0"/>
    <w:lsdException w:name="Table List 4" w:semiHidden="0" w:unhideWhenUsed="0"/>
    <w:lsdException w:name="Table List 5" w:semiHidden="0" w:unhideWhenUsed="0"/>
    <w:lsdException w:name="Table List 6" w:semiHidden="0" w:unhideWhenUsed="0"/>
    <w:lsdException w:name="Table List 7" w:semiHidden="0" w:unhideWhenUsed="0"/>
    <w:lsdException w:name="Table List 8" w:semiHidden="0" w:unhideWhenUsed="0"/>
    <w:lsdException w:name="Table Professional" w:semiHidden="0" w:unhideWhenUsed="0"/>
    <w:lsdException w:name="Table Simple 1" w:semiHidden="0" w:unhideWhenUsed="0"/>
    <w:lsdException w:name="Table Simple 2" w:semiHidden="0" w:unhideWhenUsed="0"/>
    <w:lsdException w:name="Table Simple 3" w:semiHidden="0" w:unhideWhenUsed="0"/>
    <w:lsdException w:name="Table Subtle 1" w:semiHidden="0" w:unhideWhenUsed="0"/>
    <w:lsdException w:name="Table Subtle 2" w:semiHidden="0" w:unhideWhenUsed="0"/>
    <w:lsdException w:name="Table Theme" w:semiHidden="0" w:unhideWhenUsed="0"/>
    <w:lsdException w:name="Table Web 1" w:semiHidden="0" w:unhideWhenUsed="0"/>
    <w:lsdException w:name="Table Web 2" w:semiHidden="0" w:unhideWhenUsed="0"/>
    <w:lsdException w:name="Table Web 3" w:semiHidden="0" w:unhideWhenUsed="0"/>
    <w:lsdException w:name="Title" w:semiHidden="0" w:unhideWhenUsed="0"/>
    <w:lsdException w:name="annotation reference" w:semiHidden="0" w:unhideWhenUsed="0"/>
    <w:lsdException w:name="annotation subject" w:semiHidden="0" w:unhideWhenUsed="0"/>
    <w:lsdException w:name="annotation text" w:semiHidden="0" w:unhideWhenUsed="0"/>
    <w:lsdException w:name="caption" w:semiHidden="0" w:unhideWhenUsed="0"/>
    <w:lsdException w:name="endnote reference" w:semiHidden="0" w:unhideWhenUsed="0"/>
    <w:lsdException w:name="endnote text" w:semiHidden="0" w:unhideWhenUsed="0"/>
    <w:lsdException w:name="envelope address" w:semiHidden="0" w:unhideWhenUsed="0"/>
    <w:lsdException w:name="envelope return" w:semiHidden="0" w:unhideWhenUsed="0"/>
    <w:lsdException w:name="footer" w:semiHidden="0" w:unhideWhenUsed="0"/>
    <w:lsdException w:name="footnote reference" w:semiHidden="0" w:unhideWhenUsed="0"/>
    <w:lsdException w:name="footnote text" w:semiHidden="0" w:unhideWhenUsed="0"/>
    <w:lsdException w:name="header" w:semiHidden="0" w:unhideWhenUsed="0"/>
    <w:lsdException w:name="heading 1" w:semiHidden="0" w:unhideWhenUsed="0"/>
    <w:lsdException w:name="heading 2"/>
    <w:lsdException w:name="heading 3"/>
    <w:lsdException w:name="heading 4"/>
    <w:lsdException w:name="heading 5"/>
    <w:lsdException w:name="heading 6"/>
    <w:lsdException w:name="heading 7"/>
    <w:lsdException w:name="heading 8"/>
    <w:lsdException w:name="heading 9"/>
    <w:lsdException w:name="index 1" w:semiHidden="0" w:unhideWhenUsed="0"/>
    <w:lsdException w:name="index 2" w:semiHidden="0" w:unhideWhenUsed="0"/>
    <w:lsdException w:name="index 3" w:semiHidden="0" w:unhideWhenUsed="0"/>
    <w:lsdException w:name="index 4" w:semiHidden="0" w:unhideWhenUsed="0"/>
    <w:lsdException w:name="index 5" w:semiHidden="0" w:unhideWhenUsed="0"/>
    <w:lsdException w:name="index 6" w:semiHidden="0" w:unhideWhenUsed="0"/>
    <w:lsdException w:name="index 7" w:semiHidden="0" w:unhideWhenUsed="0"/>
    <w:lsdException w:name="index 8" w:semiHidden="0" w:unhideWhenUsed="0"/>
    <w:lsdException w:name="index 9" w:semiHidden="0" w:unhideWhenUsed="0"/>
    <w:lsdException w:name="index heading" w:semiHidden="0" w:unhideWhenUsed="0"/>
    <w:lsdException w:name="line number" w:semiHidden="0" w:unhideWhenUsed="0"/>
    <w:lsdException w:name="macro" w:semiHidden="0" w:unhideWhenUsed="0"/>
    <w:lsdException w:name="page number" w:semiHidden="0" w:unhideWhenUsed="0"/>
    <w:lsdException w:name="table of authorities" w:semiHidden="0" w:unhideWhenUsed="0"/>
    <w:lsdException w:name="table of figures" w:semiHidden="0" w:unhideWhenUsed="0"/>
    <w:lsdException w:name="toa heading" w:semiHidden="0" w:unhideWhenUsed="0"/>
    <w:lsdException w:name="toc 1" w:semiHidden="0" w:unhideWhenUsed="0"/>
    <w:lsdException w:name="toc 2" w:semiHidden="0" w:unhideWhenUsed="0"/>
    <w:lsdException w:name="toc 3" w:semiHidden="0" w:unhideWhenUsed="0"/>
    <w:lsdException w:name="toc 4" w:semiHidden="0" w:unhideWhenUsed="0"/>
    <w:lsdException w:name="toc 5" w:semiHidden="0" w:unhideWhenUsed="0"/>
    <w:lsdException w:name="toc 6" w:semiHidden="0" w:unhideWhenUsed="0"/>
    <w:lsdException w:name="toc 7" w:semiHidden="0" w:unhideWhenUsed="0"/>
    <w:lsdException w:name="toc 8" w:semiHidden="0" w:unhideWhenUsed="0"/>
    <w:lsdException w:name="toc 9" w:semiHidden="0" w:unhideWhenUsed="0"/>
  </w:latentStyles>
  <w:style w:type="paragraph" w:styleId="1" w:default="1">
    <w:name w:val="Normal"/>
    <w:uiPriority w:val="0"/>
    <w:qFormat/>
    <w:pPr>
      <w:widowControl w:val="0"/>
      <w:bidi w:val="0"/>
      <w:jc w:val="both"/>
      <w:suppressAutoHyphens/>
    </w:pPr>
    <w:rPr>
      <w:color w:val="auto"/>
      <w:sz w:val="21"/>
      <w:lang w:val="en-US" w:eastAsia="zh-CN" w:bidi="ar-SA"/>
      <w:kern w:val="2"/>
      <w:szCs w:val="24"/>
      <w:rFonts w:ascii="Times New Roman" w:hAnsi="Times New Roman" w:eastAsia="宋体" w:cs="Times New Roman"/>
    </w:rPr>
  </w:style>
  <w:style w:type="character" w:styleId="8" w:default="1">
    <w:name w:val="Default Paragraph Font"/>
    <w:uiPriority w:val="0"/>
    <w:semiHidden/>
    <w:qFormat/>
  </w:style>
  <w:style w:type="table" w:styleId="7" w:default="1">
    <w:name w:val="Normal Table"/>
    <w:uiPriority w:val="0"/>
    <w:semiHidden/>
    <w:tblPr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paragraph" w:styleId="2">
    <w:name w:val="caption"/>
    <w:basedOn w:val="1"/>
    <w:uiPriority w:val="0"/>
    <w:qFormat/>
    <w:pPr>
      <w:suppressLineNumbers/>
      <w:spacing w:after="120" w:before="120"/>
    </w:pPr>
    <w:rPr>
      <w:i w:val="1"/>
      <w:sz w:val="24"/>
      <w:iCs/>
      <w:szCs w:val="24"/>
      <w:rFonts w:cs="Lohit Devanagari"/>
    </w:rPr>
  </w:style>
  <w:style w:type="paragraph" w:styleId="3">
    <w:name w:val="Body Text"/>
    <w:basedOn w:val="1"/>
    <w:uiPriority w:val="0"/>
    <w:qFormat/>
    <w:pPr>
      <w:spacing w:after="140" w:before="0" w:line="276" w:lineRule="auto"/>
    </w:pPr>
  </w:style>
  <w:style w:type="paragraph" w:styleId="4">
    <w:name w:val="footer"/>
    <w:basedOn w:val="1"/>
    <w:uiPriority w:val="0"/>
    <w:pPr>
      <w:snapToGrid w:val="0"/>
      <w:jc w:val="left"/>
      <w:tabs>
        <w:tab w:val="center" w:pos="4153"/>
        <w:tab w:val="right" w:pos="8306"/>
      </w:tabs>
    </w:pPr>
    <w:rPr>
      <w:sz w:val="18"/>
      <w:szCs w:val="18"/>
    </w:rPr>
  </w:style>
  <w:style w:type="paragraph" w:styleId="5">
    <w:name w:val="header"/>
    <w:basedOn w:val="1"/>
    <w:uiPriority w:val="0"/>
    <w:pPr>
      <w:snapToGrid w:val="0"/>
      <w:jc w:val="center"/>
      <w:pBdr>
        <w:bottom w:val="single" w:color="000000" w:sz="6" w:space="1"/>
      </w:pBdr>
      <w:tabs>
        <w:tab w:val="center" w:pos="4153"/>
        <w:tab w:val="right" w:pos="8306"/>
      </w:tabs>
    </w:pPr>
    <w:rPr>
      <w:sz w:val="18"/>
      <w:szCs w:val="18"/>
    </w:rPr>
  </w:style>
  <w:style w:type="paragraph" w:styleId="6">
    <w:name w:val="List"/>
    <w:basedOn w:val="3"/>
    <w:uiPriority w:val="0"/>
    <w:rPr>
      <w:rFonts w:cs="Lohit Devanagari"/>
    </w:rPr>
  </w:style>
  <w:style w:type="character" w:styleId="9" w:customStyle="1">
    <w:name w:val="默认段落字体1"/>
    <w:uiPriority w:val="0"/>
    <w:qFormat/>
  </w:style>
  <w:style w:type="character" w:styleId="10" w:customStyle="1">
    <w:name w:val="页脚 字符"/>
    <w:uiPriority w:val="0"/>
    <w:qFormat/>
    <w:rPr>
      <w:sz w:val="18"/>
      <w:kern w:val="2"/>
      <w:szCs w:val="18"/>
    </w:rPr>
  </w:style>
  <w:style w:type="character" w:styleId="11" w:customStyle="1">
    <w:name w:val="页眉 字符"/>
    <w:uiPriority w:val="0"/>
    <w:qFormat/>
    <w:rPr>
      <w:sz w:val="18"/>
      <w:kern w:val="2"/>
      <w:szCs w:val="18"/>
    </w:rPr>
  </w:style>
  <w:style w:type="paragraph" w:styleId="12" w:customStyle="1">
    <w:name w:val="Heading"/>
    <w:basedOn w:val="1"/>
    <w:uiPriority w:val="0"/>
    <w:qFormat/>
    <w:pPr>
      <w:keepNext w:val="1"/>
      <w:spacing w:after="120" w:before="240"/>
    </w:pPr>
    <w:rPr>
      <w:sz w:val="28"/>
      <w:szCs w:val="28"/>
      <w:rFonts w:ascii="Liberation Sans" w:hAnsi="Liberation Sans" w:eastAsia="Noto Sans CJK SC" w:cs="Lohit Devanagari"/>
    </w:rPr>
  </w:style>
  <w:style w:type="paragraph" w:styleId="13" w:customStyle="1">
    <w:name w:val="Index"/>
    <w:basedOn w:val="1"/>
    <w:uiPriority w:val="0"/>
    <w:qFormat/>
    <w:pPr>
      <w:suppressLineNumbers/>
    </w:pPr>
    <w:rPr>
      <w:rFonts w:cs="Lohit Devanagari"/>
    </w:rPr>
  </w:style>
  <w:style w:type="paragraph" w:styleId="14" w:customStyle="1">
    <w:name w:val="Header and Footer"/>
    <w:basedOn w:val="1"/>
    <w:uiPriority w:val="0"/>
    <w:qFormat/>
    <w:pPr>
      <w:suppressLineNumbers/>
      <w:tabs>
        <w:tab w:val="center" w:pos="4819"/>
        <w:tab w:val="right" w:pos="9638"/>
      </w:tabs>
    </w:pPr>
  </w:style>
  <w:style w:type="paragraph" w:styleId="15" w:customStyle="1">
    <w:name w:val="Table Contents"/>
    <w:basedOn w:val="1"/>
    <w:uiPriority w:val="0"/>
    <w:qFormat/>
    <w:pPr>
      <w:widowControl w:val="0"/>
      <w:suppressLineNumbers/>
    </w:pPr>
  </w:style>
  <w:style w:type="paragraph" w:styleId="16" w:customStyle="1">
    <w:name w:val="Table Heading"/>
    <w:basedOn w:val="15"/>
    <w:uiPriority w:val="0"/>
    <w:qFormat/>
    <w:pPr>
      <w:jc w:val="center"/>
      <w:suppressLineNumbers/>
    </w:pPr>
    <w:rPr>
      <w:b w:val="1"/>
      <w:bCs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1.jpg" /><Relationship Id="rId4" Type="http://schemas.openxmlformats.org/officeDocument/2006/relationships/image" Target="media/image1.png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anose=""/>
        <a:ea typeface="DejaVu Sans"/>
        <a:cs typeface="DejaVu Sans"/>
      </a:majorFont>
      <a:minorFont>
        <a:latin typeface="Arial" panose="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 lim="0"/>
        </a:ln>
        <a:ln w="6350" cap="flat" cmpd="sng" algn="ctr">
          <a:prstDash val="solid"/>
          <a:miter lim="0"/>
        </a:ln>
        <a:ln w="6350" cap="flat" cmpd="sng" algn="ctr">
          <a:prstDash val="solid"/>
          <a:miter lim="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26890</TotalTime>
  <Pages>5</Pages>
  <Words>2906</Words>
  <Characters>2963</Characters>
  <Application>WPS Office_12.1.0.25222_F1E327BC-269C-435d-A152-05C5408002CA</Application>
  <DocSecurity>0</DocSecurity>
  <Lines>0</Lines>
  <Paragraphs>0</Paragraphs>
  <ScaleCrop>false</ScaleCrop>
  <Company/>
  <LinksUpToDate>false</LinksUpToDate>
  <CharactersWithSpaces>3153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dcmitype="http://purl.org/dc/dcmitype/" xmlns:xsi="http://www.w3.org/2001/XMLSchema-instance">
  <dc:title>西安交通大学研究生社会实践总结报告</dc:title>
  <dc:subject/>
  <dc:creator>郭炜</dc:creator>
  <cp:keywords/>
  <dc:description/>
  <cp:lastModifiedBy>WPS_1689406560</cp:lastModifiedBy>
  <cp:revision>3</cp:revision>
  <dcterms:created xsi:type="dcterms:W3CDTF">2020-12-21T12:46:00Z</dcterms:created>
  <dcterms:modified xsi:type="dcterms:W3CDTF">2026-07-26T08:00:21Z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DDA8166E06FB40E3B3AA32A11BC1CE33_13</vt:lpwstr>
  </property>
  <property fmtid="{D5CDD505-2E9C-101B-9397-08002B2CF9AE}" pid="3" name="KSOProductBuildVer">
    <vt:lpwstr>2052-12.1.0.25222</vt:lpwstr>
  </property>
  <property fmtid="{D5CDD505-2E9C-101B-9397-08002B2CF9AE}" pid="4" name="KSOTemplateDocerSaveRecord">
    <vt:lpwstr>eyJoZGlkIjoiYjdlNTUzMmJlZDNmY2ZjMTljMDE1MGI2MzQwYjQ2NzYiLCJ1c2VySWQiOiIxNTE0MjU3MzM0In0=</vt:lpwstr>
  </property>
</Properties>
</file>

<file path=tbak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B5C2D2">
      <w:pPr>
        <w:jc w:val="center"/>
        <w:rPr>
          <w:rFonts w:ascii="仿宋_GB2312;仿宋" w:hAnsi="仿宋_GB2312;仿宋" w:eastAsia="仿宋_GB2312;仿宋" w:cs="宋体"/>
          <w:b/>
          <w:sz w:val="28"/>
          <w:szCs w:val="28"/>
        </w:rPr>
      </w:pPr>
      <w:r>
        <w:rPr>
          <w:rFonts w:ascii="仿宋_GB2312;仿宋" w:hAnsi="仿宋_GB2312;仿宋" w:eastAsia="仿宋_GB2312;仿宋" w:cs="宋体"/>
          <w:b/>
          <w:sz w:val="28"/>
          <w:szCs w:val="28"/>
        </w:rPr>
        <w:t>西安交通大学思想政治理论课实践教学活动记录册</w:t>
      </w:r>
    </w:p>
    <w:tbl>
      <w:tblPr>
        <w:tblStyle w:val="7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533"/>
        <w:gridCol w:w="1330"/>
        <w:gridCol w:w="1176"/>
        <w:gridCol w:w="1838"/>
        <w:gridCol w:w="1262"/>
        <w:gridCol w:w="1738"/>
      </w:tblGrid>
      <w:tr w14:paraId="72705B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29177D">
            <w:pPr>
              <w:jc w:val="center"/>
              <w:rPr>
                <w:rFonts w:ascii="仿宋_GB2312;仿宋" w:hAnsi="仿宋_GB2312;仿宋" w:eastAsia="仿宋_GB2312;仿宋"/>
                <w:sz w:val="24"/>
              </w:rPr>
            </w:pPr>
            <w:r>
              <w:rPr>
                <w:rFonts w:ascii="仿宋_GB2312" w:hAnsi="仿宋_GB2312" w:eastAsia="仿宋_GB2312"/>
                <w:sz w:val="24"/>
              </w:rPr>
              <w:t>姓名</w:t>
            </w:r>
          </w:p>
        </w:tc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059E31">
            <w:pPr>
              <w:spacing w:before="0" w:after="0"/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林硕锦</w:t>
            </w:r>
          </w:p>
        </w:tc>
        <w:tc>
          <w:tcPr>
            <w:tcW w:w="11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E8C769">
            <w:pPr>
              <w:jc w:val="center"/>
              <w:rPr>
                <w:rFonts w:ascii="仿宋_GB2312;仿宋" w:hAnsi="仿宋_GB2312;仿宋" w:eastAsia="仿宋_GB2312;仿宋"/>
                <w:sz w:val="24"/>
              </w:rPr>
            </w:pPr>
            <w:r>
              <w:rPr>
                <w:rFonts w:ascii="仿宋_GB2312" w:hAnsi="仿宋_GB2312" w:eastAsia="仿宋_GB2312"/>
                <w:sz w:val="24"/>
              </w:rPr>
              <w:t>学号</w:t>
            </w:r>
          </w:p>
        </w:tc>
        <w:tc>
          <w:tcPr>
            <w:tcW w:w="1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7CF2CF">
            <w:pPr>
              <w:spacing w:before="0" w:after="0"/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2243515519</w:t>
            </w:r>
          </w:p>
        </w:tc>
        <w:tc>
          <w:tcPr>
            <w:tcW w:w="12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2787A8">
            <w:pPr>
              <w:jc w:val="center"/>
              <w:rPr>
                <w:rFonts w:ascii="仿宋_GB2312;仿宋" w:hAnsi="仿宋_GB2312;仿宋" w:eastAsia="仿宋_GB2312;仿宋"/>
                <w:sz w:val="24"/>
              </w:rPr>
            </w:pPr>
            <w:r>
              <w:rPr>
                <w:rFonts w:ascii="仿宋_GB2312" w:hAnsi="仿宋_GB2312" w:eastAsia="仿宋_GB2312"/>
                <w:sz w:val="24"/>
              </w:rPr>
              <w:t>指导老师</w:t>
            </w:r>
          </w:p>
        </w:tc>
        <w:tc>
          <w:tcPr>
            <w:tcW w:w="1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A40320">
            <w:pPr>
              <w:spacing w:before="0" w:after="0"/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刘晗梦</w:t>
            </w:r>
          </w:p>
        </w:tc>
      </w:tr>
      <w:tr w14:paraId="4F033A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0FD5C9">
            <w:pPr>
              <w:jc w:val="center"/>
              <w:rPr>
                <w:rFonts w:ascii="仿宋_GB2312;仿宋" w:hAnsi="仿宋_GB2312;仿宋" w:eastAsia="仿宋_GB2312;仿宋"/>
                <w:sz w:val="24"/>
              </w:rPr>
            </w:pPr>
            <w:r>
              <w:rPr>
                <w:rFonts w:ascii="仿宋_GB2312" w:hAnsi="仿宋_GB2312" w:eastAsia="仿宋_GB2312"/>
                <w:sz w:val="24"/>
              </w:rPr>
              <w:t>书院</w:t>
            </w:r>
          </w:p>
        </w:tc>
        <w:tc>
          <w:tcPr>
            <w:tcW w:w="25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5AE838">
            <w:pPr>
              <w:spacing w:before="0" w:after="0"/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励志书院</w:t>
            </w:r>
          </w:p>
        </w:tc>
        <w:tc>
          <w:tcPr>
            <w:tcW w:w="1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097B94">
            <w:pPr>
              <w:jc w:val="center"/>
              <w:rPr>
                <w:rFonts w:ascii="仿宋_GB2312;仿宋" w:hAnsi="仿宋_GB2312;仿宋" w:eastAsia="仿宋_GB2312;仿宋"/>
                <w:sz w:val="24"/>
              </w:rPr>
            </w:pPr>
            <w:r>
              <w:rPr>
                <w:rFonts w:ascii="仿宋_GB2312" w:hAnsi="仿宋_GB2312" w:eastAsia="仿宋_GB2312"/>
                <w:sz w:val="24"/>
              </w:rPr>
              <w:t>班级</w:t>
            </w:r>
          </w:p>
        </w:tc>
        <w:tc>
          <w:tcPr>
            <w:tcW w:w="30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7BD118">
            <w:pPr>
              <w:spacing w:before="0" w:after="0"/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信计2401</w:t>
            </w:r>
          </w:p>
        </w:tc>
      </w:tr>
      <w:tr w14:paraId="7B1BCA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3C622F">
            <w:pPr>
              <w:jc w:val="center"/>
              <w:rPr>
                <w:rFonts w:ascii="仿宋_GB2312;仿宋" w:hAnsi="仿宋_GB2312;仿宋" w:eastAsia="仿宋_GB2312;仿宋"/>
                <w:sz w:val="24"/>
              </w:rPr>
            </w:pPr>
            <w:r>
              <w:rPr>
                <w:rFonts w:ascii="仿宋_GB2312" w:hAnsi="仿宋_GB2312" w:eastAsia="仿宋_GB2312"/>
                <w:sz w:val="24"/>
              </w:rPr>
              <w:t>实践时间</w:t>
            </w:r>
          </w:p>
        </w:tc>
        <w:tc>
          <w:tcPr>
            <w:tcW w:w="25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926E44">
            <w:pPr>
              <w:spacing w:before="0" w:after="0"/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2026.7.19-2026.7.25</w:t>
            </w:r>
          </w:p>
        </w:tc>
        <w:tc>
          <w:tcPr>
            <w:tcW w:w="1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4F90D5">
            <w:pPr>
              <w:jc w:val="center"/>
              <w:rPr>
                <w:rFonts w:ascii="仿宋_GB2312;仿宋" w:hAnsi="仿宋_GB2312;仿宋" w:eastAsia="仿宋_GB2312;仿宋"/>
                <w:sz w:val="24"/>
              </w:rPr>
            </w:pPr>
            <w:r>
              <w:rPr>
                <w:rFonts w:ascii="仿宋_GB2312" w:hAnsi="仿宋_GB2312" w:eastAsia="仿宋_GB2312"/>
                <w:sz w:val="24"/>
              </w:rPr>
              <w:t>累计实践学时</w:t>
            </w:r>
          </w:p>
        </w:tc>
        <w:tc>
          <w:tcPr>
            <w:tcW w:w="30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F23278">
            <w:pPr>
              <w:spacing w:before="0" w:after="0"/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60</w:t>
            </w:r>
          </w:p>
        </w:tc>
      </w:tr>
      <w:tr w14:paraId="7CAB34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DE5530">
            <w:pPr>
              <w:jc w:val="center"/>
              <w:rPr>
                <w:rFonts w:ascii="仿宋_GB2312;仿宋" w:hAnsi="仿宋_GB2312;仿宋" w:eastAsia="仿宋_GB2312;仿宋"/>
                <w:sz w:val="24"/>
              </w:rPr>
            </w:pPr>
            <w:r>
              <w:rPr>
                <w:rFonts w:ascii="仿宋_GB2312" w:hAnsi="仿宋_GB2312" w:eastAsia="仿宋_GB2312"/>
                <w:sz w:val="24"/>
              </w:rPr>
              <w:t>实践类型</w:t>
            </w:r>
          </w:p>
        </w:tc>
        <w:tc>
          <w:tcPr>
            <w:tcW w:w="734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6D002F">
            <w:pPr>
              <w:spacing w:before="0" w:after="0" w:line="288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□红色寻访    □体验教育    □社会观察    □其他</w:t>
            </w:r>
          </w:p>
          <w:p w14:paraId="4DA4C41A">
            <w:pPr>
              <w:spacing w:before="0" w:after="0" w:line="288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☑主题调研    □理论宣讲    □志愿服务</w:t>
            </w:r>
          </w:p>
        </w:tc>
      </w:tr>
      <w:tr w14:paraId="3FF8C1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2" w:hRule="atLeast"/>
        </w:trPr>
        <w:tc>
          <w:tcPr>
            <w:tcW w:w="8522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1B764E">
            <w:pPr>
              <w:spacing w:before="0" w:after="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实践活动简介（200字左右，活动开展情况、主要心得、政策建议等概要）</w:t>
            </w:r>
          </w:p>
          <w:p w14:paraId="2F6D6668">
            <w:pPr>
              <w:spacing w:before="0" w:after="0"/>
            </w:pPr>
          </w:p>
          <w:p w14:paraId="59817DF1">
            <w:pPr>
              <w:spacing w:before="0" w:after="0" w:line="360" w:lineRule="auto"/>
              <w:ind w:firstLine="480"/>
              <w:jc w:val="both"/>
            </w:pPr>
            <w:r>
              <w:rPr>
                <w:rFonts w:ascii="仿宋_GB2312" w:hAnsi="仿宋_GB2312" w:eastAsia="仿宋_GB2312"/>
                <w:b w:val="0"/>
                <w:sz w:val="24"/>
              </w:rPr>
              <w:t>2026年7月19日至25日，西安交通大学“启明寻洛，脉续中原”实践队赴洛阳、开封开展中原文化传承主题调研。实践队走访隋唐洛阳城国家遗址公园、龙门石窟、洛阳博物馆、二里头夏都遗址博物馆、清明上河园和万岁山武侠城，通过现场考察、讲解交流与游客访谈，了解文化遗产保护和文旅传播现状。</w:t>
            </w:r>
            <w:r>
              <w:rPr>
                <w:rFonts w:hint="eastAsia" w:ascii="仿宋_GB2312" w:hAnsi="仿宋_GB2312" w:eastAsia="仿宋_GB2312"/>
                <w:b w:val="0"/>
                <w:sz w:val="24"/>
              </w:rPr>
              <w:t>调研中，游客普遍认可数字互动和沉浸式演艺带来的文化体验，也反映高温天气下休憩设施不足、演出抢票困难。建议景区完善遮阴休息和票务服务，并在保留文化内核的前提下改进演出表达。</w:t>
            </w:r>
          </w:p>
          <w:p w14:paraId="27547CE0">
            <w:pPr>
              <w:spacing w:before="0" w:after="0"/>
            </w:pPr>
          </w:p>
        </w:tc>
      </w:tr>
      <w:tr w14:paraId="2F0635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2" w:hRule="atLeast"/>
        </w:trPr>
        <w:tc>
          <w:tcPr>
            <w:tcW w:w="8522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0C0228D">
            <w:pPr>
              <w:spacing w:before="0" w:after="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实践活动总结（不少于2000字，可附页）</w:t>
            </w:r>
          </w:p>
          <w:p w14:paraId="028DA8B4">
            <w:pPr>
              <w:spacing w:before="0" w:after="0"/>
            </w:pPr>
          </w:p>
          <w:p w14:paraId="7117CFB9">
            <w:pPr>
              <w:spacing w:before="0" w:after="40" w:line="360" w:lineRule="auto"/>
              <w:ind w:firstLine="480"/>
              <w:jc w:val="both"/>
            </w:pPr>
            <w:r>
              <w:rPr>
                <w:rFonts w:ascii="仿宋_GB2312" w:hAnsi="仿宋_GB2312" w:eastAsia="仿宋_GB2312"/>
                <w:b w:val="0"/>
                <w:sz w:val="24"/>
              </w:rPr>
              <w:t>2026年7月19日至25日，西安交通大学“启明寻洛，脉续中原”实践队赴洛阳、开封开展主题调研。此次实践以中原文化的保护与传播为主线，希望通过实地考察回答两个问题：厚重的历史如何被当代公众读懂，传统文化又应以怎样的方式进入青年生活。实践期间，队伍走进遗址、石窟、博物馆和文旅景区，在讲解与采访中不断修正自己对“文化传承”的认识。它不是对古代符号的简单复刻，而是要守住真实的历史根基，再找到适合当代人的表达方式。</w:t>
            </w:r>
          </w:p>
          <w:p w14:paraId="2FC1E1E7">
            <w:pPr>
              <w:spacing w:before="0" w:after="40" w:line="360" w:lineRule="auto"/>
              <w:ind w:firstLine="480"/>
              <w:jc w:val="both"/>
            </w:pPr>
            <w:r>
              <w:rPr>
                <w:rFonts w:ascii="仿宋_GB2312" w:hAnsi="仿宋_GB2312" w:eastAsia="仿宋_GB2312"/>
                <w:b w:val="0"/>
                <w:sz w:val="24"/>
              </w:rPr>
              <w:t>7月19日晚，实践队抵达洛阳后前往隋唐洛阳城国家遗址公园。夜色中的天堂与九洲池，使已经消失的宫城格局重新获得可见的轮廓。下沉广场的演出借助舞台叙事呈现隋唐风貌，观众不必先掌握大量史料，也能由人物和故事进入那段历史。这样的呈现方式让我意识到，遗址保护并不意味着让历史停留在静止的展板上。合理的复原和演绎能够为公众建立理解入口，但内容越具观赏性，越需要清楚说明复原依据，避免让艺术加工取代历史事实。</w:t>
            </w:r>
          </w:p>
          <w:p w14:paraId="0AF1298C">
            <w:pPr>
              <w:spacing w:before="0" w:after="40" w:line="360" w:lineRule="auto"/>
              <w:ind w:firstLine="480"/>
              <w:jc w:val="both"/>
            </w:pPr>
            <w:r>
              <w:rPr>
                <w:rFonts w:ascii="仿宋_GB2312" w:hAnsi="仿宋_GB2312" w:eastAsia="仿宋_GB2312"/>
                <w:b w:val="0"/>
                <w:sz w:val="24"/>
              </w:rPr>
              <w:t>当晚，队员还采访了外国游客和身着传统服饰的小朋友。外国游客对洛阳古城的建筑气象和文化氛围给予了积极评价，小朋友则用朴素的语言表达了对传统服饰和古都故事的喜爱。两类受访者的回答让我看到，文化认同往往从一次具体的观看开始。传播者不必一味追求宏大表述，先让人愿意靠近、产生好奇，历史才有机会被进一步了解。</w:t>
            </w:r>
          </w:p>
          <w:p w14:paraId="2884537D">
            <w:pPr>
              <w:spacing w:before="0" w:after="40" w:line="360" w:lineRule="auto"/>
              <w:ind w:firstLine="480"/>
              <w:jc w:val="both"/>
            </w:pPr>
            <w:r>
              <w:rPr>
                <w:rFonts w:ascii="仿宋_GB2312" w:hAnsi="仿宋_GB2312" w:eastAsia="仿宋_GB2312"/>
                <w:b w:val="0"/>
                <w:sz w:val="24"/>
              </w:rPr>
              <w:t>7月20日，实践队来到龙门石窟。伊河从两山之间穿过，石窟沿西山崖壁铺展开来，这一地理格局本身就构成了龙门独特的文化景观。沿栈道前行，宾阳三洞、万佛洞、莲花洞和奉先寺等窟龛依次进入视野。不同造像在面容和衣纹上的差异，记录了审美风格随时代发生的变化。尤其站在卢舍那大佛前，宏大的尺度并未带来距离感，平和的神态反而使人感到一种安定的力量。千年石刻能够保存至今，背后是长期而细致的保护工作，也提醒我们在参观时尊重文物本体和景区秩序。</w:t>
            </w:r>
          </w:p>
          <w:p w14:paraId="18A6BBD6">
            <w:pPr>
              <w:spacing w:before="0" w:after="40" w:line="360" w:lineRule="auto"/>
              <w:ind w:firstLine="480"/>
              <w:jc w:val="both"/>
            </w:pPr>
            <w:r>
              <w:rPr>
                <w:rFonts w:ascii="仿宋_GB2312" w:hAnsi="仿宋_GB2312" w:eastAsia="仿宋_GB2312"/>
                <w:b w:val="0"/>
                <w:sz w:val="24"/>
              </w:rPr>
              <w:t>在龙门石窟，实践队围绕景区变化和文化讲解采访了导游。受访者提到，讲解的价值不只是说明年代和名称，更重要的是把零散的造像信息放回历史语境，让游客知道“为什么这样雕刻”。我们也与外国游客进行了交流。语言不同并未妨碍他对石窟艺术作出真诚回应，这让我更加直观地感受到，优秀文化遗产具有跨越语言的感染力。不过，跨文化传播仍需要准确、清晰的阐释，不能只依赖视觉震撼。</w:t>
            </w:r>
          </w:p>
          <w:p w14:paraId="2F52AE42">
            <w:pPr>
              <w:spacing w:before="0" w:after="40" w:line="360" w:lineRule="auto"/>
              <w:ind w:firstLine="480"/>
              <w:jc w:val="both"/>
            </w:pPr>
            <w:r>
              <w:rPr>
                <w:rFonts w:ascii="仿宋_GB2312" w:hAnsi="仿宋_GB2312" w:eastAsia="仿宋_GB2312"/>
                <w:b w:val="0"/>
                <w:sz w:val="24"/>
              </w:rPr>
              <w:t>7月21日上午，实践队走进洛阳博物馆。都城沙盘将洛阳历代城市格局集中呈现，馆藏文物则把宏观历史落实到具体生活。器物上的磨损和纹饰，让过去不再只是朝代名称。以唐三彩马为例，其饱满造型和流动釉色不仅体现制陶水平，也折射出唐代洛阳开放的城市气质。博物馆的意义正在于此：它把分散的文物组织成有脉络的叙事，使参观者能够从一件器物出发，逐步理解一座城市。</w:t>
            </w:r>
          </w:p>
          <w:p w14:paraId="0EEE6C49">
            <w:pPr>
              <w:spacing w:before="0" w:after="40" w:line="360" w:lineRule="auto"/>
              <w:ind w:firstLine="480"/>
              <w:jc w:val="both"/>
            </w:pPr>
            <w:r>
              <w:rPr>
                <w:rFonts w:hint="eastAsia" w:ascii="仿宋_GB2312" w:hAnsi="仿宋_GB2312" w:eastAsia="仿宋_GB2312"/>
                <w:b w:val="0"/>
                <w:sz w:val="24"/>
                <w:lang w:val="en-US" w:eastAsia="zh-CN"/>
              </w:rPr>
              <w:t>翌日</w:t>
            </w:r>
            <w:r>
              <w:rPr>
                <w:rFonts w:ascii="仿宋_GB2312" w:hAnsi="仿宋_GB2312" w:eastAsia="仿宋_GB2312"/>
                <w:b w:val="0"/>
                <w:sz w:val="24"/>
              </w:rPr>
              <w:t>，实践队前往二里头夏都遗址博物馆。宫殿建筑模型和遗迹复原展示了早期都邑的空间秩序，陶器、青铜礼器和绿松石器则提供了认识社会分工与礼制发展的实物线索。绿松石兽面纹铜牌饰和龙形器给我留下了深刻印象。细小材料被组合成完整图案，说明当时已经形成较高水平的工艺组织。二里头遗址是探索夏文化和早期国家的重要考古遗址，面对相关历史问题，更应尊重考古证据，避免把尚待研究的结论写成简单确定的故事。</w:t>
            </w:r>
          </w:p>
          <w:p w14:paraId="560193E2">
            <w:pPr>
              <w:spacing w:before="0" w:after="40" w:line="360" w:lineRule="auto"/>
              <w:ind w:firstLine="480"/>
              <w:jc w:val="both"/>
            </w:pPr>
            <w:r>
              <w:rPr>
                <w:rFonts w:ascii="仿宋_GB2312" w:hAnsi="仿宋_GB2312" w:eastAsia="仿宋_GB2312"/>
                <w:b w:val="0"/>
                <w:sz w:val="24"/>
              </w:rPr>
              <w:t>馆内的数字展陈为考古成果传播提供了另一种思路。象形符号互动装置要求参观者先观察图形，再选择可能的含义，屏幕会呈现不同选项的分布。知识不再被动地从展板传向观众，而是在判断和反馈中逐渐形成。另一处装置把问答设计成“拨打电话”，参观者拿起听筒，仿佛同古人展开对话。熟悉的动作降低了理解门槛，也自然激发了继续探索的兴趣。数字技术并未削弱文物的真实性，恰当使用时，它能够补足背景信息，让镇馆珍品背后的考古过程更容易被看见。</w:t>
            </w:r>
          </w:p>
          <w:p w14:paraId="342D7C5F">
            <w:pPr>
              <w:spacing w:before="0" w:after="40" w:line="360" w:lineRule="auto"/>
              <w:ind w:firstLine="480"/>
              <w:jc w:val="both"/>
            </w:pPr>
            <w:r>
              <w:rPr>
                <w:rFonts w:ascii="仿宋_GB2312" w:hAnsi="仿宋_GB2312" w:eastAsia="仿宋_GB2312"/>
                <w:b w:val="0"/>
                <w:sz w:val="24"/>
              </w:rPr>
              <w:t>随后，实践队前往开封。清明上河园以《清明上河图》为蓝本重构北宋汴京的市井空间，虹桥和沿河商铺使画卷中的城市生活获得了现实尺度。园内的民俗表演与市井互动把静态图像转化为现场情境，游客得以从日常生活而非帝王叙事进入宋文化。调研中，受访游客普遍认可这种沉浸式呈现，同时也有人关注演出安全。这一反馈说明，文化景区既要提高内容质量，也要把人员保护和现场秩序放在稳定运营的基础位置。</w:t>
            </w:r>
          </w:p>
          <w:p w14:paraId="64A513A2">
            <w:pPr>
              <w:spacing w:before="0" w:after="40" w:line="360" w:lineRule="auto"/>
              <w:ind w:firstLine="480"/>
              <w:jc w:val="both"/>
            </w:pPr>
            <w:r>
              <w:rPr>
                <w:rFonts w:ascii="仿宋_GB2312" w:hAnsi="仿宋_GB2312" w:eastAsia="仿宋_GB2312"/>
                <w:b w:val="0"/>
                <w:sz w:val="24"/>
              </w:rPr>
              <w:t>在万岁山武侠城，大型实景演出《三打祝家庄》最具感染力。演员的现场配合和情节推进，使武侠故事具有很强的临场感。园区并未把自己局限为纯粹的古风场景，搏击馆、音乐酒吧和七八十年代街区等现代内容与武侠演出并置，形成了面向年轻游客的复合空间。这种融合表明，传统文化可以进入当代娱乐，但创新不能只停留在造景和热度上。只有人物精神、历史背景和价值内核得到认真阐释，文化消费才可能转化为持续的文化兴趣。</w:t>
            </w:r>
          </w:p>
          <w:p w14:paraId="0890336B">
            <w:pPr>
              <w:spacing w:before="0" w:after="40" w:line="360" w:lineRule="auto"/>
              <w:ind w:firstLine="480"/>
              <w:jc w:val="both"/>
            </w:pPr>
            <w:r>
              <w:rPr>
                <w:rFonts w:hint="eastAsia" w:ascii="仿宋_GB2312" w:hAnsi="仿宋_GB2312" w:eastAsia="仿宋_GB2312"/>
                <w:b w:val="0"/>
                <w:sz w:val="24"/>
                <w:lang w:val="en-US" w:eastAsia="zh-CN"/>
              </w:rPr>
              <w:t>一周的</w:t>
            </w:r>
            <w:r>
              <w:rPr>
                <w:rFonts w:ascii="仿宋_GB2312" w:hAnsi="仿宋_GB2312" w:eastAsia="仿宋_GB2312"/>
                <w:b w:val="0"/>
                <w:sz w:val="24"/>
              </w:rPr>
              <w:t>实践使我</w:t>
            </w:r>
            <w:r>
              <w:rPr>
                <w:rFonts w:hint="eastAsia" w:ascii="仿宋_GB2312" w:hAnsi="仿宋_GB2312" w:eastAsia="仿宋_GB2312"/>
                <w:b w:val="0"/>
                <w:sz w:val="24"/>
                <w:lang w:val="en-US" w:eastAsia="zh-CN"/>
              </w:rPr>
              <w:t>明白</w:t>
            </w:r>
            <w:r>
              <w:rPr>
                <w:rFonts w:ascii="仿宋_GB2312" w:hAnsi="仿宋_GB2312" w:eastAsia="仿宋_GB2312"/>
                <w:b w:val="0"/>
                <w:sz w:val="24"/>
              </w:rPr>
              <w:t>，中原文化的当代表达没有单一答案。龙门石窟强调保护真实遗存，博物馆依靠文</w:t>
            </w:r>
            <w:bookmarkStart w:id="0" w:name="_GoBack"/>
            <w:bookmarkEnd w:id="0"/>
            <w:r>
              <w:rPr>
                <w:rFonts w:ascii="仿宋_GB2312" w:hAnsi="仿宋_GB2312" w:eastAsia="仿宋_GB2312"/>
                <w:b w:val="0"/>
                <w:sz w:val="24"/>
              </w:rPr>
              <w:t>物建立历史脉络，文旅景区则通过现场情境吸引公众。这些路径各有优势，也都要处理内容准确性与传播效果之间的关系。今后的文化传播应让专业研究更早进入策划环节，并在互动项目中说明史实依据。针对青少年，可按照年龄和知识基础设计不同层次的讲解。高强度实景演出则应把安全规范落实到排练和现场管理中。</w:t>
            </w:r>
          </w:p>
          <w:p w14:paraId="319103C7">
            <w:pPr>
              <w:spacing w:before="0" w:after="40" w:line="360" w:lineRule="auto"/>
              <w:ind w:firstLine="480"/>
              <w:jc w:val="both"/>
            </w:pPr>
            <w:r>
              <w:rPr>
                <w:rFonts w:ascii="仿宋_GB2312" w:hAnsi="仿宋_GB2312" w:eastAsia="仿宋_GB2312"/>
                <w:b w:val="0"/>
                <w:sz w:val="24"/>
              </w:rPr>
              <w:t>对我而言，这次实践最大的收获，是不再把文化传承理解成一句口号。它发生在文物得到妥善保护时，也发生在一次准确讲解和一次真诚交流中。青年既是传统文化的受众，也可以成为传播者。今后我会更加主动地了解历史背景，尊重专业研究，用清楚、可靠的方式分享所见所思，让中原文脉在真实而持续的关注中延续下去。</w:t>
            </w:r>
          </w:p>
        </w:tc>
      </w:tr>
      <w:tr w14:paraId="4E99D0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3CBC023">
            <w:pPr>
              <w:spacing w:before="0" w:after="0"/>
            </w:pPr>
          </w:p>
          <w:p w14:paraId="40ED2BB4">
            <w:pPr>
              <w:spacing w:before="0" w:after="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我保证上述内容的真实性，若有不实处，本人承担一切后果。</w:t>
            </w:r>
          </w:p>
          <w:p w14:paraId="76861690">
            <w:pPr>
              <w:spacing w:before="0" w:after="0"/>
            </w:pPr>
          </w:p>
          <w:p w14:paraId="48DDD309">
            <w:pPr>
              <w:spacing w:before="0" w:after="0"/>
            </w:pPr>
          </w:p>
          <w:p w14:paraId="18BED134">
            <w:pPr>
              <w:spacing w:before="0" w:after="0"/>
              <w:jc w:val="right"/>
            </w:pPr>
            <w:r>
              <w:rPr>
                <w:rFonts w:ascii="仿宋_GB2312" w:hAnsi="仿宋_GB2312" w:eastAsia="仿宋_GB2312"/>
                <w:b w:val="0"/>
                <w:sz w:val="24"/>
              </w:rPr>
              <w:t>学生（签名）林硕锦                    2026年7月26日</w:t>
            </w:r>
          </w:p>
          <w:p w14:paraId="47B00F51">
            <w:pPr>
              <w:spacing w:before="0" w:after="0"/>
            </w:pPr>
          </w:p>
        </w:tc>
      </w:tr>
      <w:tr w14:paraId="69ABA5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0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62CEAA">
            <w:pPr>
              <w:snapToGrid w:val="0"/>
              <w:rPr>
                <w:rFonts w:ascii="仿宋_GB2312;仿宋" w:hAnsi="仿宋_GB2312;仿宋" w:eastAsia="仿宋_GB2312;仿宋"/>
                <w:sz w:val="24"/>
              </w:rPr>
            </w:pPr>
          </w:p>
          <w:p w14:paraId="22C2B109">
            <w:pPr>
              <w:rPr>
                <w:rFonts w:ascii="仿宋_GB2312;仿宋" w:hAnsi="仿宋_GB2312;仿宋" w:eastAsia="仿宋_GB2312;仿宋"/>
                <w:sz w:val="24"/>
              </w:rPr>
            </w:pPr>
          </w:p>
          <w:p w14:paraId="0B27572C">
            <w:pPr>
              <w:rPr>
                <w:rFonts w:ascii="仿宋_GB2312;仿宋" w:hAnsi="仿宋_GB2312;仿宋" w:eastAsia="仿宋_GB2312;仿宋"/>
                <w:sz w:val="24"/>
              </w:rPr>
            </w:pPr>
          </w:p>
          <w:p w14:paraId="39C70D88">
            <w:pPr>
              <w:rPr>
                <w:rFonts w:ascii="仿宋_GB2312;仿宋" w:hAnsi="仿宋_GB2312;仿宋" w:eastAsia="仿宋_GB2312;仿宋"/>
                <w:sz w:val="24"/>
              </w:rPr>
            </w:pPr>
          </w:p>
          <w:p w14:paraId="5EFBF0F5">
            <w:pPr>
              <w:rPr>
                <w:rFonts w:ascii="仿宋_GB2312;仿宋" w:hAnsi="仿宋_GB2312;仿宋" w:eastAsia="仿宋_GB2312;仿宋"/>
                <w:sz w:val="24"/>
              </w:rPr>
            </w:pPr>
            <w:r>
              <w:rPr>
                <w:rFonts w:ascii="仿宋_GB2312" w:hAnsi="仿宋_GB2312" w:eastAsia="仿宋_GB2312"/>
                <w:sz w:val="24"/>
              </w:rPr>
              <w:t>指导老师意见</w:t>
            </w:r>
          </w:p>
        </w:tc>
        <w:tc>
          <w:tcPr>
            <w:tcW w:w="787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DC5473E">
            <w:pPr>
              <w:spacing w:before="0" w:after="0"/>
            </w:pPr>
          </w:p>
          <w:p w14:paraId="2D2F5CC8">
            <w:pPr>
              <w:spacing w:before="0" w:after="0"/>
            </w:pPr>
          </w:p>
          <w:p w14:paraId="3236D11B">
            <w:pPr>
              <w:spacing w:before="0" w:after="0" w:line="360" w:lineRule="auto"/>
              <w:ind w:firstLine="480"/>
              <w:jc w:val="both"/>
            </w:pPr>
            <w:r>
              <w:rPr>
                <w:rFonts w:ascii="仿宋_GB2312" w:hAnsi="仿宋_GB2312" w:eastAsia="仿宋_GB2312"/>
                <w:b w:val="0"/>
                <w:sz w:val="24"/>
              </w:rPr>
              <w:t>本次实践主题明确，组织安排合理。</w:t>
            </w:r>
            <w:r>
              <w:rPr>
                <w:rFonts w:hint="eastAsia" w:ascii="仿宋_GB2312" w:hAnsi="仿宋_GB2312" w:eastAsia="仿宋_GB2312"/>
                <w:b w:val="0"/>
                <w:sz w:val="24"/>
                <w:lang w:val="en-US" w:eastAsia="zh-CN"/>
              </w:rPr>
              <w:t>实践队</w:t>
            </w:r>
            <w:r>
              <w:rPr>
                <w:rFonts w:ascii="仿宋_GB2312" w:hAnsi="仿宋_GB2312" w:eastAsia="仿宋_GB2312"/>
                <w:b w:val="0"/>
                <w:sz w:val="24"/>
              </w:rPr>
              <w:t>能够认真参与洛阳、开封各调研点位的实地考察，主动记录并思考传统文化保护与当代表达之间的关系，形成了较完整的实践总结。材料内容真实，观点较为深入，达到了思想政治理论课实践教学要求。希望今后继续关注文化遗产保护，在学习和社会观察中增强责任意识。</w:t>
            </w:r>
          </w:p>
          <w:p w14:paraId="4D7F5591">
            <w:pPr>
              <w:spacing w:before="0" w:after="0"/>
            </w:pPr>
          </w:p>
          <w:p w14:paraId="23FD9272">
            <w:pPr>
              <w:spacing w:before="0" w:after="0"/>
              <w:jc w:val="righ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指导老师签字：刘晗梦</w:t>
            </w:r>
          </w:p>
          <w:p w14:paraId="1A7C5DA0">
            <w:pPr>
              <w:spacing w:before="0" w:after="0"/>
              <w:jc w:val="right"/>
            </w:pPr>
            <w:r>
              <w:rPr>
                <w:rFonts w:ascii="仿宋_GB2312" w:hAnsi="仿宋_GB2312" w:eastAsia="仿宋_GB2312"/>
                <w:b w:val="0"/>
                <w:sz w:val="24"/>
              </w:rPr>
              <w:t>2026年7月26日</w:t>
            </w:r>
          </w:p>
          <w:p w14:paraId="27A442A9">
            <w:pPr>
              <w:spacing w:before="0" w:after="0"/>
            </w:pPr>
          </w:p>
          <w:p w14:paraId="05D2CA66">
            <w:pPr>
              <w:spacing w:before="0" w:after="0"/>
            </w:pPr>
          </w:p>
        </w:tc>
      </w:tr>
      <w:tr w14:paraId="7A547D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2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3A949A">
            <w:pPr>
              <w:snapToGrid w:val="0"/>
              <w:rPr>
                <w:rFonts w:ascii="仿宋_GB2312;仿宋" w:hAnsi="仿宋_GB2312;仿宋" w:eastAsia="仿宋_GB2312;仿宋"/>
                <w:sz w:val="24"/>
              </w:rPr>
            </w:pPr>
          </w:p>
          <w:p w14:paraId="5516FFB1">
            <w:pPr>
              <w:rPr>
                <w:rFonts w:ascii="仿宋_GB2312;仿宋" w:hAnsi="仿宋_GB2312;仿宋" w:eastAsia="仿宋_GB2312;仿宋"/>
                <w:sz w:val="24"/>
              </w:rPr>
            </w:pPr>
          </w:p>
          <w:p w14:paraId="55B3DB98">
            <w:pPr>
              <w:rPr>
                <w:rFonts w:ascii="仿宋_GB2312;仿宋" w:hAnsi="仿宋_GB2312;仿宋" w:eastAsia="仿宋_GB2312;仿宋"/>
                <w:sz w:val="24"/>
              </w:rPr>
            </w:pPr>
          </w:p>
          <w:p w14:paraId="7B20D426">
            <w:pPr>
              <w:rPr>
                <w:rFonts w:ascii="仿宋_GB2312;仿宋" w:hAnsi="仿宋_GB2312;仿宋" w:eastAsia="仿宋_GB2312;仿宋"/>
                <w:sz w:val="24"/>
              </w:rPr>
            </w:pPr>
            <w:r>
              <w:rPr>
                <w:rFonts w:ascii="仿宋_GB2312;仿宋" w:hAnsi="仿宋_GB2312;仿宋" w:eastAsia="仿宋_GB2312;仿宋"/>
                <w:sz w:val="24"/>
              </w:rPr>
              <w:t>挂靠单位意见</w:t>
            </w:r>
          </w:p>
          <w:p w14:paraId="3EB5D5D6">
            <w:pPr>
              <w:rPr>
                <w:rFonts w:ascii="仿宋_GB2312;仿宋" w:hAnsi="仿宋_GB2312;仿宋" w:eastAsia="仿宋_GB2312;仿宋"/>
                <w:sz w:val="24"/>
              </w:rPr>
            </w:pPr>
          </w:p>
        </w:tc>
        <w:tc>
          <w:tcPr>
            <w:tcW w:w="787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6F300E">
            <w:pPr>
              <w:snapToGrid w:val="0"/>
              <w:rPr>
                <w:rFonts w:ascii="仿宋_GB2312;仿宋" w:hAnsi="仿宋_GB2312;仿宋" w:eastAsia="仿宋_GB2312;仿宋"/>
                <w:sz w:val="24"/>
              </w:rPr>
            </w:pPr>
          </w:p>
          <w:p w14:paraId="2DC8FC76">
            <w:pPr>
              <w:rPr>
                <w:rFonts w:ascii="仿宋_GB2312;仿宋" w:hAnsi="仿宋_GB2312;仿宋" w:eastAsia="仿宋_GB2312;仿宋"/>
                <w:sz w:val="24"/>
              </w:rPr>
            </w:pPr>
          </w:p>
          <w:p w14:paraId="36972BDC">
            <w:pPr>
              <w:rPr>
                <w:rFonts w:ascii="仿宋_GB2312;仿宋" w:hAnsi="仿宋_GB2312;仿宋" w:eastAsia="仿宋_GB2312;仿宋"/>
                <w:sz w:val="24"/>
              </w:rPr>
            </w:pPr>
          </w:p>
          <w:p w14:paraId="4B82BBC1">
            <w:pPr>
              <w:rPr>
                <w:rFonts w:ascii="仿宋_GB2312;仿宋" w:hAnsi="仿宋_GB2312;仿宋" w:eastAsia="仿宋_GB2312;仿宋"/>
                <w:sz w:val="24"/>
              </w:rPr>
            </w:pPr>
          </w:p>
          <w:p w14:paraId="443466D8">
            <w:pPr>
              <w:rPr>
                <w:rFonts w:ascii="仿宋_GB2312;仿宋" w:hAnsi="仿宋_GB2312;仿宋" w:eastAsia="仿宋_GB2312;仿宋"/>
                <w:sz w:val="24"/>
              </w:rPr>
            </w:pPr>
          </w:p>
          <w:p w14:paraId="19A6ABD3">
            <w:pPr>
              <w:ind w:left="4210" w:right="0"/>
              <w:rPr>
                <w:rFonts w:ascii="仿宋_GB2312;仿宋" w:hAnsi="仿宋_GB2312;仿宋" w:eastAsia="仿宋_GB2312;仿宋"/>
                <w:sz w:val="24"/>
              </w:rPr>
            </w:pPr>
            <w:r>
              <w:rPr>
                <w:rFonts w:ascii="仿宋_GB2312;仿宋" w:hAnsi="仿宋_GB2312;仿宋" w:eastAsia="仿宋_GB2312;仿宋"/>
                <w:sz w:val="24"/>
              </w:rPr>
              <w:t xml:space="preserve">签字：  </w:t>
            </w:r>
          </w:p>
          <w:p w14:paraId="5DB63238">
            <w:pPr>
              <w:ind w:left="4210" w:right="0"/>
              <w:rPr>
                <w:rFonts w:ascii="仿宋_GB2312;仿宋" w:hAnsi="仿宋_GB2312;仿宋" w:eastAsia="仿宋_GB2312;仿宋"/>
                <w:sz w:val="24"/>
              </w:rPr>
            </w:pPr>
          </w:p>
          <w:p w14:paraId="0F6AB7EC">
            <w:pPr>
              <w:ind w:left="4210" w:right="0"/>
              <w:rPr>
                <w:rFonts w:ascii="仿宋_GB2312;仿宋" w:hAnsi="仿宋_GB2312;仿宋" w:eastAsia="仿宋_GB2312;仿宋"/>
                <w:sz w:val="24"/>
              </w:rPr>
            </w:pPr>
            <w:r>
              <w:rPr>
                <w:rFonts w:ascii="仿宋_GB2312;仿宋" w:hAnsi="仿宋_GB2312;仿宋" w:eastAsia="仿宋_GB2312;仿宋"/>
                <w:sz w:val="24"/>
              </w:rPr>
              <w:t xml:space="preserve">公章：          </w:t>
            </w:r>
          </w:p>
          <w:p w14:paraId="159C3F9C">
            <w:pPr>
              <w:ind w:left="4210" w:right="0"/>
              <w:rPr>
                <w:rFonts w:ascii="仿宋_GB2312;仿宋" w:hAnsi="仿宋_GB2312;仿宋" w:eastAsia="仿宋_GB2312;仿宋"/>
                <w:sz w:val="24"/>
              </w:rPr>
            </w:pPr>
          </w:p>
          <w:p w14:paraId="2EF40793">
            <w:pPr>
              <w:ind w:left="4210" w:right="0"/>
              <w:rPr>
                <w:rFonts w:ascii="仿宋_GB2312;仿宋" w:hAnsi="仿宋_GB2312;仿宋" w:eastAsia="仿宋_GB2312;仿宋"/>
                <w:sz w:val="24"/>
              </w:rPr>
            </w:pPr>
            <w:r>
              <w:rPr>
                <w:rFonts w:ascii="仿宋_GB2312;仿宋" w:hAnsi="仿宋_GB2312;仿宋" w:eastAsia="仿宋_GB2312;仿宋"/>
                <w:sz w:val="24"/>
              </w:rPr>
              <w:t>年     月    日</w:t>
            </w:r>
          </w:p>
          <w:p w14:paraId="7E587F80">
            <w:pPr>
              <w:rPr>
                <w:rFonts w:ascii="仿宋_GB2312;仿宋" w:hAnsi="仿宋_GB2312;仿宋" w:eastAsia="仿宋_GB2312;仿宋"/>
                <w:sz w:val="24"/>
              </w:rPr>
            </w:pPr>
          </w:p>
          <w:p w14:paraId="668C7991">
            <w:pPr>
              <w:ind w:left="4210" w:right="0"/>
              <w:rPr>
                <w:rFonts w:ascii="仿宋_GB2312;仿宋" w:hAnsi="仿宋_GB2312;仿宋" w:eastAsia="仿宋_GB2312;仿宋"/>
                <w:sz w:val="24"/>
              </w:rPr>
            </w:pPr>
            <w:r>
              <w:rPr>
                <w:rFonts w:ascii="仿宋_GB2312;仿宋" w:hAnsi="仿宋_GB2312;仿宋" w:eastAsia="仿宋_GB2312;仿宋" w:cs="仿宋_GB2312;仿宋"/>
                <w:sz w:val="24"/>
              </w:rPr>
              <w:t xml:space="preserve">                                   </w:t>
            </w:r>
          </w:p>
        </w:tc>
      </w:tr>
      <w:tr w14:paraId="4EDAE4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7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5D31C9">
            <w:pPr>
              <w:snapToGrid w:val="0"/>
              <w:rPr>
                <w:rFonts w:ascii="仿宋_GB2312;仿宋" w:hAnsi="仿宋_GB2312;仿宋" w:eastAsia="仿宋_GB2312;仿宋"/>
                <w:sz w:val="24"/>
              </w:rPr>
            </w:pPr>
          </w:p>
          <w:p w14:paraId="411D6760">
            <w:pPr>
              <w:rPr>
                <w:rFonts w:ascii="仿宋_GB2312;仿宋" w:hAnsi="仿宋_GB2312;仿宋" w:eastAsia="仿宋_GB2312;仿宋"/>
                <w:sz w:val="24"/>
              </w:rPr>
            </w:pPr>
            <w:r>
              <w:rPr>
                <w:rFonts w:ascii="仿宋_GB2312;仿宋" w:hAnsi="仿宋_GB2312;仿宋" w:eastAsia="仿宋_GB2312;仿宋"/>
                <w:sz w:val="24"/>
              </w:rPr>
              <w:t>校团委审核意见</w:t>
            </w:r>
          </w:p>
        </w:tc>
        <w:tc>
          <w:tcPr>
            <w:tcW w:w="787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BC6F40">
            <w:pPr>
              <w:snapToGrid w:val="0"/>
              <w:ind w:right="0" w:firstLine="720"/>
              <w:rPr>
                <w:rFonts w:ascii="仿宋_GB2312;仿宋" w:hAnsi="仿宋_GB2312;仿宋" w:eastAsia="仿宋_GB2312;仿宋"/>
                <w:sz w:val="24"/>
              </w:rPr>
            </w:pPr>
          </w:p>
          <w:p w14:paraId="5AEAC193">
            <w:pPr>
              <w:rPr>
                <w:rFonts w:ascii="仿宋_GB2312;仿宋" w:hAnsi="仿宋_GB2312;仿宋" w:eastAsia="仿宋_GB2312;仿宋"/>
                <w:sz w:val="24"/>
              </w:rPr>
            </w:pPr>
          </w:p>
          <w:p w14:paraId="4EA0A417">
            <w:pPr>
              <w:ind w:right="0" w:firstLine="720"/>
              <w:rPr>
                <w:rFonts w:ascii="仿宋_GB2312;仿宋" w:hAnsi="仿宋_GB2312;仿宋" w:eastAsia="仿宋_GB2312;仿宋"/>
                <w:sz w:val="24"/>
              </w:rPr>
            </w:pPr>
            <w:r>
              <w:rPr>
                <w:rFonts w:ascii="Wingdings 2" w:hAnsi="Wingdings 2" w:eastAsia="Wingdings 2" w:cs="Wingdings 2"/>
                <w:sz w:val="24"/>
              </w:rPr>
              <w:sym w:font="Wingdings 2" w:char="00A3"/>
            </w:r>
            <w:r>
              <w:rPr>
                <w:rFonts w:ascii="仿宋_GB2312;仿宋" w:hAnsi="仿宋_GB2312;仿宋" w:eastAsia="仿宋_GB2312;仿宋"/>
                <w:sz w:val="24"/>
              </w:rPr>
              <w:t>通过       □不通过</w:t>
            </w:r>
          </w:p>
          <w:p w14:paraId="308B56F4">
            <w:pPr>
              <w:ind w:left="4210" w:right="0"/>
              <w:rPr>
                <w:rFonts w:ascii="仿宋_GB2312;仿宋" w:hAnsi="仿宋_GB2312;仿宋" w:eastAsia="仿宋_GB2312;仿宋"/>
                <w:sz w:val="24"/>
              </w:rPr>
            </w:pPr>
          </w:p>
          <w:p w14:paraId="3309A249">
            <w:pPr>
              <w:ind w:left="4210" w:right="0"/>
              <w:rPr>
                <w:rFonts w:ascii="仿宋_GB2312;仿宋" w:hAnsi="仿宋_GB2312;仿宋" w:eastAsia="仿宋_GB2312;仿宋"/>
                <w:sz w:val="24"/>
              </w:rPr>
            </w:pPr>
            <w:r>
              <w:rPr>
                <w:rFonts w:ascii="仿宋_GB2312;仿宋" w:hAnsi="仿宋_GB2312;仿宋" w:eastAsia="仿宋_GB2312;仿宋" w:cs="仿宋_GB2312;仿宋"/>
                <w:sz w:val="24"/>
              </w:rPr>
              <w:t xml:space="preserve">                                          </w:t>
            </w:r>
            <w:r>
              <w:rPr>
                <w:rFonts w:ascii="仿宋_GB2312;仿宋" w:hAnsi="仿宋_GB2312;仿宋" w:eastAsia="仿宋_GB2312;仿宋"/>
                <w:sz w:val="24"/>
              </w:rPr>
              <w:t>公章：</w:t>
            </w:r>
          </w:p>
          <w:p w14:paraId="2B82E5FC">
            <w:pPr>
              <w:ind w:left="4210" w:right="0"/>
              <w:rPr>
                <w:rFonts w:ascii="仿宋_GB2312;仿宋" w:hAnsi="仿宋_GB2312;仿宋" w:eastAsia="仿宋_GB2312;仿宋"/>
                <w:sz w:val="24"/>
              </w:rPr>
            </w:pPr>
          </w:p>
          <w:p w14:paraId="63AB949C">
            <w:pPr>
              <w:ind w:left="4210" w:right="0"/>
              <w:rPr>
                <w:rFonts w:ascii="仿宋_GB2312;仿宋" w:hAnsi="仿宋_GB2312;仿宋" w:eastAsia="仿宋_GB2312;仿宋"/>
                <w:sz w:val="24"/>
              </w:rPr>
            </w:pPr>
            <w:r>
              <w:rPr>
                <w:rFonts w:ascii="仿宋_GB2312;仿宋" w:hAnsi="仿宋_GB2312;仿宋" w:eastAsia="仿宋_GB2312;仿宋"/>
                <w:sz w:val="24"/>
              </w:rPr>
              <w:t>年     月    日</w:t>
            </w:r>
          </w:p>
          <w:p w14:paraId="364F2E19">
            <w:pPr>
              <w:ind w:left="4210" w:right="0"/>
              <w:rPr>
                <w:rFonts w:ascii="仿宋_GB2312;仿宋" w:hAnsi="仿宋_GB2312;仿宋" w:eastAsia="仿宋_GB2312;仿宋"/>
                <w:sz w:val="24"/>
              </w:rPr>
            </w:pPr>
            <w:r>
              <w:rPr>
                <w:rFonts w:ascii="仿宋_GB2312;仿宋" w:hAnsi="仿宋_GB2312;仿宋" w:eastAsia="仿宋_GB2312;仿宋" w:cs="仿宋_GB2312;仿宋"/>
                <w:sz w:val="24"/>
              </w:rPr>
              <w:t xml:space="preserve">                                    </w:t>
            </w:r>
          </w:p>
        </w:tc>
      </w:tr>
    </w:tbl>
    <w:p w14:paraId="01081AC1">
      <w:r>
        <w:rPr>
          <w:rFonts w:eastAsia="黑体"/>
        </w:rPr>
        <w:t>说明：按照《西安交通大学思政课实践教学管理办法》要求，本记录册为交大本科生获得思政实践学分的必要材料。实践学生本人填写，组织单位认定，学生交由辅导员收集后报备至马克思主义学院留存。</w:t>
      </w:r>
    </w:p>
    <w:sectPr>
      <w:pgSz w:w="11906" w:h="16838"/>
      <w:pgMar w:top="1440" w:right="1800" w:bottom="1440" w:left="1800" w:header="0" w:footer="0" w:gutter="0"/>
      <w:pgNumType w:fmt="decimal"/>
      <w:cols w:space="720" w:num="1"/>
      <w:formProt w:val="0"/>
      <w:docGrid w:type="lines" w:linePitch="312" w:charSpace="0"/>
    </w:sectPr>
  </w:body>
</w:document>
</file>

<file path=tbak/document1.xml><?xml version="1.0" encoding="utf-8"?>
<w:document xmlns:pic="http://schemas.openxmlformats.org/drawingml/2006/picture" xmlns:a="http://schemas.openxmlformats.org/drawingml/2006/main"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pi="http://schemas.microsoft.com/office/word/2010/wordprocessingInk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body>
    <w:p w14:paraId="5AB5C2D2">
      <w:pPr>
        <w:jc w:val="center"/>
        <w:rPr>
          <w:b w:val="1"/>
          <w:sz w:val="28"/>
          <w:szCs w:val="28"/>
          <w:rFonts w:ascii="仿宋_GB2312;仿宋" w:hAnsi="仿宋_GB2312;仿宋" w:eastAsia="仿宋_GB2312;仿宋" w:cs="宋体"/>
        </w:rPr>
      </w:pPr>
      <w:r>
        <w:rPr>
          <w:b w:val="1"/>
          <w:sz w:val="28"/>
          <w:szCs w:val="28"/>
          <w:rFonts w:ascii="仿宋_GB2312;仿宋" w:hAnsi="仿宋_GB2312;仿宋" w:eastAsia="仿宋_GB2312;仿宋" w:cs="宋体"/>
        </w:rPr>
        <w:t>西安交通大学思想政治理论课实践教学活动记录册</w:t>
      </w:r>
    </w:p>
    <w:tbl>
      <w:tblPr>
        <w:tblStyle w:val="7"/>
        <w:tblW w:w="8522" w:type="dxa"/>
        <w:tblInd w:type="dxa" w:w="0.000000"/>
        <w:tblLayout w:type="fixed"/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645.000000"/>
        <w:gridCol w:w="533.000000"/>
        <w:gridCol w:w="1330.000000"/>
        <w:gridCol w:w="1176.000000"/>
        <w:gridCol w:w="1838.000000"/>
        <w:gridCol w:w="1262.000000"/>
        <w:gridCol w:w="1738.000000"/>
      </w:tblGrid>
      <w:tr w14:paraId="72705BEA">
        <w:tblPrEx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607" w:hRule="atLeast"/>
        </w:trPr>
        <w:tc>
          <w:tcPr>
            <w:tcW w:w="1178" w:type="dxa"/>
            <w:gridSpan w:val="2"/>
            <w:vAlign w:val="center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29177D">
            <w:pPr>
              <w:jc w:val="center"/>
              <w:rPr>
                <w:sz w:val="24"/>
                <w:rFonts w:ascii="仿宋_GB2312;仿宋" w:hAnsi="仿宋_GB2312;仿宋" w:eastAsia="仿宋_GB2312;仿宋"/>
              </w:rPr>
            </w:pPr>
            <w:r>
              <w:rPr>
                <w:sz w:val="24"/>
                <w:rFonts w:ascii="仿宋_GB2312" w:hAnsi="仿宋_GB2312" w:eastAsia="仿宋_GB2312"/>
              </w:rPr>
              <w:t>姓名</w:t>
            </w:r>
          </w:p>
        </w:tc>
        <w:tc>
          <w:tcPr>
            <w:tcW w:w="1330" w:type="dxa"/>
            <w:vAlign w:val="center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059E31">
            <w:pPr>
              <w:jc w:val="center"/>
              <w:spacing w:after="0" w:before="0"/>
            </w:pPr>
            <w:r>
              <w:rPr>
                <w:b w:val="0"/>
                <w:sz w:val="24"/>
                <w:rFonts w:ascii="仿宋_GB2312" w:hAnsi="仿宋_GB2312" w:eastAsia="仿宋_GB2312"/>
              </w:rPr>
              <w:t>林硕锦</w:t>
            </w:r>
          </w:p>
        </w:tc>
        <w:tc>
          <w:tcPr>
            <w:tcW w:w="1176" w:type="dxa"/>
            <w:vAlign w:val="center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E8C769">
            <w:pPr>
              <w:jc w:val="center"/>
              <w:rPr>
                <w:sz w:val="24"/>
                <w:rFonts w:ascii="仿宋_GB2312;仿宋" w:hAnsi="仿宋_GB2312;仿宋" w:eastAsia="仿宋_GB2312;仿宋"/>
              </w:rPr>
            </w:pPr>
            <w:r>
              <w:rPr>
                <w:sz w:val="24"/>
                <w:rFonts w:ascii="仿宋_GB2312" w:hAnsi="仿宋_GB2312" w:eastAsia="仿宋_GB2312"/>
              </w:rPr>
              <w:t>学号</w:t>
            </w:r>
          </w:p>
        </w:tc>
        <w:tc>
          <w:tcPr>
            <w:tcW w:w="1838" w:type="dxa"/>
            <w:vAlign w:val="center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7CF2CF">
            <w:pPr>
              <w:jc w:val="center"/>
              <w:spacing w:after="0" w:before="0"/>
            </w:pPr>
            <w:r>
              <w:rPr>
                <w:b w:val="0"/>
                <w:sz w:val="24"/>
                <w:rFonts w:ascii="仿宋_GB2312" w:hAnsi="仿宋_GB2312" w:eastAsia="仿宋_GB2312"/>
              </w:rPr>
              <w:t>2243515519</w:t>
            </w:r>
          </w:p>
        </w:tc>
        <w:tc>
          <w:tcPr>
            <w:tcW w:w="1262" w:type="dxa"/>
            <w:vAlign w:val="center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2787A8">
            <w:pPr>
              <w:jc w:val="center"/>
              <w:rPr>
                <w:sz w:val="24"/>
                <w:rFonts w:ascii="仿宋_GB2312;仿宋" w:hAnsi="仿宋_GB2312;仿宋" w:eastAsia="仿宋_GB2312;仿宋"/>
              </w:rPr>
            </w:pPr>
            <w:r>
              <w:rPr>
                <w:sz w:val="24"/>
                <w:rFonts w:ascii="仿宋_GB2312" w:hAnsi="仿宋_GB2312" w:eastAsia="仿宋_GB2312"/>
              </w:rPr>
              <w:t>指导老师</w:t>
            </w:r>
          </w:p>
        </w:tc>
        <w:tc>
          <w:tcPr>
            <w:tcW w:w="1738" w:type="dxa"/>
            <w:vAlign w:val="center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A40320">
            <w:pPr>
              <w:jc w:val="center"/>
              <w:spacing w:after="0" w:before="0"/>
            </w:pPr>
            <w:r>
              <w:rPr>
                <w:b w:val="0"/>
                <w:sz w:val="24"/>
                <w:rFonts w:ascii="仿宋_GB2312" w:hAnsi="仿宋_GB2312" w:eastAsia="仿宋_GB2312"/>
              </w:rPr>
              <w:t>刘晗梦</w:t>
            </w:r>
          </w:p>
        </w:tc>
      </w:tr>
      <w:tr w14:paraId="4F033AC0">
        <w:tblPrEx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615" w:hRule="atLeast"/>
        </w:trPr>
        <w:tc>
          <w:tcPr>
            <w:tcW w:w="1178" w:type="dxa"/>
            <w:gridSpan w:val="2"/>
            <w:vAlign w:val="center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0FD5C9">
            <w:pPr>
              <w:jc w:val="center"/>
              <w:rPr>
                <w:sz w:val="24"/>
                <w:rFonts w:ascii="仿宋_GB2312;仿宋" w:hAnsi="仿宋_GB2312;仿宋" w:eastAsia="仿宋_GB2312;仿宋"/>
              </w:rPr>
            </w:pPr>
            <w:r>
              <w:rPr>
                <w:sz w:val="24"/>
                <w:rFonts w:ascii="仿宋_GB2312" w:hAnsi="仿宋_GB2312" w:eastAsia="仿宋_GB2312"/>
              </w:rPr>
              <w:t>书院</w:t>
            </w:r>
          </w:p>
        </w:tc>
        <w:tc>
          <w:tcPr>
            <w:tcW w:w="2506" w:type="dxa"/>
            <w:gridSpan w:val="2"/>
            <w:vAlign w:val="center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5AE838">
            <w:pPr>
              <w:jc w:val="center"/>
              <w:spacing w:after="0" w:before="0"/>
            </w:pPr>
            <w:r>
              <w:rPr>
                <w:b w:val="0"/>
                <w:sz w:val="24"/>
                <w:rFonts w:ascii="仿宋_GB2312" w:hAnsi="仿宋_GB2312" w:eastAsia="仿宋_GB2312"/>
              </w:rPr>
              <w:t>励志书院</w:t>
            </w:r>
          </w:p>
        </w:tc>
        <w:tc>
          <w:tcPr>
            <w:tcW w:w="1838" w:type="dxa"/>
            <w:vAlign w:val="center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097B94">
            <w:pPr>
              <w:jc w:val="center"/>
              <w:rPr>
                <w:sz w:val="24"/>
                <w:rFonts w:ascii="仿宋_GB2312;仿宋" w:hAnsi="仿宋_GB2312;仿宋" w:eastAsia="仿宋_GB2312;仿宋"/>
              </w:rPr>
            </w:pPr>
            <w:r>
              <w:rPr>
                <w:sz w:val="24"/>
                <w:rFonts w:ascii="仿宋_GB2312" w:hAnsi="仿宋_GB2312" w:eastAsia="仿宋_GB2312"/>
              </w:rPr>
              <w:t>班级</w:t>
            </w:r>
          </w:p>
        </w:tc>
        <w:tc>
          <w:tcPr>
            <w:tcW w:w="3000" w:type="dxa"/>
            <w:gridSpan w:val="2"/>
            <w:vAlign w:val="center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7BD118">
            <w:pPr>
              <w:jc w:val="center"/>
              <w:spacing w:after="0" w:before="0"/>
            </w:pPr>
            <w:r>
              <w:rPr>
                <w:b w:val="0"/>
                <w:sz w:val="24"/>
                <w:rFonts w:ascii="仿宋_GB2312" w:hAnsi="仿宋_GB2312" w:eastAsia="仿宋_GB2312"/>
              </w:rPr>
              <w:t>信计2401</w:t>
            </w:r>
          </w:p>
        </w:tc>
      </w:tr>
      <w:tr w14:paraId="7B1BCA1B">
        <w:tblPrEx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622" w:hRule="atLeast"/>
        </w:trPr>
        <w:tc>
          <w:tcPr>
            <w:tcW w:w="1178" w:type="dxa"/>
            <w:gridSpan w:val="2"/>
            <w:vAlign w:val="center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3C622F">
            <w:pPr>
              <w:jc w:val="center"/>
              <w:rPr>
                <w:sz w:val="24"/>
                <w:rFonts w:ascii="仿宋_GB2312;仿宋" w:hAnsi="仿宋_GB2312;仿宋" w:eastAsia="仿宋_GB2312;仿宋"/>
              </w:rPr>
            </w:pPr>
            <w:r>
              <w:rPr>
                <w:sz w:val="24"/>
                <w:rFonts w:ascii="仿宋_GB2312" w:hAnsi="仿宋_GB2312" w:eastAsia="仿宋_GB2312"/>
              </w:rPr>
              <w:t>实践时间</w:t>
            </w:r>
          </w:p>
        </w:tc>
        <w:tc>
          <w:tcPr>
            <w:tcW w:w="2506" w:type="dxa"/>
            <w:gridSpan w:val="2"/>
            <w:vAlign w:val="center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926E44">
            <w:pPr>
              <w:jc w:val="center"/>
              <w:spacing w:after="0" w:before="0"/>
            </w:pPr>
            <w:r>
              <w:rPr>
                <w:b w:val="0"/>
                <w:sz w:val="24"/>
                <w:rFonts w:ascii="仿宋_GB2312" w:hAnsi="仿宋_GB2312" w:eastAsia="仿宋_GB2312"/>
              </w:rPr>
              <w:t>2026.7.19-2026.7.25</w:t>
            </w:r>
          </w:p>
        </w:tc>
        <w:tc>
          <w:tcPr>
            <w:tcW w:w="1838" w:type="dxa"/>
            <w:vAlign w:val="center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4F90D5">
            <w:pPr>
              <w:jc w:val="center"/>
              <w:rPr>
                <w:sz w:val="24"/>
                <w:rFonts w:ascii="仿宋_GB2312;仿宋" w:hAnsi="仿宋_GB2312;仿宋" w:eastAsia="仿宋_GB2312;仿宋"/>
              </w:rPr>
            </w:pPr>
            <w:r>
              <w:rPr>
                <w:sz w:val="24"/>
                <w:rFonts w:ascii="仿宋_GB2312" w:hAnsi="仿宋_GB2312" w:eastAsia="仿宋_GB2312"/>
              </w:rPr>
              <w:t>累计实践学时</w:t>
            </w:r>
          </w:p>
        </w:tc>
        <w:tc>
          <w:tcPr>
            <w:tcW w:w="3000" w:type="dxa"/>
            <w:gridSpan w:val="2"/>
            <w:vAlign w:val="center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F23278">
            <w:pPr>
              <w:jc w:val="center"/>
              <w:spacing w:after="0" w:before="0"/>
            </w:pPr>
            <w:r>
              <w:rPr>
                <w:b w:val="0"/>
                <w:sz w:val="24"/>
                <w:rFonts w:ascii="仿宋_GB2312" w:hAnsi="仿宋_GB2312" w:eastAsia="仿宋_GB2312"/>
              </w:rPr>
              <w:t>60</w:t>
            </w:r>
          </w:p>
        </w:tc>
      </w:tr>
      <w:tr w14:paraId="7CAB34DA">
        <w:tblPrEx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602" w:hRule="atLeast"/>
        </w:trPr>
        <w:tc>
          <w:tcPr>
            <w:tcW w:w="1178" w:type="dxa"/>
            <w:gridSpan w:val="2"/>
            <w:vAlign w:val="center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DE5530">
            <w:pPr>
              <w:jc w:val="center"/>
              <w:rPr>
                <w:sz w:val="24"/>
                <w:rFonts w:ascii="仿宋_GB2312;仿宋" w:hAnsi="仿宋_GB2312;仿宋" w:eastAsia="仿宋_GB2312;仿宋"/>
              </w:rPr>
            </w:pPr>
            <w:r>
              <w:rPr>
                <w:sz w:val="24"/>
                <w:rFonts w:ascii="仿宋_GB2312" w:hAnsi="仿宋_GB2312" w:eastAsia="仿宋_GB2312"/>
              </w:rPr>
              <w:t>实践类型</w:t>
            </w:r>
          </w:p>
        </w:tc>
        <w:tc>
          <w:tcPr>
            <w:tcW w:w="7344" w:type="dxa"/>
            <w:gridSpan w:val="5"/>
            <w:vAlign w:val="center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6D002F">
            <w:pPr>
              <w:jc w:val="left"/>
              <w:spacing w:after="0" w:before="0" w:line="288" w:lineRule="auto"/>
            </w:pPr>
            <w:r>
              <w:rPr>
                <w:b w:val="0"/>
                <w:sz w:val="24"/>
                <w:rFonts w:ascii="仿宋_GB2312" w:hAnsi="仿宋_GB2312" w:eastAsia="仿宋_GB2312"/>
              </w:rPr>
              <w:t>□红色寻访    □体验教育    □社会观察    □其他</w:t>
            </w:r>
          </w:p>
          <w:p w14:paraId="4DA4C41A">
            <w:pPr>
              <w:jc w:val="left"/>
              <w:spacing w:after="0" w:before="0" w:line="288" w:lineRule="auto"/>
            </w:pPr>
            <w:r>
              <w:rPr>
                <w:b w:val="0"/>
                <w:sz w:val="24"/>
                <w:rFonts w:ascii="仿宋_GB2312" w:hAnsi="仿宋_GB2312" w:eastAsia="仿宋_GB2312"/>
              </w:rPr>
              <w:t>☑主题调研    □理论宣讲    □志愿服务</w:t>
            </w:r>
          </w:p>
        </w:tc>
      </w:tr>
      <w:tr w14:paraId="3FF8C195">
        <w:tblPrEx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1962" w:hRule="atLeast"/>
        </w:trPr>
        <w:tc>
          <w:tcPr>
            <w:tcW w:w="8522" w:type="dxa"/>
            <w:gridSpan w:val="7"/>
            <w:vAlign w:val="top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1B764E">
            <w:pPr>
              <w:jc w:val="left"/>
              <w:spacing w:after="0" w:before="0"/>
            </w:pPr>
            <w:r>
              <w:rPr>
                <w:b w:val="0"/>
                <w:sz w:val="24"/>
                <w:rFonts w:ascii="仿宋_GB2312" w:hAnsi="仿宋_GB2312" w:eastAsia="仿宋_GB2312"/>
              </w:rPr>
              <w:t>实践活动简介（200字左右，活动开展情况、主要心得、政策建议等概要）</w:t>
            </w:r>
          </w:p>
          <w:p w14:paraId="2F6D6668">
            <w:pPr>
              <w:spacing w:after="0" w:before="0"/>
            </w:pPr>
          </w:p>
          <w:p w14:paraId="59817DF1">
            <w:pPr>
              <w:jc w:val="both"/>
              <w:spacing w:after="0" w:before="0" w:line="360" w:lineRule="auto"/>
              <w:ind w:firstLine="480"/>
            </w:pPr>
            <w:r>
              <w:rPr>
                <w:b w:val="0"/>
                <w:sz w:val="24"/>
                <w:rFonts w:ascii="仿宋_GB2312" w:hAnsi="仿宋_GB2312" w:eastAsia="仿宋_GB2312"/>
              </w:rPr>
              <w:t>2026年7月19日至25日，西安交通大学“启明寻洛，脉续中原”实践队赴洛阳、开封开展中原文化传承主题调研。实践队走访隋唐洛阳城国家遗址公园、龙门石窟、洛阳博物馆、二里头夏都遗址博物馆、清明上河园和万岁山武侠城，通过现场考察、讲解交流与游客访谈，了解文化遗产保护和文旅传播现状。</w:t>
            </w:r>
            <w:r>
              <w:rPr>
                <w:b w:val="0"/>
                <w:sz w:val="24"/>
                <w:rFonts w:ascii="仿宋_GB2312" w:hAnsi="仿宋_GB2312" w:eastAsia="仿宋_GB2312" w:hint="eastAsia"/>
              </w:rPr>
              <w:t>调研中，游客普遍认可数字互动和沉浸式演艺带来的文化体验，也反映高温天气下休憩设施不足、演出抢票困难。建议景区完善遮阴休息和票务服务，并在保留文化内核的前提下改进演出表达。</w:t>
            </w:r>
          </w:p>
          <w:p w14:paraId="27547CE0">
            <w:pPr>
              <w:spacing w:after="0" w:before="0"/>
            </w:pPr>
          </w:p>
        </w:tc>
      </w:tr>
      <w:tr w14:paraId="2F0635C5">
        <w:tblPrEx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5302" w:hRule="atLeast"/>
        </w:trPr>
        <w:tc>
          <w:tcPr>
            <w:tcW w:w="8522" w:type="dxa"/>
            <w:gridSpan w:val="7"/>
            <w:vAlign w:val="top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C0228D">
            <w:pPr>
              <w:jc w:val="left"/>
              <w:spacing w:after="0" w:before="0"/>
            </w:pPr>
            <w:r>
              <w:rPr>
                <w:b w:val="0"/>
                <w:sz w:val="24"/>
                <w:rFonts w:ascii="仿宋_GB2312" w:hAnsi="仿宋_GB2312" w:eastAsia="仿宋_GB2312"/>
              </w:rPr>
              <w:t>实践活动总结（不少于2000字，可附页）</w:t>
            </w:r>
          </w:p>
          <w:p w14:paraId="028DA8B4">
            <w:pPr>
              <w:spacing w:after="0" w:before="0"/>
            </w:pPr>
          </w:p>
          <w:p w14:paraId="7117CFB9">
            <w:pPr>
              <w:jc w:val="both"/>
              <w:spacing w:after="40" w:before="0" w:line="360" w:lineRule="auto"/>
              <w:ind w:firstLine="480"/>
            </w:pPr>
            <w:r>
              <w:rPr>
                <w:b w:val="0"/>
                <w:sz w:val="24"/>
                <w:rFonts w:ascii="仿宋_GB2312" w:hAnsi="仿宋_GB2312" w:eastAsia="仿宋_GB2312"/>
              </w:rPr>
              <w:t>2026年7月19日至25日，西安交通大学“启明寻洛，脉续中原”实践队赴洛阳、开封开展主题调研。此次实践以中原文化的保护与传播为主线，希望通过实地考察回答两个问题：厚重的历史如何被当代公众读懂，传统文化又应以怎样的方式进入青年生活。实践期间，队伍走进遗址、石窟、博物馆和文旅景区，在讲解与采访中不断修正自己对“文化传承”的认识。它不是对古代符号的简单复刻，而是要守住真实的历史根基，再找到适合当代人的表达方式。</w:t>
            </w:r>
          </w:p>
          <w:p w14:paraId="2FC1E1E7">
            <w:pPr>
              <w:jc w:val="both"/>
              <w:spacing w:after="40" w:before="0" w:line="360" w:lineRule="auto"/>
              <w:ind w:firstLine="480"/>
            </w:pPr>
            <w:r>
              <w:rPr>
                <w:b w:val="0"/>
                <w:sz w:val="24"/>
                <w:rFonts w:ascii="仿宋_GB2312" w:hAnsi="仿宋_GB2312" w:eastAsia="仿宋_GB2312"/>
              </w:rPr>
              <w:t>7月19日晚，实践队抵达洛阳后前往隋唐洛阳城国家遗址公园。夜色中的天堂与九洲池，使已经消失的宫城格局重新获得可见的轮廓。下沉广场的演出借助舞台叙事呈现隋唐风貌，观众不必先掌握大量史料，也能由人物和故事进入那段历史。这样的呈现方式让我意识到，遗址保护并不意味着让历史停留在静止的展板上。合理的复原和演绎能够为公众建立理解入口，但内容越具观赏性，越需要清楚说明复原依据，避免让艺术加工取代历史事实。</w:t>
            </w:r>
          </w:p>
          <w:p w14:paraId="0AF1298C">
            <w:pPr>
              <w:jc w:val="both"/>
              <w:spacing w:after="40" w:before="0" w:line="360" w:lineRule="auto"/>
              <w:ind w:firstLine="480"/>
            </w:pPr>
            <w:r>
              <w:rPr>
                <w:b w:val="0"/>
                <w:sz w:val="24"/>
                <w:rFonts w:ascii="仿宋_GB2312" w:hAnsi="仿宋_GB2312" w:eastAsia="仿宋_GB2312"/>
              </w:rPr>
              <w:t>当晚，队员还采访了外国游客和身着传统服饰的小朋友。外国游客对洛阳古城的建筑气象和文化氛围给予了积极评价，小朋友则用朴素的语言表达了对传统服饰和古都故事的喜爱。两类受访者的回答让我看到，文化认同往往从一次具体的观看开始。传播者不必一味追求宏大表述，先让人愿意靠近、产生好奇，历史才有机会被进一步了解。</w:t>
            </w:r>
          </w:p>
          <w:p w14:paraId="2884537D">
            <w:pPr>
              <w:jc w:val="both"/>
              <w:spacing w:after="40" w:before="0" w:line="360" w:lineRule="auto"/>
              <w:ind w:firstLine="480"/>
            </w:pPr>
            <w:r>
              <w:rPr>
                <w:b w:val="0"/>
                <w:sz w:val="24"/>
                <w:rFonts w:ascii="仿宋_GB2312" w:hAnsi="仿宋_GB2312" w:eastAsia="仿宋_GB2312"/>
              </w:rPr>
              <w:t>7月20日，实践队来到龙门石窟。伊河从两山之间穿过，石窟沿西山崖壁铺展开来，这一地理格局本身就构成了龙门独特的文化景观。沿栈道前行，宾阳三洞、万佛洞、莲花洞和奉先寺等窟龛依次进入视野。不同造像在面容和衣纹上的差异，记录了审美风格随时代发生的变化。尤其站在卢舍那大佛前，宏大的尺度并未带来距离感，平和的神态反而使人感到一种安定的力量。千年石刻能够保存至今，背后是长期而细致的保护工作，也提醒我们在参观时尊重文物本体和景区秩序。</w:t>
            </w:r>
          </w:p>
          <w:p w14:paraId="18A6BBD6">
            <w:pPr>
              <w:jc w:val="both"/>
              <w:spacing w:after="40" w:before="0" w:line="360" w:lineRule="auto"/>
              <w:ind w:firstLine="480"/>
            </w:pPr>
            <w:r>
              <w:rPr>
                <w:b w:val="0"/>
                <w:sz w:val="24"/>
                <w:rFonts w:ascii="仿宋_GB2312" w:hAnsi="仿宋_GB2312" w:eastAsia="仿宋_GB2312"/>
              </w:rPr>
              <w:t>在龙门石窟，实践队围绕景区变化和文化讲解采访了导游。受访者提到，讲解的价值不只是说明年代和名称，更重要的是把零散的造像信息放回历史语境，让游客知道“为什么这样雕刻”。我们也与外国游客进行了交流。语言不同并未妨碍他对石窟艺术作出真诚回应，这让我更加直观地感受到，优秀文化遗产具有跨越语言的感染力。不过，跨文化传播仍需要准确、清晰的阐释，不能只依赖视觉震撼。</w:t>
            </w:r>
          </w:p>
          <w:p w14:paraId="2F52AE42">
            <w:pPr>
              <w:jc w:val="both"/>
              <w:spacing w:after="40" w:before="0" w:line="360" w:lineRule="auto"/>
              <w:ind w:firstLine="480"/>
            </w:pPr>
            <w:r>
              <w:rPr>
                <w:b w:val="0"/>
                <w:sz w:val="24"/>
                <w:rFonts w:ascii="仿宋_GB2312" w:hAnsi="仿宋_GB2312" w:eastAsia="仿宋_GB2312"/>
              </w:rPr>
              <w:t>7月21日上午，实践队走进洛阳博物馆。都城沙盘将洛阳历代城市格局集中呈现，馆藏文物则把宏观历史落实到具体生活。器物上的磨损和纹饰，让过去不再只是朝代名称。以唐三彩马为例，其饱满造型和流动釉色不仅体现制陶水平，也折射出唐代洛阳开放的城市气质。博物馆的意义正在于此：它把分散的文物组织成有脉络的叙事，使参观者能够从一件器物出发，逐步理解一座城市。</w:t>
            </w:r>
          </w:p>
          <w:p w14:paraId="0EEE6C49">
            <w:pPr>
              <w:jc w:val="both"/>
              <w:spacing w:after="40" w:before="0" w:line="360" w:lineRule="auto"/>
              <w:ind w:firstLine="480"/>
            </w:pPr>
            <w:r>
              <w:rPr>
                <w:b w:val="0"/>
                <w:sz w:val="24"/>
                <w:lang w:val="en-US" w:eastAsia="zh-CN"/>
                <w:rFonts w:ascii="仿宋_GB2312" w:hAnsi="仿宋_GB2312" w:eastAsia="仿宋_GB2312" w:hint="eastAsia"/>
              </w:rPr>
              <w:t>翌日</w:t>
            </w:r>
            <w:r>
              <w:rPr>
                <w:b w:val="0"/>
                <w:sz w:val="24"/>
                <w:rFonts w:ascii="仿宋_GB2312" w:hAnsi="仿宋_GB2312" w:eastAsia="仿宋_GB2312"/>
              </w:rPr>
              <w:t>，实践队前往二里头夏都遗址博物馆。宫殿建筑模型和遗迹复原展示了早期都邑的空间秩序，陶器、青铜礼器和绿松石器则提供了认识社会分工与礼制发展的实物线索。绿松石兽面纹铜牌饰和龙形器给我留下了深刻印象。细小材料被组合成完整图案，说明当时已经形成较高水平的工艺组织。二里头遗址是探索夏文化和早期国家的重要考古遗址，面对相关历史问题，更应尊重考古证据，避免把尚待研究的结论写成简单确定的故事。</w:t>
            </w:r>
          </w:p>
          <w:p w14:paraId="560193E2">
            <w:pPr>
              <w:jc w:val="both"/>
              <w:spacing w:after="40" w:before="0" w:line="360" w:lineRule="auto"/>
              <w:ind w:firstLine="480"/>
            </w:pPr>
            <w:r>
              <w:rPr>
                <w:b w:val="0"/>
                <w:sz w:val="24"/>
                <w:rFonts w:ascii="仿宋_GB2312" w:hAnsi="仿宋_GB2312" w:eastAsia="仿宋_GB2312"/>
              </w:rPr>
              <w:t>馆内的数字展陈为考古成果传播提供了另一种思路。象形符号互动装置要求参观者先观察图形，再选择可能的含义，屏幕会呈现不同选项的分布。知识不再被动地从展板传向观众，而是在判断和反馈中逐渐形成。另一处装置把问答设计成“拨打电话”，参观者拿起听筒，仿佛同古人展开对话。熟悉的动作降低了理解门槛，也自然激发了继续探索的兴趣。数字技术并未削弱文物的真实性，恰当使用时，它能够补足背景信息，让镇馆珍品背后的考古过程更容易被看见。</w:t>
            </w:r>
          </w:p>
          <w:p w14:paraId="342D7C5F">
            <w:pPr>
              <w:jc w:val="both"/>
              <w:spacing w:after="40" w:before="0" w:line="360" w:lineRule="auto"/>
              <w:ind w:firstLine="480"/>
            </w:pPr>
            <w:r>
              <w:rPr>
                <w:b w:val="0"/>
                <w:sz w:val="24"/>
                <w:rFonts w:ascii="仿宋_GB2312" w:hAnsi="仿宋_GB2312" w:eastAsia="仿宋_GB2312"/>
              </w:rPr>
              <w:t>随后，实践队前往开封。清明上河园以《清明上河图》为蓝本重构北宋汴京的市井空间，虹桥和沿河商铺使画卷中的城市生活获得了现实尺度。园内的民俗表演与市井互动把静态图像转化为现场情境，游客得以从日常生活而非帝王叙事进入宋文化。调研中，受访游客普遍认可这种沉浸式呈现，同时也有人关注演出安全。这一反馈说明，文化景区既要提高内容质量，也要把人员保护和现场秩序放在稳定运营的基础位置。</w:t>
            </w:r>
          </w:p>
          <w:p w14:paraId="64A513A2">
            <w:pPr>
              <w:jc w:val="both"/>
              <w:spacing w:after="40" w:before="0" w:line="360" w:lineRule="auto"/>
              <w:ind w:firstLine="480"/>
            </w:pPr>
            <w:r>
              <w:rPr>
                <w:b w:val="0"/>
                <w:sz w:val="24"/>
                <w:rFonts w:ascii="仿宋_GB2312" w:hAnsi="仿宋_GB2312" w:eastAsia="仿宋_GB2312"/>
              </w:rPr>
              <w:t>在万岁山武侠城，大型实景演出《三打祝家庄》最具感染力。演员的现场配合和情节推进，使武侠故事具有很强的临场感。园区并未把自己局限为纯粹的古风场景，搏击馆、音乐酒吧和七八十年代街区等现代内容与武侠演出并置，形成了面向年轻游客的复合空间。这种融合表明，传统文化可以进入当代娱乐，但创新不能只停留在造景和热度上。只有人物精神、历史背景和价值内核得到认真阐释，文化消费才可能转化为持续的文化兴趣。</w:t>
            </w:r>
          </w:p>
          <w:p w14:paraId="0890336B">
            <w:pPr>
              <w:jc w:val="both"/>
              <w:spacing w:after="40" w:before="0" w:line="360" w:lineRule="auto"/>
              <w:ind w:firstLine="480"/>
            </w:pPr>
            <w:r>
              <w:rPr>
                <w:b w:val="0"/>
                <w:sz w:val="24"/>
                <w:lang w:val="en-US" w:eastAsia="zh-CN"/>
                <w:rFonts w:ascii="仿宋_GB2312" w:hAnsi="仿宋_GB2312" w:eastAsia="仿宋_GB2312" w:hint="eastAsia"/>
              </w:rPr>
              <w:t>一周的</w:t>
            </w:r>
            <w:r>
              <w:rPr>
                <w:b w:val="0"/>
                <w:sz w:val="24"/>
                <w:rFonts w:ascii="仿宋_GB2312" w:hAnsi="仿宋_GB2312" w:eastAsia="仿宋_GB2312"/>
              </w:rPr>
              <w:t>实践使我</w:t>
            </w:r>
            <w:r>
              <w:rPr>
                <w:b w:val="0"/>
                <w:sz w:val="24"/>
                <w:lang w:val="en-US" w:eastAsia="zh-CN"/>
                <w:rFonts w:ascii="仿宋_GB2312" w:hAnsi="仿宋_GB2312" w:eastAsia="仿宋_GB2312" w:hint="eastAsia"/>
              </w:rPr>
              <w:t>明白</w:t>
            </w:r>
            <w:r>
              <w:rPr>
                <w:b w:val="0"/>
                <w:sz w:val="24"/>
                <w:rFonts w:ascii="仿宋_GB2312" w:hAnsi="仿宋_GB2312" w:eastAsia="仿宋_GB2312"/>
              </w:rPr>
              <w:t>，中原文化的当代表达没有单一答案。龙门石窟强调保护真实遗存，博物馆依靠文</w:t>
            </w:r>
            <w:bookmarkStart w:id="0" w:name="_GoBack"/>
            <w:bookmarkEnd w:id="0"/>
            <w:r>
              <w:rPr>
                <w:b w:val="0"/>
                <w:sz w:val="24"/>
                <w:rFonts w:ascii="仿宋_GB2312" w:hAnsi="仿宋_GB2312" w:eastAsia="仿宋_GB2312"/>
              </w:rPr>
              <w:t>物建立历史脉络，文旅景区则通过现场情境吸引公众。这些路径各有优势，也都要处理内容准确性与传播效果之间的关系。今后的文化传播应让专业研究更早进入策划环节，并在互动项目中说明史实依据。针对青少年，可按照年龄和知识基础设计不同层次的讲解。高强度实景演出则应把安全规范落实到排练和现场管理中。</w:t>
            </w:r>
          </w:p>
          <w:p w14:paraId="319103C7">
            <w:pPr>
              <w:jc w:val="both"/>
              <w:spacing w:after="40" w:before="0" w:line="360" w:lineRule="auto"/>
              <w:ind w:firstLine="480"/>
            </w:pPr>
            <w:r>
              <w:rPr>
                <w:b w:val="0"/>
                <w:sz w:val="24"/>
                <w:rFonts w:ascii="仿宋_GB2312" w:hAnsi="仿宋_GB2312" w:eastAsia="仿宋_GB2312"/>
              </w:rPr>
              <w:t>对我而言，这次实践最大的收获，是不再把文化传承理解成一句口号。它发生在文物得到妥善保护时，也发生在一次准确讲解和一次真诚交流中。青年既是传统文化的受众，也可以成为传播者。今后我会更加主动地了解历史背景，尊重专业研究，用清楚、可靠的方式分享所见所思，让中原文脉在真实而持续的关注中延续下去。</w:t>
            </w:r>
          </w:p>
        </w:tc>
      </w:tr>
      <w:tr w14:paraId="4E99D0A3">
        <w:tblPrEx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8522" w:type="dxa"/>
            <w:gridSpan w:val="7"/>
            <w:vAlign w:val="top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CBC023">
            <w:pPr>
              <w:spacing w:after="0" w:before="0"/>
            </w:pPr>
          </w:p>
          <w:p w14:paraId="40ED2BB4">
            <w:pPr>
              <w:jc w:val="left"/>
              <w:spacing w:after="0" w:before="0"/>
            </w:pPr>
            <w:r>
              <w:rPr>
                <w:b w:val="0"/>
                <w:sz w:val="24"/>
                <w:rFonts w:ascii="仿宋_GB2312" w:hAnsi="仿宋_GB2312" w:eastAsia="仿宋_GB2312"/>
              </w:rPr>
              <w:t>我保证上述内容的真实性，若有不实处，本人承担一切后果。</w:t>
            </w:r>
          </w:p>
          <w:p w14:paraId="76861690">
            <w:pPr>
              <w:spacing w:after="0" w:before="0"/>
            </w:pPr>
          </w:p>
          <w:p w14:paraId="48DDD309">
            <w:pPr>
              <w:spacing w:after="0" w:before="0"/>
            </w:pPr>
          </w:p>
          <w:p w14:paraId="18BED134">
            <w:pPr>
              <w:jc w:val="right"/>
              <w:spacing w:after="0" w:before="0"/>
            </w:pPr>
            <w:r>
              <w:rPr>
                <w:b w:val="0"/>
                <w:sz w:val="24"/>
                <w:rFonts w:ascii="仿宋_GB2312" w:hAnsi="仿宋_GB2312" w:eastAsia="仿宋_GB2312"/>
              </w:rPr>
              <w:drawing>
                <wp:anchor distT="0" distB="0" distL="0" distR="0" simplePos="0" relativeHeight="251658240" behindDoc="0" locked="0" layoutInCell="1" allowOverlap="1">
                  <wp:simplePos x="0" y="0"/>
                  <wp:positionH relativeFrom="page">
                    <wp:posOffset>2660293</wp:posOffset>
                  </wp:positionH>
                  <wp:positionV relativeFrom="page">
                    <wp:posOffset>212929</wp:posOffset>
                  </wp:positionV>
                  <wp:extent cx="1828800" cy="914400"/>
                  <wp:effectExtent l="0" t="0" r="0" b="0"/>
                  <wp:wrapNone/>
                  <wp:docPr id="1" name="图片 2" descr="图示, 示意图&amp;#10;&amp;#10;中度可信度描述已自动生成:ver1"/>
                  <wp:cNvGraphicFramePr>
                    <a:graphicFrameLocks xmlns:pic="http://schemas.openxmlformats.org/drawingml/2006/picture" xmlns:a="http://schemas.openxmlformats.org/drawingml/2006/main"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pi="http://schemas.microsoft.com/office/word/2010/wordprocessingInk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noChangeAspect="1"/>
                  </wp:cNvGraphicFramePr>
                  <a:graphic xmlns:pic="http://schemas.openxmlformats.org/drawingml/2006/picture" xmlns:a="http://schemas.openxmlformats.org/drawingml/2006/main"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pi="http://schemas.microsoft.com/office/word/2010/wordprocessingInk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>
                    <a:graphicData uri="http://schemas.openxmlformats.org/drawingml/2006/picture">
                      <pic:pic xmlns:pic="http://schemas.openxmlformats.org/drawingml/2006/picture" xmlns:a="http://schemas.openxmlformats.org/drawingml/2006/main"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pi="http://schemas.microsoft.com/office/word/2010/wordprocessingInk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>
                        <pic:nvPicPr>
                          <pic:cNvPr id="3" name="图片 2" descr="图示, 示意图&amp;#10;&amp;#10;中度可信度描述已自动生成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 w:val="0"/>
                <w:sz w:val="24"/>
                <w:rFonts w:ascii="仿宋_GB2312" w:hAnsi="仿宋_GB2312" w:eastAsia="仿宋_GB2312"/>
              </w:rPr>
              <w:t>学生（签名）                    2026年7月26日</w:t>
            </w:r>
          </w:p>
          <w:p w14:paraId="47B00F51">
            <w:pPr>
              <w:spacing w:after="0" w:before="0"/>
            </w:pPr>
          </w:p>
        </w:tc>
      </w:tr>
      <w:tr w14:paraId="69ABA5FA">
        <w:tblPrEx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3220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62CEAA">
            <w:pPr>
              <w:snapToGrid w:val="0"/>
              <w:rPr>
                <w:sz w:val="24"/>
                <w:rFonts w:ascii="仿宋_GB2312;仿宋" w:hAnsi="仿宋_GB2312;仿宋" w:eastAsia="仿宋_GB2312;仿宋"/>
              </w:rPr>
            </w:pPr>
          </w:p>
          <w:p w14:paraId="22C2B109">
            <w:pPr>
              <w:rPr>
                <w:sz w:val="24"/>
                <w:rFonts w:ascii="仿宋_GB2312;仿宋" w:hAnsi="仿宋_GB2312;仿宋" w:eastAsia="仿宋_GB2312;仿宋"/>
              </w:rPr>
            </w:pPr>
          </w:p>
          <w:p w14:paraId="0B27572C">
            <w:pPr>
              <w:rPr>
                <w:sz w:val="24"/>
                <w:rFonts w:ascii="仿宋_GB2312;仿宋" w:hAnsi="仿宋_GB2312;仿宋" w:eastAsia="仿宋_GB2312;仿宋"/>
              </w:rPr>
            </w:pPr>
          </w:p>
          <w:p w14:paraId="39C70D88">
            <w:pPr>
              <w:rPr>
                <w:sz w:val="24"/>
                <w:rFonts w:ascii="仿宋_GB2312;仿宋" w:hAnsi="仿宋_GB2312;仿宋" w:eastAsia="仿宋_GB2312;仿宋"/>
              </w:rPr>
            </w:pPr>
          </w:p>
          <w:p w14:paraId="5EFBF0F5">
            <w:pPr>
              <w:rPr>
                <w:sz w:val="24"/>
                <w:rFonts w:ascii="仿宋_GB2312;仿宋" w:hAnsi="仿宋_GB2312;仿宋" w:eastAsia="仿宋_GB2312;仿宋"/>
              </w:rPr>
            </w:pPr>
            <w:r>
              <w:rPr>
                <w:sz w:val="24"/>
                <w:rFonts w:ascii="仿宋_GB2312" w:hAnsi="仿宋_GB2312" w:eastAsia="仿宋_GB2312"/>
              </w:rPr>
              <w:t>指导老师意见</w:t>
            </w:r>
          </w:p>
        </w:tc>
        <w:tc>
          <w:tcPr>
            <w:tcW w:w="7877" w:type="dxa"/>
            <w:gridSpan w:val="6"/>
            <w:vAlign w:val="top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C5473E">
            <w:pPr>
              <w:spacing w:after="0" w:before="0"/>
            </w:pPr>
          </w:p>
          <w:p w14:paraId="2D2F5CC8">
            <w:pPr>
              <w:spacing w:after="0" w:before="0"/>
            </w:pPr>
          </w:p>
          <w:p w14:paraId="3236D11B">
            <w:pPr>
              <w:jc w:val="both"/>
              <w:spacing w:after="0" w:before="0" w:line="360" w:lineRule="auto"/>
              <w:ind w:firstLine="480"/>
            </w:pPr>
            <w:r>
              <w:rPr>
                <w:b w:val="0"/>
                <w:sz w:val="24"/>
                <w:rFonts w:ascii="仿宋_GB2312" w:hAnsi="仿宋_GB2312" w:eastAsia="仿宋_GB2312"/>
              </w:rPr>
              <w:t>本次实践主题明确，组织安排合理。</w:t>
            </w:r>
            <w:r>
              <w:rPr>
                <w:b w:val="0"/>
                <w:sz w:val="24"/>
                <w:lang w:val="en-US" w:eastAsia="zh-CN"/>
                <w:rFonts w:ascii="仿宋_GB2312" w:hAnsi="仿宋_GB2312" w:eastAsia="仿宋_GB2312" w:hint="eastAsia"/>
              </w:rPr>
              <w:t>实践队</w:t>
            </w:r>
            <w:r>
              <w:rPr>
                <w:b w:val="0"/>
                <w:sz w:val="24"/>
                <w:rFonts w:ascii="仿宋_GB2312" w:hAnsi="仿宋_GB2312" w:eastAsia="仿宋_GB2312"/>
              </w:rPr>
              <w:t>能够认真参与洛阳、开封各调研点位的实地考察，主动记录并思考传统文化保护与当代表达之间的关系，形成了较完整的实践总结。材料内容真实，观点较为深入，达到了思想政治理论课实践教学要求。希望今后继续关注文化遗产保护，在学习和社会观察中增强责任意识。</w:t>
            </w:r>
          </w:p>
          <w:p w14:paraId="4D7F5591">
            <w:pPr>
              <w:spacing w:after="0" w:before="0"/>
            </w:pPr>
          </w:p>
          <w:p w14:paraId="23FD9272">
            <w:pPr>
              <w:jc w:val="right"/>
              <w:spacing w:after="0" w:before="0"/>
            </w:pPr>
            <w:r>
              <w:rPr>
                <w:b w:val="0"/>
                <w:sz w:val="24"/>
                <w:rFonts w:ascii="仿宋_GB2312" w:hAnsi="仿宋_GB2312" w:eastAsia="仿宋_GB2312"/>
              </w:rPr>
              <w:t>指导老师签字：刘晗梦</w:t>
            </w:r>
          </w:p>
          <w:p w14:paraId="1A7C5DA0">
            <w:pPr>
              <w:jc w:val="right"/>
              <w:spacing w:after="0" w:before="0"/>
            </w:pPr>
            <w:r>
              <w:rPr>
                <w:b w:val="0"/>
                <w:sz w:val="24"/>
                <w:rFonts w:ascii="仿宋_GB2312" w:hAnsi="仿宋_GB2312" w:eastAsia="仿宋_GB2312"/>
              </w:rPr>
              <w:t>2026年7月26日</w:t>
            </w:r>
          </w:p>
          <w:p w14:paraId="27A442A9">
            <w:pPr>
              <w:spacing w:after="0" w:before="0"/>
            </w:pPr>
          </w:p>
          <w:p w14:paraId="05D2CA66">
            <w:pPr>
              <w:spacing w:after="0" w:before="0"/>
            </w:pPr>
          </w:p>
        </w:tc>
      </w:tr>
      <w:tr w14:paraId="7A547D12">
        <w:tblPrEx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4342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3A949A">
            <w:pPr>
              <w:snapToGrid w:val="0"/>
              <w:rPr>
                <w:sz w:val="24"/>
                <w:rFonts w:ascii="仿宋_GB2312;仿宋" w:hAnsi="仿宋_GB2312;仿宋" w:eastAsia="仿宋_GB2312;仿宋"/>
              </w:rPr>
            </w:pPr>
          </w:p>
          <w:p w14:paraId="5516FFB1">
            <w:pPr>
              <w:rPr>
                <w:sz w:val="24"/>
                <w:rFonts w:ascii="仿宋_GB2312;仿宋" w:hAnsi="仿宋_GB2312;仿宋" w:eastAsia="仿宋_GB2312;仿宋"/>
              </w:rPr>
            </w:pPr>
          </w:p>
          <w:p w14:paraId="55B3DB98">
            <w:pPr>
              <w:rPr>
                <w:sz w:val="24"/>
                <w:rFonts w:ascii="仿宋_GB2312;仿宋" w:hAnsi="仿宋_GB2312;仿宋" w:eastAsia="仿宋_GB2312;仿宋"/>
              </w:rPr>
            </w:pPr>
          </w:p>
          <w:p w14:paraId="7B20D426">
            <w:pPr>
              <w:rPr>
                <w:sz w:val="24"/>
                <w:rFonts w:ascii="仿宋_GB2312;仿宋" w:hAnsi="仿宋_GB2312;仿宋" w:eastAsia="仿宋_GB2312;仿宋"/>
              </w:rPr>
            </w:pPr>
            <w:r>
              <w:rPr>
                <w:sz w:val="24"/>
                <w:rFonts w:ascii="仿宋_GB2312;仿宋" w:hAnsi="仿宋_GB2312;仿宋" w:eastAsia="仿宋_GB2312;仿宋"/>
              </w:rPr>
              <w:t>挂靠单位意见</w:t>
            </w:r>
          </w:p>
          <w:p w14:paraId="3EB5D5D6">
            <w:pPr>
              <w:rPr>
                <w:sz w:val="24"/>
                <w:rFonts w:ascii="仿宋_GB2312;仿宋" w:hAnsi="仿宋_GB2312;仿宋" w:eastAsia="仿宋_GB2312;仿宋"/>
              </w:rPr>
            </w:pPr>
          </w:p>
        </w:tc>
        <w:tc>
          <w:tcPr>
            <w:tcW w:w="787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6F300E">
            <w:pPr>
              <w:snapToGrid w:val="0"/>
              <w:rPr>
                <w:sz w:val="24"/>
                <w:rFonts w:ascii="仿宋_GB2312;仿宋" w:hAnsi="仿宋_GB2312;仿宋" w:eastAsia="仿宋_GB2312;仿宋"/>
              </w:rPr>
            </w:pPr>
          </w:p>
          <w:p w14:paraId="2DC8FC76">
            <w:pPr>
              <w:rPr>
                <w:sz w:val="24"/>
                <w:rFonts w:ascii="仿宋_GB2312;仿宋" w:hAnsi="仿宋_GB2312;仿宋" w:eastAsia="仿宋_GB2312;仿宋"/>
              </w:rPr>
            </w:pPr>
          </w:p>
          <w:p w14:paraId="36972BDC">
            <w:pPr>
              <w:rPr>
                <w:sz w:val="24"/>
                <w:rFonts w:ascii="仿宋_GB2312;仿宋" w:hAnsi="仿宋_GB2312;仿宋" w:eastAsia="仿宋_GB2312;仿宋"/>
              </w:rPr>
            </w:pPr>
          </w:p>
          <w:p w14:paraId="4B82BBC1">
            <w:pPr>
              <w:rPr>
                <w:sz w:val="24"/>
                <w:rFonts w:ascii="仿宋_GB2312;仿宋" w:hAnsi="仿宋_GB2312;仿宋" w:eastAsia="仿宋_GB2312;仿宋"/>
              </w:rPr>
            </w:pPr>
          </w:p>
          <w:p w14:paraId="443466D8">
            <w:pPr>
              <w:rPr>
                <w:sz w:val="24"/>
                <w:rFonts w:ascii="仿宋_GB2312;仿宋" w:hAnsi="仿宋_GB2312;仿宋" w:eastAsia="仿宋_GB2312;仿宋"/>
              </w:rPr>
            </w:pPr>
          </w:p>
          <w:p w14:paraId="19A6ABD3">
            <w:pPr>
              <w:ind w:left="4210" w:right="0"/>
              <w:rPr>
                <w:sz w:val="24"/>
                <w:rFonts w:ascii="仿宋_GB2312;仿宋" w:hAnsi="仿宋_GB2312;仿宋" w:eastAsia="仿宋_GB2312;仿宋"/>
              </w:rPr>
            </w:pPr>
            <w:r>
              <w:rPr>
                <w:sz w:val="24"/>
                <w:rFonts w:ascii="仿宋_GB2312;仿宋" w:hAnsi="仿宋_GB2312;仿宋" w:eastAsia="仿宋_GB2312;仿宋"/>
              </w:rPr>
              <w:t xml:space="preserve">签字：  </w:t>
            </w:r>
          </w:p>
          <w:p w14:paraId="5DB63238">
            <w:pPr>
              <w:ind w:left="4210" w:right="0"/>
              <w:rPr>
                <w:sz w:val="24"/>
                <w:rFonts w:ascii="仿宋_GB2312;仿宋" w:hAnsi="仿宋_GB2312;仿宋" w:eastAsia="仿宋_GB2312;仿宋"/>
              </w:rPr>
            </w:pPr>
          </w:p>
          <w:p w14:paraId="0F6AB7EC">
            <w:pPr>
              <w:ind w:left="4210" w:right="0"/>
              <w:rPr>
                <w:sz w:val="24"/>
                <w:rFonts w:ascii="仿宋_GB2312;仿宋" w:hAnsi="仿宋_GB2312;仿宋" w:eastAsia="仿宋_GB2312;仿宋"/>
              </w:rPr>
            </w:pPr>
            <w:r>
              <w:rPr>
                <w:sz w:val="24"/>
                <w:rFonts w:ascii="仿宋_GB2312;仿宋" w:hAnsi="仿宋_GB2312;仿宋" w:eastAsia="仿宋_GB2312;仿宋"/>
              </w:rPr>
              <w:t xml:space="preserve">公章：          </w:t>
            </w:r>
          </w:p>
          <w:p w14:paraId="159C3F9C">
            <w:pPr>
              <w:ind w:left="4210" w:right="0"/>
              <w:rPr>
                <w:sz w:val="24"/>
                <w:rFonts w:ascii="仿宋_GB2312;仿宋" w:hAnsi="仿宋_GB2312;仿宋" w:eastAsia="仿宋_GB2312;仿宋"/>
              </w:rPr>
            </w:pPr>
          </w:p>
          <w:p w14:paraId="2EF40793">
            <w:pPr>
              <w:ind w:left="4210" w:right="0"/>
              <w:rPr>
                <w:sz w:val="24"/>
                <w:rFonts w:ascii="仿宋_GB2312;仿宋" w:hAnsi="仿宋_GB2312;仿宋" w:eastAsia="仿宋_GB2312;仿宋"/>
              </w:rPr>
            </w:pPr>
            <w:r>
              <w:rPr>
                <w:sz w:val="24"/>
                <w:rFonts w:ascii="仿宋_GB2312;仿宋" w:hAnsi="仿宋_GB2312;仿宋" w:eastAsia="仿宋_GB2312;仿宋"/>
              </w:rPr>
              <w:t>年     月    日</w:t>
            </w:r>
          </w:p>
          <w:p w14:paraId="7E587F80">
            <w:pPr>
              <w:rPr>
                <w:sz w:val="24"/>
                <w:rFonts w:ascii="仿宋_GB2312;仿宋" w:hAnsi="仿宋_GB2312;仿宋" w:eastAsia="仿宋_GB2312;仿宋"/>
              </w:rPr>
            </w:pPr>
          </w:p>
          <w:p w14:paraId="668C7991">
            <w:pPr>
              <w:ind w:left="4210" w:right="0"/>
              <w:rPr>
                <w:sz w:val="24"/>
                <w:rFonts w:ascii="仿宋_GB2312;仿宋" w:hAnsi="仿宋_GB2312;仿宋" w:eastAsia="仿宋_GB2312;仿宋"/>
              </w:rPr>
            </w:pPr>
            <w:r>
              <w:rPr>
                <w:sz w:val="24"/>
                <w:rFonts w:ascii="仿宋_GB2312;仿宋" w:hAnsi="仿宋_GB2312;仿宋" w:eastAsia="仿宋_GB2312;仿宋" w:cs="仿宋_GB2312;仿宋"/>
              </w:rPr>
              <w:t xml:space="preserve">                                   </w:t>
            </w:r>
          </w:p>
        </w:tc>
      </w:tr>
      <w:tr w14:paraId="4EDAE4D3">
        <w:tblPrEx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3417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5D31C9">
            <w:pPr>
              <w:snapToGrid w:val="0"/>
              <w:rPr>
                <w:sz w:val="24"/>
                <w:rFonts w:ascii="仿宋_GB2312;仿宋" w:hAnsi="仿宋_GB2312;仿宋" w:eastAsia="仿宋_GB2312;仿宋"/>
              </w:rPr>
            </w:pPr>
          </w:p>
          <w:p w14:paraId="411D6760">
            <w:pPr>
              <w:rPr>
                <w:sz w:val="24"/>
                <w:rFonts w:ascii="仿宋_GB2312;仿宋" w:hAnsi="仿宋_GB2312;仿宋" w:eastAsia="仿宋_GB2312;仿宋"/>
              </w:rPr>
            </w:pPr>
            <w:r>
              <w:rPr>
                <w:sz w:val="24"/>
                <w:rFonts w:ascii="仿宋_GB2312;仿宋" w:hAnsi="仿宋_GB2312;仿宋" w:eastAsia="仿宋_GB2312;仿宋"/>
              </w:rPr>
              <w:t>校团委审核意见</w:t>
            </w:r>
          </w:p>
        </w:tc>
        <w:tc>
          <w:tcPr>
            <w:tcW w:w="787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BC6F40">
            <w:pPr>
              <w:snapToGrid w:val="0"/>
              <w:ind w:firstLine="720" w:right="0"/>
              <w:rPr>
                <w:sz w:val="24"/>
                <w:rFonts w:ascii="仿宋_GB2312;仿宋" w:hAnsi="仿宋_GB2312;仿宋" w:eastAsia="仿宋_GB2312;仿宋"/>
              </w:rPr>
            </w:pPr>
          </w:p>
          <w:p w14:paraId="5AEAC193">
            <w:pPr>
              <w:rPr>
                <w:sz w:val="24"/>
                <w:rFonts w:ascii="仿宋_GB2312;仿宋" w:hAnsi="仿宋_GB2312;仿宋" w:eastAsia="仿宋_GB2312;仿宋"/>
              </w:rPr>
            </w:pPr>
          </w:p>
          <w:p w14:paraId="4EA0A417">
            <w:pPr>
              <w:ind w:firstLine="720" w:right="0"/>
              <w:rPr>
                <w:sz w:val="24"/>
                <w:rFonts w:ascii="仿宋_GB2312;仿宋" w:hAnsi="仿宋_GB2312;仿宋" w:eastAsia="仿宋_GB2312;仿宋"/>
              </w:rPr>
            </w:pPr>
            <w:r>
              <w:rPr>
                <w:sz w:val="24"/>
                <w:rFonts w:ascii="Wingdings 2" w:hAnsi="Wingdings 2" w:eastAsia="Wingdings 2" w:cs="Wingdings 2"/>
              </w:rPr>
              <w:sym w:char="F0A3" w:font="Wingdings 2"/>
            </w:r>
            <w:r>
              <w:rPr>
                <w:sz w:val="24"/>
                <w:rFonts w:ascii="仿宋_GB2312;仿宋" w:hAnsi="仿宋_GB2312;仿宋" w:eastAsia="仿宋_GB2312;仿宋"/>
              </w:rPr>
              <w:t>通过       □不通过</w:t>
            </w:r>
          </w:p>
          <w:p w14:paraId="308B56F4">
            <w:pPr>
              <w:ind w:left="4210" w:right="0"/>
              <w:rPr>
                <w:sz w:val="24"/>
                <w:rFonts w:ascii="仿宋_GB2312;仿宋" w:hAnsi="仿宋_GB2312;仿宋" w:eastAsia="仿宋_GB2312;仿宋"/>
              </w:rPr>
            </w:pPr>
          </w:p>
          <w:p w14:paraId="3309A249">
            <w:pPr>
              <w:ind w:left="4210" w:right="0"/>
              <w:rPr>
                <w:sz w:val="24"/>
                <w:rFonts w:ascii="仿宋_GB2312;仿宋" w:hAnsi="仿宋_GB2312;仿宋" w:eastAsia="仿宋_GB2312;仿宋"/>
              </w:rPr>
            </w:pPr>
            <w:r>
              <w:rPr>
                <w:sz w:val="24"/>
                <w:rFonts w:ascii="仿宋_GB2312;仿宋" w:hAnsi="仿宋_GB2312;仿宋" w:eastAsia="仿宋_GB2312;仿宋" w:cs="仿宋_GB2312;仿宋"/>
              </w:rPr>
              <w:t xml:space="preserve">                                          </w:t>
            </w:r>
            <w:r>
              <w:rPr>
                <w:sz w:val="24"/>
                <w:rFonts w:ascii="仿宋_GB2312;仿宋" w:hAnsi="仿宋_GB2312;仿宋" w:eastAsia="仿宋_GB2312;仿宋"/>
              </w:rPr>
              <w:t>公章：</w:t>
            </w:r>
          </w:p>
          <w:p w14:paraId="2B82E5FC">
            <w:pPr>
              <w:ind w:left="4210" w:right="0"/>
              <w:rPr>
                <w:sz w:val="24"/>
                <w:rFonts w:ascii="仿宋_GB2312;仿宋" w:hAnsi="仿宋_GB2312;仿宋" w:eastAsia="仿宋_GB2312;仿宋"/>
              </w:rPr>
            </w:pPr>
          </w:p>
          <w:p w14:paraId="63AB949C">
            <w:pPr>
              <w:ind w:left="4210" w:right="0"/>
              <w:rPr>
                <w:sz w:val="24"/>
                <w:rFonts w:ascii="仿宋_GB2312;仿宋" w:hAnsi="仿宋_GB2312;仿宋" w:eastAsia="仿宋_GB2312;仿宋"/>
              </w:rPr>
            </w:pPr>
            <w:r>
              <w:rPr>
                <w:sz w:val="24"/>
                <w:rFonts w:ascii="仿宋_GB2312;仿宋" w:hAnsi="仿宋_GB2312;仿宋" w:eastAsia="仿宋_GB2312;仿宋"/>
              </w:rPr>
              <w:t>年     月    日</w:t>
            </w:r>
          </w:p>
          <w:p w14:paraId="364F2E19">
            <w:pPr>
              <w:ind w:left="4210" w:right="0"/>
              <w:rPr>
                <w:sz w:val="24"/>
                <w:rFonts w:ascii="仿宋_GB2312;仿宋" w:hAnsi="仿宋_GB2312;仿宋" w:eastAsia="仿宋_GB2312;仿宋"/>
              </w:rPr>
            </w:pPr>
            <w:r>
              <w:rPr>
                <w:sz w:val="24"/>
                <w:rFonts w:ascii="仿宋_GB2312;仿宋" w:hAnsi="仿宋_GB2312;仿宋" w:eastAsia="仿宋_GB2312;仿宋" w:cs="仿宋_GB2312;仿宋"/>
              </w:rPr>
              <w:t xml:space="preserve">                                    </w:t>
            </w:r>
          </w:p>
        </w:tc>
      </w:tr>
    </w:tbl>
    <w:p w14:paraId="01081AC1">
      <w:r>
        <w:rPr>
          <w:rFonts w:eastAsia="黑体"/>
        </w:rPr>
        <w:t>说明：按照《西安交通大学思政课实践教学管理办法》要求，本记录册为交大本科生获得思政实践学分的必要材料。实践学生本人填写，组织单位认定，学生交由辅导员收集后报备至马克思主义学院留存。</w:t>
      </w:r>
    </w:p>
    <w:sectPr>
      <w:docGrid w:type="lines" w:linePitch="312" w:charSpace="0"/>
      <w:pgSz w:w="11906" w:h="16838"/>
      <w:pgMar w:top="1440" w:right="1800" w:bottom="1440" w:left="1800" w:header="0" w:footer="0" w:gutter="0"/>
      <w:pgNumType w:fmt="decimal"/>
      <w:pgNumType w:fmt="decimal"/>
      <w:cols w:space="720" w:num="1"/>
      <w:formProt w:val="0"/>
    </w:sectPr>
  </w:body>
</w:document>
</file>

<file path=tbak/modified.xml>save:Thu Jul 30 11:20:14 2026

</file>