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0DC" w:rsidRDefault="009B0DBF" w:rsidP="00612AB3">
      <w:pPr>
        <w:jc w:val="center"/>
      </w:pPr>
      <w:r>
        <w:rPr>
          <w:rFonts w:hint="eastAsia"/>
        </w:rPr>
        <w:t>Supplementary Table 2</w:t>
      </w:r>
      <w:r w:rsidR="008D7E87">
        <w:t xml:space="preserve"> Description of PBPK model analysis results on Japanese Product Labels</w:t>
      </w:r>
      <w:r w:rsidR="00612AB3" w:rsidRPr="00612AB3">
        <w:rPr>
          <w:rFonts w:ascii="ＭＳ 明朝" w:eastAsia="ＭＳ 明朝" w:hAnsi="ＭＳ 明朝" w:hint="eastAsia"/>
          <w:vertAlign w:val="superscript"/>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3823"/>
        <w:gridCol w:w="4024"/>
        <w:gridCol w:w="4024"/>
      </w:tblGrid>
      <w:tr w:rsidR="000830DC" w:rsidTr="00BE29F5">
        <w:tc>
          <w:tcPr>
            <w:tcW w:w="1271" w:type="dxa"/>
            <w:tcBorders>
              <w:top w:val="single" w:sz="4" w:space="0" w:color="auto"/>
              <w:bottom w:val="single" w:sz="4" w:space="0" w:color="auto"/>
            </w:tcBorders>
            <w:vAlign w:val="center"/>
          </w:tcPr>
          <w:p w:rsidR="000830DC" w:rsidRDefault="00B9670D" w:rsidP="00BE29F5">
            <w:pPr>
              <w:jc w:val="center"/>
            </w:pPr>
            <w:r>
              <w:rPr>
                <w:rFonts w:hint="eastAsia"/>
              </w:rPr>
              <w:t>Drug Name (</w:t>
            </w:r>
            <w:r>
              <w:t>Generic Name</w:t>
            </w:r>
            <w:r>
              <w:rPr>
                <w:rFonts w:hint="eastAsia"/>
              </w:rPr>
              <w:t>)</w:t>
            </w:r>
          </w:p>
        </w:tc>
        <w:tc>
          <w:tcPr>
            <w:tcW w:w="3823" w:type="dxa"/>
            <w:tcBorders>
              <w:top w:val="single" w:sz="4" w:space="0" w:color="auto"/>
              <w:bottom w:val="single" w:sz="4" w:space="0" w:color="auto"/>
            </w:tcBorders>
            <w:vAlign w:val="center"/>
          </w:tcPr>
          <w:p w:rsidR="000830DC" w:rsidRPr="00710B08" w:rsidRDefault="000830DC" w:rsidP="00BE29F5">
            <w:pPr>
              <w:jc w:val="center"/>
            </w:pPr>
            <w:r w:rsidRPr="000749B6">
              <w:t>Cerdelga</w:t>
            </w:r>
            <w:r w:rsidRPr="000749B6">
              <w:rPr>
                <w:vertAlign w:val="superscript"/>
              </w:rPr>
              <w:t>®</w:t>
            </w:r>
            <w:r w:rsidR="00710B08">
              <w:t xml:space="preserve"> (Eliglustat)</w:t>
            </w:r>
          </w:p>
        </w:tc>
        <w:tc>
          <w:tcPr>
            <w:tcW w:w="4024" w:type="dxa"/>
            <w:tcBorders>
              <w:top w:val="single" w:sz="4" w:space="0" w:color="auto"/>
              <w:bottom w:val="single" w:sz="4" w:space="0" w:color="auto"/>
            </w:tcBorders>
            <w:vAlign w:val="center"/>
          </w:tcPr>
          <w:p w:rsidR="000830DC" w:rsidRPr="00B9670D" w:rsidRDefault="000830DC" w:rsidP="00BE29F5">
            <w:pPr>
              <w:jc w:val="center"/>
            </w:pPr>
            <w:r w:rsidRPr="000749B6">
              <w:t>Farydak</w:t>
            </w:r>
            <w:r w:rsidRPr="000749B6">
              <w:rPr>
                <w:vertAlign w:val="superscript"/>
              </w:rPr>
              <w:t>®</w:t>
            </w:r>
            <w:r w:rsidR="00B9670D">
              <w:rPr>
                <w:vertAlign w:val="superscript"/>
              </w:rPr>
              <w:t xml:space="preserve"> </w:t>
            </w:r>
            <w:r w:rsidR="00B9670D">
              <w:t>(Panobinostat)</w:t>
            </w:r>
          </w:p>
        </w:tc>
        <w:tc>
          <w:tcPr>
            <w:tcW w:w="4024" w:type="dxa"/>
            <w:tcBorders>
              <w:top w:val="single" w:sz="4" w:space="0" w:color="auto"/>
              <w:bottom w:val="single" w:sz="4" w:space="0" w:color="auto"/>
            </w:tcBorders>
            <w:vAlign w:val="center"/>
          </w:tcPr>
          <w:p w:rsidR="000830DC" w:rsidRPr="00B9670D" w:rsidRDefault="000830DC" w:rsidP="00BE29F5">
            <w:pPr>
              <w:jc w:val="center"/>
            </w:pPr>
            <w:r w:rsidRPr="000749B6">
              <w:t>Imbruvica</w:t>
            </w:r>
            <w:r w:rsidRPr="000749B6">
              <w:rPr>
                <w:vertAlign w:val="superscript"/>
              </w:rPr>
              <w:t>®</w:t>
            </w:r>
            <w:r w:rsidR="00B9670D">
              <w:t xml:space="preserve"> (Ibrutinib)</w:t>
            </w:r>
          </w:p>
        </w:tc>
      </w:tr>
      <w:tr w:rsidR="00B9670D" w:rsidTr="00BE29F5">
        <w:trPr>
          <w:trHeight w:val="1721"/>
        </w:trPr>
        <w:tc>
          <w:tcPr>
            <w:tcW w:w="1271" w:type="dxa"/>
            <w:tcBorders>
              <w:top w:val="single" w:sz="4" w:space="0" w:color="auto"/>
            </w:tcBorders>
          </w:tcPr>
          <w:p w:rsidR="00B9670D" w:rsidRDefault="00B9670D" w:rsidP="00BE29F5">
            <w:r>
              <w:rPr>
                <w:rFonts w:hint="eastAsia"/>
              </w:rPr>
              <w:t>Intended p</w:t>
            </w:r>
            <w:r>
              <w:t>u</w:t>
            </w:r>
            <w:r>
              <w:rPr>
                <w:rFonts w:hint="eastAsia"/>
              </w:rPr>
              <w:t>rpose</w:t>
            </w:r>
            <w:r>
              <w:t xml:space="preserve"> of PBPK</w:t>
            </w:r>
          </w:p>
        </w:tc>
        <w:tc>
          <w:tcPr>
            <w:tcW w:w="3823" w:type="dxa"/>
            <w:tcBorders>
              <w:top w:val="single" w:sz="4" w:space="0" w:color="auto"/>
            </w:tcBorders>
          </w:tcPr>
          <w:p w:rsidR="00B9670D" w:rsidRDefault="00710B08" w:rsidP="00BE29F5">
            <w:pPr>
              <w:pStyle w:val="a8"/>
              <w:numPr>
                <w:ilvl w:val="0"/>
                <w:numId w:val="2"/>
              </w:numPr>
              <w:ind w:leftChars="0"/>
            </w:pPr>
            <w:r>
              <w:rPr>
                <w:rFonts w:hint="eastAsia"/>
              </w:rPr>
              <w:t xml:space="preserve">PK in </w:t>
            </w:r>
            <w:r>
              <w:t>different genotype of CYP2D6 subjects</w:t>
            </w:r>
          </w:p>
          <w:p w:rsidR="00710B08" w:rsidRDefault="00710B08" w:rsidP="00BE29F5">
            <w:pPr>
              <w:pStyle w:val="a8"/>
              <w:numPr>
                <w:ilvl w:val="0"/>
                <w:numId w:val="2"/>
              </w:numPr>
              <w:ind w:leftChars="0"/>
            </w:pPr>
            <w:r>
              <w:rPr>
                <w:rFonts w:hint="eastAsia"/>
              </w:rPr>
              <w:t xml:space="preserve">DDI magnitude with </w:t>
            </w:r>
            <w:r w:rsidRPr="0024183A">
              <w:t>terbinafine</w:t>
            </w:r>
            <w:r>
              <w:t xml:space="preserve"> and fluconazole</w:t>
            </w:r>
          </w:p>
        </w:tc>
        <w:tc>
          <w:tcPr>
            <w:tcW w:w="4024" w:type="dxa"/>
            <w:tcBorders>
              <w:top w:val="single" w:sz="4" w:space="0" w:color="auto"/>
            </w:tcBorders>
          </w:tcPr>
          <w:p w:rsidR="00B9670D" w:rsidRDefault="00B9670D" w:rsidP="00BE29F5">
            <w:r>
              <w:rPr>
                <w:rFonts w:hint="eastAsia"/>
              </w:rPr>
              <w:t xml:space="preserve">DDI magnitude </w:t>
            </w:r>
            <w:r>
              <w:t>with rifampin</w:t>
            </w:r>
          </w:p>
        </w:tc>
        <w:tc>
          <w:tcPr>
            <w:tcW w:w="4024" w:type="dxa"/>
            <w:tcBorders>
              <w:top w:val="single" w:sz="4" w:space="0" w:color="auto"/>
            </w:tcBorders>
          </w:tcPr>
          <w:p w:rsidR="00B9670D" w:rsidRDefault="00B9670D" w:rsidP="00BE29F5">
            <w:r>
              <w:rPr>
                <w:rFonts w:hint="eastAsia"/>
              </w:rPr>
              <w:t xml:space="preserve">DDI magnitude </w:t>
            </w:r>
            <w:r>
              <w:t>with inhibitors and inducers of CYP3A4</w:t>
            </w:r>
          </w:p>
        </w:tc>
      </w:tr>
      <w:tr w:rsidR="00B9670D" w:rsidTr="00BE29F5">
        <w:trPr>
          <w:trHeight w:val="1699"/>
        </w:trPr>
        <w:tc>
          <w:tcPr>
            <w:tcW w:w="1271" w:type="dxa"/>
          </w:tcPr>
          <w:p w:rsidR="00B9670D" w:rsidRDefault="00B9670D" w:rsidP="00BE29F5">
            <w:r>
              <w:rPr>
                <w:rFonts w:hint="eastAsia"/>
              </w:rPr>
              <w:t>Items predicted using PBPK</w:t>
            </w:r>
          </w:p>
        </w:tc>
        <w:tc>
          <w:tcPr>
            <w:tcW w:w="3823" w:type="dxa"/>
          </w:tcPr>
          <w:p w:rsidR="00B9670D" w:rsidRDefault="00710B08" w:rsidP="00BE29F5">
            <w:pPr>
              <w:pStyle w:val="a8"/>
              <w:numPr>
                <w:ilvl w:val="0"/>
                <w:numId w:val="3"/>
              </w:numPr>
              <w:ind w:leftChars="0"/>
            </w:pPr>
            <w:r>
              <w:rPr>
                <w:rFonts w:hint="eastAsia"/>
              </w:rPr>
              <w:t xml:space="preserve">AUC of </w:t>
            </w:r>
            <w:r w:rsidR="00334925">
              <w:t xml:space="preserve">eliglustat in </w:t>
            </w:r>
            <w:r>
              <w:rPr>
                <w:rFonts w:hint="eastAsia"/>
              </w:rPr>
              <w:t>CYP2D6 PM</w:t>
            </w:r>
          </w:p>
          <w:p w:rsidR="00710B08" w:rsidRDefault="00710B08" w:rsidP="00BE29F5">
            <w:pPr>
              <w:pStyle w:val="a8"/>
              <w:numPr>
                <w:ilvl w:val="0"/>
                <w:numId w:val="3"/>
              </w:numPr>
              <w:ind w:leftChars="0"/>
            </w:pPr>
            <w:r>
              <w:t xml:space="preserve">Cmax and AUC of eliglustat with </w:t>
            </w:r>
            <w:r w:rsidR="00334925">
              <w:t>inhibitors of CYP2D6 and CYP3A</w:t>
            </w:r>
          </w:p>
        </w:tc>
        <w:tc>
          <w:tcPr>
            <w:tcW w:w="4024" w:type="dxa"/>
          </w:tcPr>
          <w:p w:rsidR="00B9670D" w:rsidRDefault="00B9670D" w:rsidP="00BE29F5">
            <w:r>
              <w:rPr>
                <w:rFonts w:hint="eastAsia"/>
              </w:rPr>
              <w:t xml:space="preserve">AUC </w:t>
            </w:r>
            <w:r>
              <w:t>of panobinostat</w:t>
            </w:r>
          </w:p>
        </w:tc>
        <w:tc>
          <w:tcPr>
            <w:tcW w:w="4024" w:type="dxa"/>
          </w:tcPr>
          <w:p w:rsidR="00B9670D" w:rsidRDefault="00B9670D" w:rsidP="00BE29F5">
            <w:r>
              <w:rPr>
                <w:rFonts w:hint="eastAsia"/>
              </w:rPr>
              <w:t xml:space="preserve">AUC of </w:t>
            </w:r>
            <w:r>
              <w:t>ibrutinib</w:t>
            </w:r>
          </w:p>
        </w:tc>
      </w:tr>
      <w:tr w:rsidR="00B9670D" w:rsidRPr="00610AA7" w:rsidTr="00BE29F5">
        <w:trPr>
          <w:trHeight w:val="4537"/>
        </w:trPr>
        <w:tc>
          <w:tcPr>
            <w:tcW w:w="1271" w:type="dxa"/>
          </w:tcPr>
          <w:p w:rsidR="00B9670D" w:rsidRDefault="00B9670D" w:rsidP="00BE29F5">
            <w:r>
              <w:rPr>
                <w:rFonts w:hint="eastAsia"/>
              </w:rPr>
              <w:lastRenderedPageBreak/>
              <w:t>Des</w:t>
            </w:r>
            <w:r>
              <w:t>cription of PBPK simulation in the label</w:t>
            </w:r>
          </w:p>
        </w:tc>
        <w:tc>
          <w:tcPr>
            <w:tcW w:w="3823" w:type="dxa"/>
          </w:tcPr>
          <w:p w:rsidR="00B9670D" w:rsidRDefault="00840851" w:rsidP="00BE29F5">
            <w:pPr>
              <w:pStyle w:val="a8"/>
              <w:numPr>
                <w:ilvl w:val="0"/>
                <w:numId w:val="4"/>
              </w:numPr>
              <w:ind w:leftChars="0"/>
            </w:pPr>
            <w:r>
              <w:t>S</w:t>
            </w:r>
            <w:r>
              <w:rPr>
                <w:rFonts w:hint="eastAsia"/>
              </w:rPr>
              <w:t xml:space="preserve">imulations </w:t>
            </w:r>
            <w:r>
              <w:t>of eliglustat AUC using</w:t>
            </w:r>
            <w:r>
              <w:rPr>
                <w:rFonts w:hint="eastAsia"/>
              </w:rPr>
              <w:t xml:space="preserve"> PBPK models</w:t>
            </w:r>
            <w:r>
              <w:t xml:space="preserve"> after 100 mg daily dosing in CYP2D6 PM estimated comparable with AUC in CYP2D6 IM after twice daily dosing of eliglustat.</w:t>
            </w:r>
          </w:p>
          <w:p w:rsidR="00840851" w:rsidRDefault="00840851" w:rsidP="00BE29F5">
            <w:pPr>
              <w:pStyle w:val="a8"/>
              <w:numPr>
                <w:ilvl w:val="0"/>
                <w:numId w:val="4"/>
              </w:numPr>
              <w:ind w:leftChars="0"/>
            </w:pPr>
            <w:r>
              <w:rPr>
                <w:rFonts w:hint="eastAsia"/>
              </w:rPr>
              <w:t xml:space="preserve">Simulations </w:t>
            </w:r>
            <w:r>
              <w:t>using</w:t>
            </w:r>
            <w:r>
              <w:rPr>
                <w:rFonts w:hint="eastAsia"/>
              </w:rPr>
              <w:t xml:space="preserve"> PBPK models </w:t>
            </w:r>
            <w:r>
              <w:t xml:space="preserve">estimated increase in eliglustat Cmax and AUC 8.85-fold and 11.7-fold in the presence of </w:t>
            </w:r>
            <w:r w:rsidRPr="0024183A">
              <w:t>terbinafine</w:t>
            </w:r>
            <w:r>
              <w:t xml:space="preserve"> and fluconazole, respectively.</w:t>
            </w:r>
          </w:p>
          <w:p w:rsidR="000C7FAC" w:rsidRDefault="00714766" w:rsidP="00BE29F5">
            <w:pPr>
              <w:pStyle w:val="a8"/>
              <w:numPr>
                <w:ilvl w:val="0"/>
                <w:numId w:val="4"/>
              </w:numPr>
              <w:ind w:leftChars="0"/>
            </w:pPr>
            <w:r>
              <w:t xml:space="preserve">Comparison of systemic exposure of eliglustat after 800 mg dosing with estimated systemic exposure using PBPK models when co-administered with </w:t>
            </w:r>
            <w:r>
              <w:rPr>
                <w:rFonts w:hint="eastAsia"/>
              </w:rPr>
              <w:t xml:space="preserve">both </w:t>
            </w:r>
            <w:r>
              <w:t>inhibitors of CYP2D6 and CYP3A in CYP2D6 EM, or with inhibitors of CYP3A in CYP2D6 IM and PM are described.</w:t>
            </w:r>
          </w:p>
        </w:tc>
        <w:tc>
          <w:tcPr>
            <w:tcW w:w="4024" w:type="dxa"/>
          </w:tcPr>
          <w:p w:rsidR="00B9670D" w:rsidRDefault="00B9670D" w:rsidP="00BE29F5">
            <w:r>
              <w:rPr>
                <w:rFonts w:hint="eastAsia"/>
              </w:rPr>
              <w:t xml:space="preserve">Simulations </w:t>
            </w:r>
            <w:r>
              <w:t>using</w:t>
            </w:r>
            <w:r>
              <w:rPr>
                <w:rFonts w:hint="eastAsia"/>
              </w:rPr>
              <w:t xml:space="preserve"> PBPK models </w:t>
            </w:r>
            <w:r>
              <w:t>estimated an approximately 70% decrease in AUC in the presence of rifampin.</w:t>
            </w:r>
          </w:p>
        </w:tc>
        <w:tc>
          <w:tcPr>
            <w:tcW w:w="4024" w:type="dxa"/>
          </w:tcPr>
          <w:p w:rsidR="00B9670D" w:rsidRDefault="00610AA7" w:rsidP="00BE29F5">
            <w:r>
              <w:rPr>
                <w:rFonts w:hint="eastAsia"/>
              </w:rPr>
              <w:t>Estima</w:t>
            </w:r>
            <w:r>
              <w:t>t</w:t>
            </w:r>
            <w:r>
              <w:rPr>
                <w:rFonts w:hint="eastAsia"/>
              </w:rPr>
              <w:t xml:space="preserve">ed </w:t>
            </w:r>
            <w:r>
              <w:t xml:space="preserve">AUC of ibrutinib using PBPK models with itraconazole, </w:t>
            </w:r>
            <w:r w:rsidRPr="00610AA7">
              <w:t>clarithromycin</w:t>
            </w:r>
            <w:r>
              <w:t xml:space="preserve">, </w:t>
            </w:r>
            <w:r w:rsidRPr="00610AA7">
              <w:t>voriconazole</w:t>
            </w:r>
            <w:r>
              <w:t xml:space="preserve">, </w:t>
            </w:r>
            <w:r w:rsidRPr="00610AA7">
              <w:t>erythromycin</w:t>
            </w:r>
            <w:r>
              <w:t xml:space="preserve">, </w:t>
            </w:r>
            <w:r w:rsidRPr="00610AA7">
              <w:t>diltiazem</w:t>
            </w:r>
            <w:r>
              <w:t>,</w:t>
            </w:r>
            <w:r w:rsidRPr="00610AA7">
              <w:t xml:space="preserve"> fluvoxamine</w:t>
            </w:r>
            <w:r>
              <w:t xml:space="preserve">, </w:t>
            </w:r>
            <w:r w:rsidRPr="00610AA7">
              <w:t>azithromycin</w:t>
            </w:r>
            <w:r>
              <w:t xml:space="preserve">, </w:t>
            </w:r>
            <w:r w:rsidRPr="00610AA7">
              <w:t>carbamazepine</w:t>
            </w:r>
            <w:r>
              <w:t xml:space="preserve">, </w:t>
            </w:r>
            <w:r w:rsidRPr="00610AA7">
              <w:t>efavirenz</w:t>
            </w:r>
            <w:r>
              <w:t xml:space="preserve"> are described.</w:t>
            </w:r>
          </w:p>
        </w:tc>
      </w:tr>
      <w:tr w:rsidR="00B9670D" w:rsidTr="00BE29F5">
        <w:trPr>
          <w:trHeight w:val="2552"/>
        </w:trPr>
        <w:tc>
          <w:tcPr>
            <w:tcW w:w="1271" w:type="dxa"/>
          </w:tcPr>
          <w:p w:rsidR="00B9670D" w:rsidRPr="000830DC" w:rsidRDefault="00B9670D" w:rsidP="00BE29F5">
            <w:r>
              <w:rPr>
                <w:rFonts w:hint="eastAsia"/>
              </w:rPr>
              <w:lastRenderedPageBreak/>
              <w:t>Dosing recommendations in the label</w:t>
            </w:r>
            <w:r w:rsidR="00334925">
              <w:t xml:space="preserve"> using PBPK analysis results</w:t>
            </w:r>
          </w:p>
        </w:tc>
        <w:tc>
          <w:tcPr>
            <w:tcW w:w="3823" w:type="dxa"/>
          </w:tcPr>
          <w:p w:rsidR="00B9670D" w:rsidRDefault="00C543C8" w:rsidP="00BE29F5">
            <w:r>
              <w:t>Contraindications</w:t>
            </w:r>
            <w:r>
              <w:rPr>
                <w:rFonts w:hint="eastAsia"/>
              </w:rPr>
              <w:t>:</w:t>
            </w:r>
          </w:p>
          <w:p w:rsidR="00C543C8" w:rsidRDefault="00C543C8" w:rsidP="00BE29F5">
            <w:pPr>
              <w:pStyle w:val="a8"/>
              <w:numPr>
                <w:ilvl w:val="0"/>
                <w:numId w:val="5"/>
              </w:numPr>
              <w:ind w:leftChars="0"/>
            </w:pPr>
            <w:r>
              <w:rPr>
                <w:rFonts w:hint="eastAsia"/>
              </w:rPr>
              <w:t xml:space="preserve">Co-administration with both </w:t>
            </w:r>
            <w:r>
              <w:t>inhibitors of CYP2D6</w:t>
            </w:r>
            <w:r w:rsidR="00527E71">
              <w:t xml:space="preserve"> and CYP3A in CYP2D6 EM</w:t>
            </w:r>
            <w:r>
              <w:t>.</w:t>
            </w:r>
          </w:p>
          <w:p w:rsidR="00C543C8" w:rsidRDefault="00C543C8" w:rsidP="00BE29F5">
            <w:pPr>
              <w:pStyle w:val="a8"/>
              <w:numPr>
                <w:ilvl w:val="0"/>
                <w:numId w:val="5"/>
              </w:numPr>
              <w:ind w:leftChars="0"/>
            </w:pPr>
            <w:r>
              <w:rPr>
                <w:rFonts w:hint="eastAsia"/>
              </w:rPr>
              <w:t>Co-administration with</w:t>
            </w:r>
            <w:r>
              <w:t xml:space="preserve"> </w:t>
            </w:r>
            <w:r w:rsidR="00527E71">
              <w:t>inhibitors of CYP3A in CYP2D6 IM and PM.</w:t>
            </w:r>
          </w:p>
        </w:tc>
        <w:tc>
          <w:tcPr>
            <w:tcW w:w="4024" w:type="dxa"/>
          </w:tcPr>
          <w:p w:rsidR="00B9670D" w:rsidRDefault="00B9670D" w:rsidP="00BE29F5">
            <w:r>
              <w:rPr>
                <w:rFonts w:hint="eastAsia"/>
              </w:rPr>
              <w:t xml:space="preserve">Dosing with strong inducers </w:t>
            </w:r>
            <w:r>
              <w:t xml:space="preserve">of CYP3A </w:t>
            </w:r>
            <w:r w:rsidR="00610AA7">
              <w:t xml:space="preserve">is </w:t>
            </w:r>
            <w:r>
              <w:rPr>
                <w:rFonts w:hint="eastAsia"/>
              </w:rPr>
              <w:t xml:space="preserve">not recommended because </w:t>
            </w:r>
            <w:r>
              <w:t>this may decrease panobinostat blood c</w:t>
            </w:r>
            <w:bookmarkStart w:id="0" w:name="_GoBack"/>
            <w:bookmarkEnd w:id="0"/>
            <w:r>
              <w:t>oncentration.</w:t>
            </w:r>
          </w:p>
        </w:tc>
        <w:tc>
          <w:tcPr>
            <w:tcW w:w="4024" w:type="dxa"/>
          </w:tcPr>
          <w:p w:rsidR="00513492" w:rsidRDefault="00610AA7" w:rsidP="00BE29F5">
            <w:r>
              <w:t>Dosing with</w:t>
            </w:r>
            <w:r w:rsidR="00EF2920">
              <w:t xml:space="preserve"> ketoconazole, itraconazole and </w:t>
            </w:r>
            <w:r w:rsidR="00EF2920" w:rsidRPr="00610AA7">
              <w:t>clarithromycin</w:t>
            </w:r>
            <w:r w:rsidR="00EF2920">
              <w:t xml:space="preserve"> is</w:t>
            </w:r>
            <w:r>
              <w:t xml:space="preserve"> c</w:t>
            </w:r>
            <w:r w:rsidRPr="00610AA7">
              <w:t>ontraindications</w:t>
            </w:r>
            <w:r>
              <w:t>.</w:t>
            </w:r>
          </w:p>
          <w:p w:rsidR="00B9670D" w:rsidRDefault="00483CDA" w:rsidP="00BE29F5">
            <w:r>
              <w:t>Consider alternative agents with no CYP3A inhibition or induction</w:t>
            </w:r>
            <w:r w:rsidR="00EF2920">
              <w:t>.</w:t>
            </w:r>
          </w:p>
        </w:tc>
      </w:tr>
    </w:tbl>
    <w:p w:rsidR="000830DC" w:rsidRPr="00612AB3" w:rsidRDefault="00734906" w:rsidP="00734906">
      <w:pPr>
        <w:pStyle w:val="a8"/>
        <w:numPr>
          <w:ilvl w:val="0"/>
          <w:numId w:val="6"/>
        </w:numPr>
        <w:ind w:leftChars="0"/>
      </w:pPr>
      <w:r>
        <w:t>The English descriptions of the Japanese Product labels in this table are provided for reference purposes only. In the event of any inconsistency between the Japanese original product label and the English translation, the former shall prevail.</w:t>
      </w:r>
    </w:p>
    <w:sectPr w:rsidR="000830DC" w:rsidRPr="00612AB3" w:rsidSect="00714766">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F79" w:rsidRDefault="007A2F79" w:rsidP="009B0DBF">
      <w:r>
        <w:separator/>
      </w:r>
    </w:p>
  </w:endnote>
  <w:endnote w:type="continuationSeparator" w:id="0">
    <w:p w:rsidR="007A2F79" w:rsidRDefault="007A2F79" w:rsidP="009B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F79" w:rsidRDefault="007A2F79" w:rsidP="009B0DBF">
      <w:r>
        <w:separator/>
      </w:r>
    </w:p>
  </w:footnote>
  <w:footnote w:type="continuationSeparator" w:id="0">
    <w:p w:rsidR="007A2F79" w:rsidRDefault="007A2F79" w:rsidP="009B0D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468CB"/>
    <w:multiLevelType w:val="hybridMultilevel"/>
    <w:tmpl w:val="08CE3B1E"/>
    <w:lvl w:ilvl="0" w:tplc="F418DC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F5C0BE5"/>
    <w:multiLevelType w:val="hybridMultilevel"/>
    <w:tmpl w:val="7D10605C"/>
    <w:lvl w:ilvl="0" w:tplc="F418DC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61B3CA5"/>
    <w:multiLevelType w:val="hybridMultilevel"/>
    <w:tmpl w:val="77FEA88A"/>
    <w:lvl w:ilvl="0" w:tplc="F418DC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3FB64D5"/>
    <w:multiLevelType w:val="hybridMultilevel"/>
    <w:tmpl w:val="FB2A4214"/>
    <w:lvl w:ilvl="0" w:tplc="F418DC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60C6EAF"/>
    <w:multiLevelType w:val="hybridMultilevel"/>
    <w:tmpl w:val="1B061A9A"/>
    <w:lvl w:ilvl="0" w:tplc="57B4296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97B47BF"/>
    <w:multiLevelType w:val="hybridMultilevel"/>
    <w:tmpl w:val="3FBA1332"/>
    <w:lvl w:ilvl="0" w:tplc="F418DC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14"/>
    <w:rsid w:val="00030C38"/>
    <w:rsid w:val="000749B6"/>
    <w:rsid w:val="000830DC"/>
    <w:rsid w:val="000C7FAC"/>
    <w:rsid w:val="000F3E57"/>
    <w:rsid w:val="00132BE6"/>
    <w:rsid w:val="00180C9B"/>
    <w:rsid w:val="001F54C7"/>
    <w:rsid w:val="0024183A"/>
    <w:rsid w:val="00334925"/>
    <w:rsid w:val="003B355A"/>
    <w:rsid w:val="00435B14"/>
    <w:rsid w:val="00483CDA"/>
    <w:rsid w:val="00513492"/>
    <w:rsid w:val="00515ACC"/>
    <w:rsid w:val="00527E71"/>
    <w:rsid w:val="00594E94"/>
    <w:rsid w:val="00610AA7"/>
    <w:rsid w:val="00612AB3"/>
    <w:rsid w:val="00710B08"/>
    <w:rsid w:val="00714766"/>
    <w:rsid w:val="00734906"/>
    <w:rsid w:val="007A27FE"/>
    <w:rsid w:val="007A2F79"/>
    <w:rsid w:val="007C1D9D"/>
    <w:rsid w:val="00840851"/>
    <w:rsid w:val="008D7E87"/>
    <w:rsid w:val="009B0DBF"/>
    <w:rsid w:val="00B9670D"/>
    <w:rsid w:val="00BB68D9"/>
    <w:rsid w:val="00BE29F5"/>
    <w:rsid w:val="00C543C8"/>
    <w:rsid w:val="00CD2950"/>
    <w:rsid w:val="00D251CF"/>
    <w:rsid w:val="00D656D0"/>
    <w:rsid w:val="00DE76E3"/>
    <w:rsid w:val="00E77B05"/>
    <w:rsid w:val="00E804F8"/>
    <w:rsid w:val="00EF2920"/>
    <w:rsid w:val="00F35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BF36BAD-B3BB-4DE9-8C56-25897CEC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B0DBF"/>
    <w:pPr>
      <w:tabs>
        <w:tab w:val="center" w:pos="4252"/>
        <w:tab w:val="right" w:pos="8504"/>
      </w:tabs>
      <w:snapToGrid w:val="0"/>
    </w:pPr>
  </w:style>
  <w:style w:type="character" w:customStyle="1" w:styleId="a5">
    <w:name w:val="ヘッダー (文字)"/>
    <w:basedOn w:val="a0"/>
    <w:link w:val="a4"/>
    <w:uiPriority w:val="99"/>
    <w:rsid w:val="009B0DBF"/>
  </w:style>
  <w:style w:type="paragraph" w:styleId="a6">
    <w:name w:val="footer"/>
    <w:basedOn w:val="a"/>
    <w:link w:val="a7"/>
    <w:uiPriority w:val="99"/>
    <w:unhideWhenUsed/>
    <w:rsid w:val="009B0DBF"/>
    <w:pPr>
      <w:tabs>
        <w:tab w:val="center" w:pos="4252"/>
        <w:tab w:val="right" w:pos="8504"/>
      </w:tabs>
      <w:snapToGrid w:val="0"/>
    </w:pPr>
  </w:style>
  <w:style w:type="character" w:customStyle="1" w:styleId="a7">
    <w:name w:val="フッター (文字)"/>
    <w:basedOn w:val="a0"/>
    <w:link w:val="a6"/>
    <w:uiPriority w:val="99"/>
    <w:rsid w:val="009B0DBF"/>
  </w:style>
  <w:style w:type="paragraph" w:styleId="a8">
    <w:name w:val="List Paragraph"/>
    <w:basedOn w:val="a"/>
    <w:uiPriority w:val="34"/>
    <w:qFormat/>
    <w:rsid w:val="0024183A"/>
    <w:pPr>
      <w:ind w:leftChars="400" w:left="840"/>
    </w:pPr>
  </w:style>
  <w:style w:type="paragraph" w:styleId="a9">
    <w:name w:val="Balloon Text"/>
    <w:basedOn w:val="a"/>
    <w:link w:val="aa"/>
    <w:uiPriority w:val="99"/>
    <w:semiHidden/>
    <w:unhideWhenUsed/>
    <w:rsid w:val="0073490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490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Pmda</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佐藤正延</dc:creator>
  <cp:keywords/>
  <dc:description/>
  <cp:lastModifiedBy>佐藤正延</cp:lastModifiedBy>
  <cp:revision>3</cp:revision>
  <dcterms:created xsi:type="dcterms:W3CDTF">2017-04-19T04:48:00Z</dcterms:created>
  <dcterms:modified xsi:type="dcterms:W3CDTF">2017-04-19T05:01:00Z</dcterms:modified>
</cp:coreProperties>
</file>