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  <Override PartName="/word/media/rId34.png" ContentType="image/png"/>
  <Override PartName="/word/media/rId27.jpg" ContentType="image/jpeg"/>
  <Override PartName="/word/media/rId36.jpg" ContentType="image/jpeg"/>
  <Override PartName="/word/media/rId22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</w:t>
      </w:r>
      <w:r>
        <w:t xml:space="preserve"> </w:t>
      </w:r>
      <w:r>
        <w:t xml:space="preserve">and</w:t>
      </w:r>
      <w:r>
        <w:t xml:space="preserve"> </w:t>
      </w:r>
      <w:r>
        <w:t xml:space="preserve">Simulation을</w:t>
      </w:r>
      <w:r>
        <w:t xml:space="preserve"> </w:t>
      </w:r>
      <w:r>
        <w:t xml:space="preserve">이용한</w:t>
      </w:r>
      <w:r>
        <w:t xml:space="preserve"> </w:t>
      </w:r>
      <w:r>
        <w:t xml:space="preserve">Special</w:t>
      </w:r>
      <w:r>
        <w:t xml:space="preserve"> </w:t>
      </w:r>
      <w:r>
        <w:t xml:space="preserve">population에서의</w:t>
      </w:r>
      <w:r>
        <w:t xml:space="preserve"> </w:t>
      </w:r>
      <w:r>
        <w:t xml:space="preserve">약물</w:t>
      </w:r>
      <w:r>
        <w:t xml:space="preserve"> </w:t>
      </w:r>
      <w:r>
        <w:t xml:space="preserve">인허가</w:t>
      </w:r>
      <w:r>
        <w:t xml:space="preserve"> </w:t>
      </w:r>
      <w:r>
        <w:t xml:space="preserve">현황과</w:t>
      </w:r>
      <w:r>
        <w:t xml:space="preserve"> </w:t>
      </w:r>
      <w:r>
        <w:t xml:space="preserve">관련규정</w:t>
      </w:r>
    </w:p>
    <w:p>
      <w:pPr>
        <w:pStyle w:val="Author"/>
      </w:pPr>
      <w:r>
        <w:t xml:space="preserve">Sungpil</w:t>
      </w:r>
      <w:r>
        <w:t xml:space="preserve"> </w:t>
      </w:r>
      <w:r>
        <w:t xml:space="preserve">Han</w:t>
      </w:r>
    </w:p>
    <w:p>
      <w:pPr>
        <w:pStyle w:val="Date"/>
      </w:pPr>
      <w:r>
        <w:t xml:space="preserve">2017-11-16</w:t>
      </w:r>
    </w:p>
    <w:p>
      <w:pPr>
        <w:pStyle w:val="Heading1"/>
      </w:pPr>
      <w:bookmarkStart w:id="21" w:name="intro"/>
      <w:bookmarkEnd w:id="21"/>
      <w:r>
        <w:t xml:space="preserve">서론</w:t>
      </w:r>
    </w:p>
    <w:p>
      <w:pPr>
        <w:pStyle w:val="FirstParagraph"/>
      </w:pPr>
      <w:r>
        <w:t xml:space="preserve">임상약리학에서 정의하는 특수집단이란 노인, 간장애, 신장애, 소아, 임산부와 같이 일반 성인과 다른 생리적 특징을 갖는 집단을 말한다.</w:t>
      </w:r>
      <w:r>
        <w:t xml:space="preserve"> </w:t>
      </w:r>
      <w:r>
        <w:t xml:space="preserve">이들은 같은 용량의 동일한 약물을 사용할지라도 그 효과와 부작용의 발현이 매우 다르게 나타날 수 있기 때문에 약물 처방에 극히 주의해야 한다.</w:t>
      </w:r>
      <w:r>
        <w:t xml:space="preserve"> </w:t>
      </w:r>
      <w:r>
        <w:t xml:space="preserve">약물 개발 차원에서 모든 특수집단에 대해 용량을 설정하기 위해 여러 임상시험을 행하는 것이 불가능하거나 엄청난 비용을 감수해야 하기 때문에 여러 방법을 고안해 왔다.</w:t>
      </w:r>
      <w:r>
        <w:t xml:space="preserve"> </w:t>
      </w:r>
      <w:r>
        <w:t xml:space="preserve">그러나 그 정확도와 예측력이 현실에서 그다지 좋지 않았고, 이에 따라 과학적인 약물의 사용이 어려웠다.</w:t>
      </w:r>
      <w:r>
        <w:t xml:space="preserve"> </w:t>
      </w:r>
      <w:r>
        <w:t xml:space="preserve">최근에는 컴퓨터를 사용한 모델링과 시뮬레이션을 통하여 특수집단에서의 보다 효율적이고 안전한 약물사용을 가능케 하고자 하는 여러 접근이 이루어지고 있고 특히 각 국가/지역의 규제기관은 이를 적극 장려하고 있다.</w:t>
      </w:r>
    </w:p>
    <w:p>
      <w:pPr>
        <w:pStyle w:val="BodyText"/>
      </w:pPr>
      <w:r>
        <w:t xml:space="preserve">특히 모델링과 시뮬레이션에서 집단 약동학 접근법을 사용하면, 소아 환자나 노인 환자에서 얻어진 희박한 농도 자료 혹은 불균형하게 설계된(unbalanced designs) 연구로부터 얻어진 자료도 분석이 가능하다.</w:t>
      </w:r>
      <w:r>
        <w:t xml:space="preserve"> </w:t>
      </w:r>
      <w:r>
        <w:t xml:space="preserve">(의약품심사부 종양약품과</w:t>
      </w:r>
      <w:r>
        <w:t xml:space="preserve"> </w:t>
      </w:r>
      <w:hyperlink w:anchor="ref-kfda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 </w:t>
      </w:r>
      <w:r>
        <w:t xml:space="preserve">이는 전형적인 약동학 분석 방법으로는 분석이 어려운데 일반적인 임상시험은 건강한 대상자나 엄선된 환자를 대상으로 하며, 그 대상 집단의 평균적인 정보(예, 시간에 따른 평균 혈중 약물농도)를 얻기 때문이다.</w:t>
      </w:r>
      <w:r>
        <w:t xml:space="preserve"> </w:t>
      </w:r>
      <w:r>
        <w:t xml:space="preserve">반면 실제 임상 치료 환경에서는 이러한 개체간 변이에 대한 정보가 활용되어야 하고 특수집단에서의 약물 사용도 필요한데, 통상적인 임상시험에서는 의도적인 통제에 의하여 개체간 변이에 대한 정보를 명확하게 얻을 수 없고 특수 집단을 대상으로 임상시험을 수행하기란 더욱 어렵다.</w:t>
      </w:r>
    </w:p>
    <w:p>
      <w:pPr>
        <w:pStyle w:val="BodyText"/>
      </w:pPr>
      <w:r>
        <w:t xml:space="preserve">용량을 결정하는 것은 특수집단에서의 약물 사용에 있어 가장 주된 결정 사항이다.</w:t>
      </w:r>
      <w:r>
        <w:t xml:space="preserve"> </w:t>
      </w:r>
      <w:r>
        <w:t xml:space="preserve">최근 세계 각국의 규제 기관에서는 특수집단에서 모델 기반 약물 개발에 대해 적극 장려하고 있다.</w:t>
      </w:r>
      <w:r>
        <w:t xml:space="preserve"> </w:t>
      </w:r>
      <w:r>
        <w:t xml:space="preserve">계량약리학 혹은 정량적 임상약리학 분야의 모델의 개발에 대해 약동학, 약력학에 영향을 미치는 인자를 발견하게 할 수 있다.</w:t>
      </w:r>
      <w:r>
        <w:t xml:space="preserve"> </w:t>
      </w:r>
      <w:r>
        <w:t xml:space="preserve">특히 소아와 성인의 약동학 비교를 통하여 용량/노출-반응 관계를 살펴볼 수 있다.</w:t>
      </w:r>
      <w:r>
        <w:t xml:space="preserve"> </w:t>
      </w:r>
      <w:r>
        <w:t xml:space="preserve">(그림</w:t>
      </w:r>
      <w:r>
        <w:t xml:space="preserve"> </w:t>
      </w:r>
      <w:r>
        <w:t xml:space="preserve">1</w:t>
      </w:r>
      <w:r>
        <w:t xml:space="preserve">)</w:t>
      </w:r>
    </w:p>
    <w:p>
      <w:pPr>
        <w:pStyle w:val="BodyText"/>
      </w:pPr>
      <w:r>
        <w:t xml:space="preserve">약물농도와 반응, 생리학적 특성 간의 관계에 대한 이러한 지식은 치료적 약물 모니터 링이 반드시 필요하지 않은 치료법에서도 용량을 설정하는데 있어 필수적인 정보이다.</w:t>
      </w:r>
      <w:r>
        <w:t xml:space="preserve"> </w:t>
      </w:r>
      <w:r>
        <w:t xml:space="preserve">전체집단, 소집단, 개인별 대상자에서 최적의 투여 용법을 결정하기 위해서는 위에서 언급한 변이와 관련된 쟁점이 해결되어야 한다.</w:t>
      </w:r>
      <w:r>
        <w:t xml:space="preserve"> </w:t>
      </w:r>
      <w:r>
        <w:t xml:space="preserve">신약 개발과 허가 검토 과정에서 최적의 투여방법 설정에 대한 중요성이 높아지면서 집단 약동학 분석의 활용이 크게 늘고 있다.</w:t>
      </w:r>
      <w:r>
        <w:t xml:space="preserve"> </w:t>
      </w:r>
      <w:r>
        <w:t xml:space="preserve">집단 약동학 분석은 이러한 유용한 정보를 허가 전에 제공할 수 있으므로, 약물 개발 과정에서 필요시 적절하게 활용하여야 한다.</w:t>
      </w:r>
    </w:p>
    <w:p>
      <w:pPr>
        <w:pStyle w:val="BodyText"/>
      </w:pPr>
      <w:r>
        <w:t xml:space="preserve">적절한 약물 사용을 한 모델링과 시뮬레이션을 사용하면 특수집단에서의 약물 사용에 큰 도움을 줄 수 있다.</w:t>
      </w:r>
      <w:r>
        <w:t xml:space="preserve"> </w:t>
      </w:r>
      <w:r>
        <w:t xml:space="preserve">소아 임상시험에서 임상약리학적 고려점을 제시한 FDA 문서</w:t>
      </w:r>
      <w:r>
        <w:t xml:space="preserve"> </w:t>
      </w:r>
      <w:r>
        <w:t xml:space="preserve">(FDA</w:t>
      </w:r>
      <w:r>
        <w:t xml:space="preserve"> </w:t>
      </w:r>
      <w:hyperlink w:anchor="ref-generalclinpharm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에서는 소아 약물 개발 과정에서 모델링과 시뮬레이션을 적극 활용할 것을 권고하고 있다.</w:t>
      </w:r>
      <w:r>
        <w:t xml:space="preserve"> </w:t>
      </w:r>
      <w:r>
        <w:t xml:space="preserve">PBPK(생리학 기반 약물동태, Physiologically based pharmacokinetic modelling)를 사용하며 생리학적 정보를 활용하여 보다 정밀한 모델링과 시뮬레이션이 가능하다.</w:t>
      </w:r>
      <w:r>
        <w:t xml:space="preserve"> </w:t>
      </w:r>
      <w:r>
        <w:t xml:space="preserve">이러한</w:t>
      </w:r>
      <w:r>
        <w:t xml:space="preserve"> </w:t>
      </w:r>
      <w:r>
        <w:t xml:space="preserve">생리학 기반 약물동태 모델링은 다양한 동물 실험을 통하여 개</w:t>
      </w:r>
      <w:r>
        <w:t xml:space="preserve"> </w:t>
      </w:r>
      <w:r>
        <w:t xml:space="preserve">발된 PBPK 모델에 사람의 생리학적인 특성을 적용하여 사람의</w:t>
      </w:r>
      <w:r>
        <w:t xml:space="preserve"> </w:t>
      </w:r>
      <w:r>
        <w:t xml:space="preserve">PBPK 모델을 개발해 사람의 혈중과 표적장기에서 약물의 농도</w:t>
      </w:r>
      <w:r>
        <w:t xml:space="preserve"> </w:t>
      </w:r>
      <w:r>
        <w:t xml:space="preserve">를 예측할 수 있어 다른 어떠한 PK 모델보다 유용한 점이 많</w:t>
      </w:r>
      <w:r>
        <w:t xml:space="preserve"> </w:t>
      </w:r>
      <w:r>
        <w:t xml:space="preserve">다. 이러한 이유 등으로 인해 PBPK 모델은 현재 미국 FDA,</w:t>
      </w:r>
      <w:r>
        <w:t xml:space="preserve"> </w:t>
      </w:r>
      <w:r>
        <w:t xml:space="preserve">유럽 EMA, 일본 MHLW 등지에서 약물-약물 상호 작용 등 일</w:t>
      </w:r>
      <w:r>
        <w:t xml:space="preserve"> </w:t>
      </w:r>
      <w:r>
        <w:t xml:space="preserve">부 임상시험에서는 실제 임상 결과를 보다 효율적으로 예측할</w:t>
      </w:r>
      <w:r>
        <w:t xml:space="preserve"> </w:t>
      </w:r>
      <w:r>
        <w:t xml:space="preserve">수 있는 좋은 방법으로 소개되고 있고, 해당 가이드라인에 평가</w:t>
      </w:r>
      <w:r>
        <w:t xml:space="preserve"> </w:t>
      </w:r>
      <w:r>
        <w:t xml:space="preserve">방법의 하나로도 소개되고 있다.</w:t>
      </w:r>
    </w:p>
    <w:p>
      <w:pPr>
        <w:pStyle w:val="Compact"/>
        <w:numPr>
          <w:numId w:val="1001"/>
          <w:ilvl w:val="0"/>
        </w:numPr>
      </w:pPr>
      <w:r>
        <w:t xml:space="preserve">약물의 적응증에 해당하는 전형적인 환자 집단에서의 적절한 약동학 정보 수집</w:t>
      </w:r>
    </w:p>
    <w:p>
      <w:pPr>
        <w:pStyle w:val="Compact"/>
        <w:numPr>
          <w:numId w:val="1001"/>
          <w:ilvl w:val="0"/>
        </w:numPr>
      </w:pPr>
      <w:r>
        <w:t xml:space="preserve">약물 개발과 평가에서 약동학적 변이 확인 및 측정</w:t>
      </w:r>
      <w:r>
        <w:t xml:space="preserve"> </w:t>
      </w:r>
      <w:r>
        <w:t xml:space="preserve">약동학에 영향을 줄 수 있는 인구 역학적, 병태생리학적, 환경적, 또는 병용약물과 관련된 요인을 규명하여 약동학적 변이 설명</w:t>
      </w:r>
    </w:p>
    <w:p>
      <w:pPr>
        <w:pStyle w:val="Compact"/>
        <w:numPr>
          <w:numId w:val="1001"/>
          <w:ilvl w:val="0"/>
        </w:numPr>
      </w:pPr>
      <w:r>
        <w:t xml:space="preserve">환자 집단에서 발생하는 변이 중 설명되지 않는 변이의 크기를 정량적으로 평가</w:t>
      </w:r>
    </w:p>
    <w:p>
      <w:pPr>
        <w:pStyle w:val="Compact"/>
        <w:numPr>
          <w:numId w:val="1001"/>
          <w:ilvl w:val="0"/>
        </w:numPr>
      </w:pPr>
      <w:r>
        <w:t xml:space="preserve">설명되지 않는 변이는 그 정도가 커지면 약물의 안전성과 유효성이 저하될 수 있으므로 중요하다. 개체간 차이뿐 아니라, 장기간 치료 시 정상상태 농도의 전형적인 변화 정도도</w:t>
      </w:r>
    </w:p>
    <w:p>
      <w:pPr>
        <w:pStyle w:val="FigureWithCaption"/>
      </w:pPr>
      <w:r>
        <w:drawing>
          <wp:inline>
            <wp:extent cx="5334000" cy="4081921"/>
            <wp:effectExtent b="0" l="0" r="0" t="0"/>
            <wp:docPr descr="그림 1 소아에서의 약동/약력학 모델링의 역할 및 고려점" title="" id="1" name="Picture"/>
            <a:graphic>
              <a:graphicData uri="http://schemas.openxmlformats.org/drawingml/2006/picture">
                <pic:pic>
                  <pic:nvPicPr>
                    <pic:cNvPr descr="assets/ms-p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그림 1 소아에서의 약동/약력학 모델링의 역할 및 고려점</w:t>
      </w:r>
    </w:p>
    <w:p>
      <w:pPr>
        <w:pStyle w:val="Heading1"/>
      </w:pPr>
      <w:bookmarkStart w:id="23" w:name="approval"/>
      <w:bookmarkEnd w:id="23"/>
      <w:r>
        <w:t xml:space="preserve">모델링과 시뮬레이션을 이용한 특수집단에서 약물 인허가 현황</w:t>
      </w:r>
    </w:p>
    <w:p>
      <w:pPr>
        <w:pStyle w:val="Heading2"/>
      </w:pPr>
      <w:bookmarkStart w:id="24" w:name="-fda---"/>
      <w:bookmarkEnd w:id="24"/>
      <w:r>
        <w:t xml:space="preserve">미국 FDA의 인허가에 사용된 예</w:t>
      </w:r>
    </w:p>
    <w:p>
      <w:pPr>
        <w:pStyle w:val="FirstParagraph"/>
      </w:pPr>
      <w:r>
        <w:t xml:space="preserve">FDA에서 모델링과 시뮬레이션을 활용한 약물의 허가 사항에서 레이블에 반영되는 예는 증가 추세에 있으며 심사에서 사용되는 경우는 더 많아서 2015년 한해에만 40여개에 이른다. (그림</w:t>
      </w:r>
      <w:r>
        <w:t xml:space="preserve"> </w:t>
      </w:r>
      <w:r>
        <w:t xml:space="preserve">3</w:t>
      </w:r>
      <w:r>
        <w:t xml:space="preserve">)</w:t>
      </w:r>
      <w:r>
        <w:t xml:space="preserve"> </w:t>
      </w:r>
      <w:r>
        <w:t xml:space="preserve">(Zhao</w:t>
      </w:r>
      <w:r>
        <w:t xml:space="preserve"> </w:t>
      </w:r>
      <w:hyperlink w:anchor="ref-drug-label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 </w:t>
      </w:r>
      <w:r>
        <w:t xml:space="preserve">2008년에서 2015년까지 FDA의 Office of Clinical Pharmacology에서는 180건의 PBPK 모델링을 사용한 심사가 이루어졌으며 PBPK를 사용한 FDA NDA 제출 현황 및 성격 분류가 제시되었다. (그림</w:t>
      </w:r>
      <w:r>
        <w:t xml:space="preserve"> </w:t>
      </w:r>
      <w:r>
        <w:t xml:space="preserve">2</w:t>
      </w:r>
      <w:r>
        <w:t xml:space="preserve">)</w:t>
      </w:r>
      <w:r>
        <w:t xml:space="preserve"> </w:t>
      </w:r>
      <w:r>
        <w:t xml:space="preserve">(Mehrotra et al.</w:t>
      </w:r>
      <w:r>
        <w:t xml:space="preserve"> </w:t>
      </w:r>
      <w:hyperlink w:anchor="ref-Mehrotra_2016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/>
      </w:r>
      <w:r>
        <w:rPr>
          <w:rStyle w:val="FootnoteReference"/>
        </w:rPr>
        <w:footnoteReference w:id="25"/>
      </w:r>
    </w:p>
    <w:p>
      <w:pPr>
        <w:pStyle w:val="FigureWithCaption"/>
      </w:pPr>
      <w:r>
        <w:drawing>
          <wp:inline>
            <wp:extent cx="3901440" cy="3822191"/>
            <wp:effectExtent b="0" l="0" r="0" t="0"/>
            <wp:docPr descr="그림 2 PBPK를 사용한 FDA NDA 제출 현황 및 성격 분류 (Mehrotra et al. 2016)" title="" id="1" name="Picture"/>
            <a:graphic>
              <a:graphicData uri="http://schemas.openxmlformats.org/drawingml/2006/picture">
                <pic:pic>
                  <pic:nvPicPr>
                    <pic:cNvPr descr="assets/fd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그림 2 PBPK를 사용한 FDA NDA 제출 현황 및 성격 분류</w:t>
      </w:r>
      <w:r>
        <w:t xml:space="preserve"> </w:t>
      </w:r>
      <w:r>
        <w:t xml:space="preserve">(Mehrotra et al.</w:t>
      </w:r>
      <w:r>
        <w:t xml:space="preserve"> </w:t>
      </w:r>
      <w:hyperlink w:anchor="ref-Mehrotra_2016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FigureWithCaption"/>
      </w:pPr>
      <w:r>
        <w:drawing>
          <wp:inline>
            <wp:extent cx="5334000" cy="3588121"/>
            <wp:effectExtent b="0" l="0" r="0" t="0"/>
            <wp:docPr descr="그림 3 2009-2015년 동안 FDA에서 PBPK에 의한 정보가 약물 레이블에 반영된 예 (Zhao 2016)" title="" id="1" name="Picture"/>
            <a:graphic>
              <a:graphicData uri="http://schemas.openxmlformats.org/drawingml/2006/picture">
                <pic:pic>
                  <pic:nvPicPr>
                    <pic:cNvPr descr="assets/drug-labe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그림 3 2009-2015년 동안 FDA에서 PBPK에 의한 정보가 약물 레이블에 반영된 예</w:t>
      </w:r>
      <w:r>
        <w:t xml:space="preserve"> </w:t>
      </w:r>
      <w:r>
        <w:t xml:space="preserve">(Zhao</w:t>
      </w:r>
      <w:r>
        <w:t xml:space="preserve"> </w:t>
      </w:r>
      <w:hyperlink w:anchor="ref-drug-label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BodyText"/>
      </w:pPr>
      <w:r>
        <w:t xml:space="preserve">66%는 약물상호작용에 대한 것이었고 나머지 34%는 소아 환자, 간장애, 신장애 등에 대한 내용으로 PBPK가 활용되었다.</w:t>
      </w:r>
    </w:p>
    <w:p>
      <w:pPr>
        <w:pStyle w:val="Heading3"/>
      </w:pPr>
      <w:bookmarkStart w:id="29" w:name="소아"/>
      <w:bookmarkEnd w:id="29"/>
      <w:r>
        <w:t xml:space="preserve">소아</w:t>
      </w:r>
    </w:p>
    <w:p>
      <w:pPr>
        <w:pStyle w:val="FirstParagraph"/>
      </w:pPr>
      <w:r>
        <w:t xml:space="preserve">FDA의 소아 환자에 대한 약물 허가에서 예가 제시 되었다. (표</w:t>
      </w:r>
      <w:r>
        <w:t xml:space="preserve"> </w:t>
      </w:r>
      <w:r>
        <w:t xml:space="preserve">1</w:t>
      </w:r>
      <w:r>
        <w:t xml:space="preserve">)</w:t>
      </w:r>
      <w:r>
        <w:t xml:space="preserve"> </w:t>
      </w:r>
      <w:r>
        <w:t xml:space="preserve">여러가지 예가 제시되었지만 소아에서 에소메프라졸을 미란성 식도염을 동반한 GERD 치료시 정맥 투여 용법을 예측하는데 사용한 예를 대표적으로 들 수 있다.</w:t>
      </w:r>
      <w:r>
        <w:t xml:space="preserve"> </w:t>
      </w:r>
      <w:r>
        <w:t xml:space="preserve">(Mehrotra et al.</w:t>
      </w:r>
      <w:r>
        <w:t xml:space="preserve"> </w:t>
      </w:r>
      <w:hyperlink w:anchor="ref-Mehrotra_2016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 </w:t>
      </w:r>
      <w:r>
        <w:t xml:space="preserve">소아용 약물의 개발에서 생리기반 약동학 모델링으로 약물을 평가하여 인허가를 결정하는 다수의 예가 보고되고 있다.</w:t>
      </w:r>
      <w:r>
        <w:t xml:space="preserve"> </w:t>
      </w:r>
      <w:r>
        <w:t xml:space="preserve">(Leong et al.</w:t>
      </w:r>
      <w:r>
        <w:t xml:space="preserve"> </w:t>
      </w:r>
      <w:hyperlink w:anchor="ref-Leong_2012">
        <w:r>
          <w:rPr>
            <w:rStyle w:val="Hyperlink"/>
          </w:rPr>
          <w:t xml:space="preserve">2012</w:t>
        </w:r>
      </w:hyperlink>
      <w:r>
        <w:t xml:space="preserve">; Mehrotra et al.</w:t>
      </w:r>
      <w:r>
        <w:t xml:space="preserve"> </w:t>
      </w:r>
      <w:hyperlink w:anchor="ref-Mehrotra_2016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BodyText"/>
      </w:pPr>
      <w:r>
        <w:t xml:space="preserve">CYP450 효소와 발달 과정의 여러 생리학적 인자를 수치화 하여 PBPK 모델링으로 용량-반응 관계를 평가가능하다.</w:t>
      </w:r>
      <w:r>
        <w:t xml:space="preserve"> </w:t>
      </w:r>
      <w:r>
        <w:t xml:space="preserve">(Leong et al.</w:t>
      </w:r>
      <w:r>
        <w:t xml:space="preserve"> </w:t>
      </w:r>
      <w:hyperlink w:anchor="ref-Leong_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네가지 약물에 대해서 각 특성을 정리하였다.</w:t>
      </w:r>
    </w:p>
    <w:p>
      <w:pPr>
        <w:pStyle w:val="TableCaption"/>
      </w:pPr>
      <w:r>
        <w:t xml:space="preserve">표 1 FDA의 특수 환자에 대한 약물 허가에서 예</w:t>
      </w:r>
    </w:p>
    <w:tbl>
      <w:tblPr>
        <w:tblStyle w:val="TableNormal"/>
        <w:tblW w:type="pct" w:w="0.0"/>
        <w:tblLook w:firstRow="1"/>
        <w:tblCaption w:val="표 1 FDA의 특수 환자에 대한 약물 허가에서 예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구분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약물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Esomeprazole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Vigabatrin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Adalimumab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Darunavir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Topiramate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Pralidoxime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Peramivir</w:t>
            </w:r>
          </w:p>
        </w:tc>
      </w:tr>
    </w:tbl>
    <w:p>
      <w:pPr>
        <w:pStyle w:val="Compact"/>
        <w:numPr>
          <w:numId w:val="1002"/>
          <w:ilvl w:val="0"/>
        </w:numPr>
      </w:pPr>
      <w:r>
        <w:t xml:space="preserve">Esomeprazole in Pediatrics for the Treatment of Gastroesophageal Reflux Disease with Erosive Esophagitis: Intravenous Dose Selection</w:t>
      </w:r>
      <w:r>
        <w:t xml:space="preserve"> </w:t>
      </w:r>
      <w:r>
        <w:t xml:space="preserve">(Mehrotra et al.</w:t>
      </w:r>
      <w:r>
        <w:t xml:space="preserve"> </w:t>
      </w:r>
      <w:hyperlink w:anchor="ref-Mehrotra_2016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Approval of Vigabatrin for Refractory Complex Partial Seizures in Pediatrics (Mehrotra, 2016, Drug Metabolism and Disposition)</w:t>
      </w:r>
    </w:p>
    <w:p>
      <w:pPr>
        <w:pStyle w:val="Compact"/>
        <w:numPr>
          <w:numId w:val="1002"/>
          <w:ilvl w:val="0"/>
        </w:numPr>
      </w:pPr>
      <w:r>
        <w:t xml:space="preserve">Adalimumab: Crohn’s Disease in Children: Dose Selection (Mehrotra, 2016, Drug Metabolism and Disposition)</w:t>
      </w:r>
    </w:p>
    <w:p>
      <w:pPr>
        <w:pStyle w:val="Compact"/>
        <w:numPr>
          <w:numId w:val="1002"/>
          <w:ilvl w:val="0"/>
        </w:numPr>
      </w:pPr>
      <w:r>
        <w:t xml:space="preserve">Darunavir : Exposure-Response and PK Matching to Bridge Dosing for Different Patient Populations in Pediatrics for the Treatment of Human Immunodeficiency Virus (Mehrotra, 2016, Drug Metabolism and Disposition)</w:t>
      </w:r>
    </w:p>
    <w:p>
      <w:pPr>
        <w:pStyle w:val="Compact"/>
        <w:numPr>
          <w:numId w:val="1002"/>
          <w:ilvl w:val="0"/>
        </w:numPr>
      </w:pPr>
      <w:r>
        <w:t xml:space="preserve">Topiramate: Topiramate Dosing Regimen was Derived by Matching Steady State Trough Concentrations (CMIN) for Different Age Groups</w:t>
      </w:r>
    </w:p>
    <w:p>
      <w:pPr>
        <w:pStyle w:val="Compact"/>
        <w:numPr>
          <w:numId w:val="1002"/>
          <w:ilvl w:val="0"/>
        </w:numPr>
      </w:pPr>
      <w:r>
        <w:t xml:space="preserve">Pralidoxime: Derived and recommended Pediatric Dosing Recommendations without any empirical data</w:t>
      </w:r>
    </w:p>
    <w:p>
      <w:pPr>
        <w:pStyle w:val="Compact"/>
        <w:numPr>
          <w:numId w:val="1002"/>
          <w:ilvl w:val="0"/>
        </w:numPr>
      </w:pPr>
      <w:r>
        <w:t xml:space="preserve">Peramivir: Derived and recommended Pediatric Dosing Recommendations without any empirical data</w:t>
      </w:r>
    </w:p>
    <w:p>
      <w:pPr>
        <w:pStyle w:val="Heading3"/>
      </w:pPr>
      <w:bookmarkStart w:id="30" w:name="임산부"/>
      <w:bookmarkEnd w:id="30"/>
      <w:r>
        <w:t xml:space="preserve">임산부</w:t>
      </w:r>
    </w:p>
    <w:p>
      <w:pPr>
        <w:pStyle w:val="FirstParagraph"/>
      </w:pPr>
      <w:r>
        <w:t xml:space="preserve">임산부를 대상으로 한 임상시험은 극도로 수행하기 힘들거나 불가능하기 때문에 대부분의 약물이 경험적으로 사용되거나 근거없이 사용되고 있다. 용량 뿐만아니라 모체-태아 약동학 및 효력에 대한 종합적인 고려를 위해서는 모델링과 시뮬레이션이 반드시 사용되어야 한다. FDA에서 임산부에서의 PBPK를 활용한 약물의 인허가 관련 내용은 다음 문헌에서 발표되었다.</w:t>
      </w:r>
    </w:p>
    <w:p>
      <w:pPr>
        <w:pStyle w:val="Compact"/>
        <w:numPr>
          <w:numId w:val="1003"/>
          <w:ilvl w:val="0"/>
        </w:numPr>
      </w:pPr>
      <w:r>
        <w:t xml:space="preserve">Ke AB, Nallani S, Zhao P, et al. A PBPK Model to Predict Disposition of CYP3A-metabolized Drugs in Pregnant Women: Verification and Discerning the Site of CYP3A Induction. Clin Pharmcol Ther: Pharmacometrics &amp; Systems Pharmacology, 2012</w:t>
      </w:r>
      <w:r>
        <w:t xml:space="preserve"> </w:t>
      </w:r>
      <w:r>
        <w:t xml:space="preserve">(Ke et al.</w:t>
      </w:r>
      <w:r>
        <w:t xml:space="preserve"> </w:t>
      </w:r>
      <w:hyperlink w:anchor="ref-Ke_2012">
        <w:r>
          <w:rPr>
            <w:rStyle w:val="Hyperlink"/>
          </w:rPr>
          <w:t xml:space="preserve">2012</w:t>
        </w:r>
      </w:hyperlink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Ke AB, Nallani SC, Zhao P, Rostami-Hodjegan A, Isoherranen N, Unadkat JD. A Physiologically Based Pharmacokinetic Model to Predict Disposition of CYP2D6 and CYP1A2 Metabolized Drugs in Pregnant Women. Drug Metab Dispos. 41:801-13. 2013</w:t>
      </w:r>
      <w:r>
        <w:t xml:space="preserve"> </w:t>
      </w:r>
      <w:r>
        <w:t xml:space="preserve">(Ke et al.</w:t>
      </w:r>
      <w:r>
        <w:t xml:space="preserve"> </w:t>
      </w:r>
      <w:hyperlink w:anchor="ref-Ke_2013">
        <w:r>
          <w:rPr>
            <w:rStyle w:val="Hyperlink"/>
          </w:rPr>
          <w:t xml:space="preserve">2013</w:t>
        </w:r>
      </w:hyperlink>
      <w:r>
        <w:t xml:space="preserve">)</w:t>
      </w:r>
    </w:p>
    <w:p>
      <w:pPr>
        <w:pStyle w:val="FigureWithCaption"/>
      </w:pPr>
      <w:r>
        <w:drawing>
          <wp:inline>
            <wp:extent cx="1216152" cy="551688"/>
            <wp:effectExtent b="0" l="0" r="0" t="0"/>
            <wp:docPr descr="그림 4 임산부에서 미다졸람과 니페디핀의 임신 중(T3)과 출산 후(PP)의 농도-시간 곡선의 차이. (Ke et al. 2012)" title="" id="1" name="Picture"/>
            <a:graphic>
              <a:graphicData uri="http://schemas.openxmlformats.org/drawingml/2006/picture">
                <pic:pic>
                  <pic:nvPicPr>
                    <pic:cNvPr descr="assets/pregnan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152" cy="55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그림 4 임산부에서 미다졸람과 니페디핀의 임신 중(T3)과 출산 후(PP)의 농도-시간 곡선의 차이.</w:t>
      </w:r>
      <w:r>
        <w:t xml:space="preserve"> </w:t>
      </w:r>
      <w:r>
        <w:t xml:space="preserve">(Ke et al.</w:t>
      </w:r>
      <w:r>
        <w:t xml:space="preserve"> </w:t>
      </w:r>
      <w:hyperlink w:anchor="ref-Ke_2012">
        <w:r>
          <w:rPr>
            <w:rStyle w:val="Hyperlink"/>
          </w:rPr>
          <w:t xml:space="preserve">2012</w:t>
        </w:r>
      </w:hyperlink>
      <w:r>
        <w:t xml:space="preserve">)</w:t>
      </w:r>
    </w:p>
    <w:p>
      <w:pPr>
        <w:pStyle w:val="BodyText"/>
      </w:pPr>
      <w:r>
        <w:t xml:space="preserve">임산부에서 CYP3A에 의해 대사되는 약물들인 미다졸람과 니페디핀의 임신 중(T3)과 출산 후(PP)의 농도-시간 곡선의 차이가 나타났으며 이에 따라 임신 중에 투여되어야 하는 약물 용량을 적절히 조정할 수 있다.</w:t>
      </w:r>
      <w:r>
        <w:t xml:space="preserve"> </w:t>
      </w:r>
      <w:r>
        <w:t xml:space="preserve">(Ke et al.</w:t>
      </w:r>
      <w:r>
        <w:t xml:space="preserve"> </w:t>
      </w:r>
      <w:hyperlink w:anchor="ref-Ke_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또한 CYP2D6, CYP1A2에 의해 대사되는 약물들에 대한 문헌도 출판되어 있다.</w:t>
      </w:r>
      <w:r>
        <w:t xml:space="preserve"> </w:t>
      </w:r>
      <w:r>
        <w:t xml:space="preserve">(Ke et al.</w:t>
      </w:r>
      <w:r>
        <w:t xml:space="preserve"> </w:t>
      </w:r>
      <w:hyperlink w:anchor="ref-Ke_2013">
        <w:r>
          <w:rPr>
            <w:rStyle w:val="Hyperlink"/>
          </w:rPr>
          <w:t xml:space="preserve">2013</w:t>
        </w:r>
      </w:hyperlink>
      <w:r>
        <w:t xml:space="preserve">)</w:t>
      </w:r>
    </w:p>
    <w:p>
      <w:pPr>
        <w:pStyle w:val="Heading3"/>
      </w:pPr>
      <w:bookmarkStart w:id="32" w:name="-"/>
      <w:bookmarkEnd w:id="32"/>
      <w:r>
        <w:t xml:space="preserve">간장애, 신장애</w:t>
      </w:r>
    </w:p>
    <w:p>
      <w:pPr>
        <w:pStyle w:val="FirstParagraph"/>
      </w:pPr>
      <w:r>
        <w:t xml:space="preserve">간장애, 신장애에서의 PBPK 모델링 사용 예가 다음 문헌에서 찾을 수 있다.</w:t>
      </w:r>
    </w:p>
    <w:p>
      <w:pPr>
        <w:pStyle w:val="Compact"/>
        <w:numPr>
          <w:numId w:val="1004"/>
          <w:ilvl w:val="0"/>
        </w:numPr>
      </w:pPr>
      <w:r>
        <w:t xml:space="preserve">Grillo JA, Zhao P, Bullock J, et al, Utility of a physiologically–based pharmacokinetic (PBPK) modeling approach to quantitatively predict a complex drug–drug–disease interaction scenario for rivaroxaban during the drug review process: implications for clinical practice, Biopharm Drug Dispo, 2012</w:t>
      </w:r>
    </w:p>
    <w:p>
      <w:pPr>
        <w:pStyle w:val="Compact"/>
        <w:numPr>
          <w:numId w:val="1004"/>
          <w:ilvl w:val="0"/>
        </w:numPr>
      </w:pPr>
      <w:r>
        <w:t xml:space="preserve">Zhao P, de LT Vierira M, Grillo J, et al, Evaluation of Exposure Change of Non-renally Eliminated Drugs in Patients with Chronic Kidney Disease Using Physiologically-based Pharmacokinetic Modeling and Simulation. J Clin Pharmacol, 2012</w:t>
      </w:r>
    </w:p>
    <w:p>
      <w:pPr>
        <w:pStyle w:val="Heading2"/>
      </w:pPr>
      <w:bookmarkStart w:id="33" w:name="-emea---"/>
      <w:bookmarkEnd w:id="33"/>
      <w:r>
        <w:t xml:space="preserve">유럽 EMEA의 인허가에서 사용된 예</w:t>
      </w:r>
    </w:p>
    <w:p>
      <w:pPr>
        <w:pStyle w:val="FirstParagraph"/>
      </w:pPr>
      <w:r>
        <w:t xml:space="preserve">2013년에 설립된 MSWG은 EMEA 내외의 다수의 계량약리학자들로 구성되어 있어 모델링과 시뮬레이션을 사용한 심사의뢰에 대해 분석 및 평가를 수행한다.</w:t>
      </w:r>
      <w:r>
        <w:t xml:space="preserve"> </w:t>
      </w:r>
      <w:r>
        <w:t xml:space="preserve">2015년 EMEA MSWG (Modeling and Simulation Working Group)에 의뢰된 관련 업무의 사례 수 (그림</w:t>
      </w:r>
      <w:r>
        <w:t xml:space="preserve"> </w:t>
      </w:r>
      <w:r>
        <w:t xml:space="preserve">5</w:t>
      </w:r>
      <w:r>
        <w:t xml:space="preserve">)가 공개되어 있으며, 의뢰된 모델링과 시뮬레이션 관련 업무에서 가장 많은 비중을 차지하는 것은 소아에서 용량 결정하는 것(53%, paediatric dose finding extrapolation) 이었다.</w:t>
      </w:r>
    </w:p>
    <w:p>
      <w:pPr>
        <w:pStyle w:val="BodyText"/>
      </w:pPr>
      <w:r>
        <w:drawing>
          <wp:inline>
            <wp:extent cx="5334000" cy="3110106"/>
            <wp:effectExtent b="0" l="0" r="0" t="0"/>
            <wp:docPr descr="그림 5 2015년 EMEA MSWG (Modeling and Simulation Working Group)에 의뢰된 관련 업무의 사례 수. Reference: http://www.ema.europa.eu/docs/en_GB/document_library/Report/2017/03/WC500222778.pdf" title="" id="1" name="Picture"/>
            <a:graphic>
              <a:graphicData uri="http://schemas.openxmlformats.org/drawingml/2006/picture">
                <pic:pic>
                  <pic:nvPicPr>
                    <pic:cNvPr descr="assets/em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5" w:name="-pmda---"/>
      <w:bookmarkEnd w:id="35"/>
      <w:r>
        <w:t xml:space="preserve">일본 PMDA의 인허가에서 사용된 예</w:t>
      </w:r>
    </w:p>
    <w:p>
      <w:pPr>
        <w:pStyle w:val="FirstParagraph"/>
      </w:pPr>
      <w:r>
        <w:t xml:space="preserve">2016년 10월부터 일본의 PMDA는 전자 문서로 NDA를 받기 시작하였다.</w:t>
      </w:r>
      <w:r>
        <w:t xml:space="preserve"> </w:t>
      </w:r>
      <w:r>
        <w:t xml:space="preserve">이를 통하여 모델링과 시뮬레이션이 포함된 NDA에 대한 정보를 조회하는 것이 보다 용이해 졌으며 Sato 등은 이를 요약하여 논문으로 제시하였다.</w:t>
      </w:r>
      <w:r>
        <w:t xml:space="preserve"> </w:t>
      </w:r>
      <w:r>
        <w:t xml:space="preserve">(Sato et al.</w:t>
      </w:r>
      <w:r>
        <w:t xml:space="preserve"> </w:t>
      </w:r>
      <w:hyperlink w:anchor="ref-Sato_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 </w:t>
      </w:r>
      <w:r>
        <w:t xml:space="preserve">2014년에서 2016년까지 PBPK를 사용한 17개의 NDA가 PMDA에 제출되었다. (그림</w:t>
      </w:r>
      <w:r>
        <w:t xml:space="preserve"> </w:t>
      </w:r>
      <w:r>
        <w:t xml:space="preserve">6</w:t>
      </w:r>
      <w:r>
        <w:t xml:space="preserve">)</w:t>
      </w:r>
    </w:p>
    <w:p>
      <w:pPr>
        <w:pStyle w:val="FigureWithCaption"/>
      </w:pPr>
      <w:r>
        <w:drawing>
          <wp:inline>
            <wp:extent cx="2933700" cy="1876425"/>
            <wp:effectExtent b="0" l="0" r="0" t="0"/>
            <wp:docPr descr="그림 6 PBPK가 사용되어 작성된 17개 약물 NDA의 분류 (Sato et al. 2017)" title="" id="1" name="Picture"/>
            <a:graphic>
              <a:graphicData uri="http://schemas.openxmlformats.org/drawingml/2006/picture">
                <pic:pic>
                  <pic:nvPicPr>
                    <pic:cNvPr descr="assets/japa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그림 6 PBPK가 사용되어 작성된 17개 약물 NDA의 분류</w:t>
      </w:r>
      <w:r>
        <w:t xml:space="preserve"> </w:t>
      </w:r>
      <w:r>
        <w:t xml:space="preserve">(Sato et al.</w:t>
      </w:r>
      <w:r>
        <w:t xml:space="preserve"> </w:t>
      </w:r>
      <w:hyperlink w:anchor="ref-Sato_2017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pStyle w:val="Heading1"/>
      </w:pPr>
      <w:bookmarkStart w:id="37" w:name="regulation"/>
      <w:bookmarkEnd w:id="37"/>
      <w:r>
        <w:t xml:space="preserve">모델링과 시뮬레이션 관련 규정</w:t>
      </w:r>
    </w:p>
    <w:p>
      <w:pPr>
        <w:pStyle w:val="FirstParagraph"/>
      </w:pPr>
      <w:r>
        <w:t xml:space="preserve">제약 산업 종사자와 규제기관은 특수집단에서의 안전성 및 유효성 분석 등에 있어 모델링과 시뮬레이션 혹은 집단 약동학/약력학의 활용에 대해 오랜 기간 동안 관심을 가져왔다.</w:t>
      </w:r>
      <w:r>
        <w:t xml:space="preserve"> </w:t>
      </w:r>
      <w:r>
        <w:t xml:space="preserve">(의약품심사부 종양약품과</w:t>
      </w:r>
      <w:r>
        <w:t xml:space="preserve"> </w:t>
      </w:r>
      <w:hyperlink w:anchor="ref-kfda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 </w:t>
      </w:r>
      <w:r>
        <w:t xml:space="preserve">이러한 관심을 바탕으로 다양한 가이드라인이 존재하지만 가장 대표적으로 International Conference on Harmonisation (ICH)는 다음의 가이드라인에서 모델링과 시뮬레이션에 대해 다루고 있다.</w:t>
      </w:r>
    </w:p>
    <w:p>
      <w:pPr>
        <w:pStyle w:val="Compact"/>
        <w:numPr>
          <w:numId w:val="1005"/>
          <w:ilvl w:val="0"/>
        </w:numPr>
      </w:pPr>
      <w:r>
        <w:t xml:space="preserve">International Conference on Harmonisation (ICH) guidance:</w:t>
      </w:r>
      <w:r>
        <w:t xml:space="preserve"> </w:t>
      </w:r>
      <w:r>
        <w:t xml:space="preserve">E4 Dose-Response Information to Support Drug Registration</w:t>
      </w:r>
      <w:r>
        <w:t xml:space="preserve"> </w:t>
      </w:r>
      <w:r>
        <w:t xml:space="preserve">(ICH</w:t>
      </w:r>
      <w:r>
        <w:t xml:space="preserve"> </w:t>
      </w:r>
      <w:hyperlink w:anchor="ref-E4">
        <w:r>
          <w:rPr>
            <w:rStyle w:val="Hyperlink"/>
          </w:rPr>
          <w:t xml:space="preserve">1994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E7 Studies in Support of Special Populations: Geriatrics</w:t>
      </w:r>
      <w:r>
        <w:t xml:space="preserve"> </w:t>
      </w:r>
      <w:r>
        <w:t xml:space="preserve">(ICH</w:t>
      </w:r>
      <w:r>
        <w:t xml:space="preserve"> </w:t>
      </w:r>
      <w:hyperlink w:anchor="ref-E7">
        <w:r>
          <w:rPr>
            <w:rStyle w:val="Hyperlink"/>
          </w:rPr>
          <w:t xml:space="preserve">1993</w:t>
        </w:r>
      </w:hyperlink>
      <w:r>
        <w:t xml:space="preserve">)</w:t>
      </w:r>
    </w:p>
    <w:p>
      <w:pPr>
        <w:pStyle w:val="FirstParagraph"/>
      </w:pPr>
      <w:r>
        <w:t xml:space="preserve">이러한 가이드라인들은 약물 개발에 있어 약동학 평가의 일부로서 집단 약동학 접근법 (population pharmacokinetic approach)과 같은 특별한 자료 수집과 분석 기법을 약동학 평가에 사용 하는 근거를 제공한다.</w:t>
      </w:r>
      <w:r>
        <w:t xml:space="preserve"> </w:t>
      </w:r>
      <w:r>
        <w:t xml:space="preserve">아울러 전 세계적으로 모델링과 시뮬레이션으로 얻어진 정보를 규제기관에서 적절히 활용하기 위해서 미국 FDA, 유럽의 EMA, 일본의 PMDA와 캐나다의 Health Canada는 정기적으로 원격회의, 혹은 미팅을 통해 의견과 정보를 교환하고 있으며</w:t>
      </w:r>
      <w:r>
        <w:t xml:space="preserve"> </w:t>
      </w:r>
      <w:r>
        <w:t xml:space="preserve">(Sato et al.</w:t>
      </w:r>
      <w:r>
        <w:t xml:space="preserve"> </w:t>
      </w:r>
      <w:hyperlink w:anchor="ref-Sato_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, 각국의 사정에 맞춘 독자적인 가이드라인도 활발히 제시하고 있다.</w:t>
      </w:r>
    </w:p>
    <w:p>
      <w:pPr>
        <w:pStyle w:val="Heading2"/>
      </w:pPr>
      <w:bookmarkStart w:id="38" w:name="-fda--"/>
      <w:bookmarkEnd w:id="38"/>
      <w:r>
        <w:t xml:space="preserve">미국 FDA의 관련 규정</w:t>
      </w:r>
    </w:p>
    <w:p>
      <w:pPr>
        <w:pStyle w:val="FirstParagraph"/>
      </w:pPr>
      <w:r>
        <w:t xml:space="preserve">FDA는 독자적으로 계량약리학 파트를 운영하고 있으며 이를 약물 심사에 적극 활용하고 있다.</w:t>
      </w:r>
      <w:r>
        <w:t xml:space="preserve"> </w:t>
      </w:r>
      <w:r>
        <w:t xml:space="preserve">활발히 가이드라인을 출판하고 있다. (표</w:t>
      </w:r>
      <w:r>
        <w:t xml:space="preserve"> </w:t>
      </w:r>
      <w:r>
        <w:t xml:space="preserve">2</w:t>
      </w:r>
      <w:r>
        <w:t xml:space="preserve">)</w:t>
      </w:r>
    </w:p>
    <w:p>
      <w:pPr>
        <w:pStyle w:val="TableCaption"/>
      </w:pPr>
      <w:r>
        <w:t xml:space="preserve">표 2 미국 FDA의 모델링/시뮬레이션 관련 지침 (guidance)</w:t>
      </w:r>
    </w:p>
    <w:tbl>
      <w:tblPr>
        <w:tblStyle w:val="TableNormal"/>
        <w:tblW w:type="pct" w:w="0.0"/>
        <w:tblLook w:firstRow="1"/>
        <w:tblCaption w:val="표 2 미국 FDA의 모델링/시뮬레이션 관련 지침 (guidance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년도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관련규정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General Clinical Pharmacology Considerations for Pediatric Studies for Drugs and Biological Products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Physiologically Based Pharmacokinetic Analyses-Format and Content Guidance for Industry.</w:t>
            </w:r>
          </w:p>
        </w:tc>
      </w:tr>
    </w:tbl>
    <w:p>
      <w:pPr>
        <w:pStyle w:val="BodyText"/>
      </w:pPr>
      <w:r>
        <w:t xml:space="preserve">FDA에서 발행하는 임상 2A상 후 미팅에서 특수집단의 약동학과 약력학에 대한 본격적인 고려를 하게 된다.</w:t>
      </w:r>
      <w:r>
        <w:t xml:space="preserve"> </w:t>
      </w:r>
      <w:r>
        <w:t xml:space="preserve">(FDA</w:t>
      </w:r>
      <w:r>
        <w:t xml:space="preserve"> </w:t>
      </w:r>
      <w:hyperlink w:anchor="ref-fda2a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 </w:t>
      </w:r>
      <w:r>
        <w:t xml:space="preserve">특히 소아에서의 약물 사용에 관한 인허가 규정에는 모델링과 시뮬레이션에 대한 내용이 빠짐없이 들어가 있다. (표</w:t>
      </w:r>
      <w:r>
        <w:t xml:space="preserve"> </w:t>
      </w:r>
      <w:r>
        <w:t xml:space="preserve">3</w:t>
      </w:r>
      <w:r>
        <w:t xml:space="preserve">)</w:t>
      </w:r>
    </w:p>
    <w:p>
      <w:pPr>
        <w:pStyle w:val="TableCaption"/>
      </w:pPr>
      <w:r>
        <w:t xml:space="preserve">표 3 미국 FDA의 소아 관련 약물 인허가 규정</w:t>
      </w:r>
    </w:p>
    <w:tbl>
      <w:tblPr>
        <w:tblStyle w:val="TableNormal"/>
        <w:tblW w:type="pct" w:w="0.0"/>
        <w:tblLook w:firstRow="1"/>
        <w:tblCaption w:val="표 3 미국 FDA의 소아 관련 약물 인허가 규정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년도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관련규정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Pediatric Labeling Rule(Extrapolation Introduced)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FDA Modernization Act (FDAMA) (Pediatric Exclusivity</w:t>
            </w:r>
            <w:r>
              <w:t xml:space="preserve"> </w:t>
            </w:r>
            <w:r>
              <w:t xml:space="preserve"> </w:t>
            </w:r>
            <w:r>
              <w:t xml:space="preserve">incentive)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Best Pharmaceuticals for Children Act(BPCA) (incentive)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Pediatric Research Equity Act(PREA) (requirement)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FDA Amendments Act(FDAAA) (reauthorized BPCA &amp; PREA)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FDA Safety &amp; Innovation Act(FDASIA) (Permanently reauthorizes BPCA &amp; PREA)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General Clinical Pharmacology Considerations for Pediatric Studies for Drugs and Biological Products</w:t>
            </w:r>
          </w:p>
        </w:tc>
      </w:tr>
    </w:tbl>
    <w:p>
      <w:pPr>
        <w:pStyle w:val="Heading2"/>
      </w:pPr>
      <w:bookmarkStart w:id="39" w:name="-ema--"/>
      <w:bookmarkEnd w:id="39"/>
      <w:r>
        <w:t xml:space="preserve">유럽 EMA의 관련 규정</w:t>
      </w:r>
    </w:p>
    <w:p>
      <w:pPr>
        <w:pStyle w:val="FirstParagraph"/>
      </w:pPr>
      <w:r>
        <w:t xml:space="preserve">EMEA도 모델링과 시뮬레이션에 대한 가이드라인을 활발히 제시하고 있다.</w:t>
      </w:r>
      <w:r>
        <w:t xml:space="preserve"> </w:t>
      </w:r>
      <w:r>
        <w:t xml:space="preserve">(EMEA</w:t>
      </w:r>
      <w:r>
        <w:t xml:space="preserve"> </w:t>
      </w:r>
      <w:hyperlink w:anchor="ref-extrapol">
        <w:r>
          <w:rPr>
            <w:rStyle w:val="Hyperlink"/>
          </w:rPr>
          <w:t xml:space="preserve">2016</w:t>
        </w:r>
      </w:hyperlink>
      <w:hyperlink w:anchor="ref-extrapol">
        <w:r>
          <w:rPr>
            <w:rStyle w:val="Hyperlink"/>
          </w:rPr>
          <w:t xml:space="preserve">b</w:t>
        </w:r>
      </w:hyperlink>
      <w:r>
        <w:t xml:space="preserve">; EMEA</w:t>
      </w:r>
      <w:r>
        <w:t xml:space="preserve"> </w:t>
      </w:r>
      <w:hyperlink w:anchor="ref-pbpk">
        <w:r>
          <w:rPr>
            <w:rStyle w:val="Hyperlink"/>
          </w:rPr>
          <w:t xml:space="preserve">2016</w:t>
        </w:r>
      </w:hyperlink>
      <w:hyperlink w:anchor="ref-pbpk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 </w:t>
      </w:r>
      <w:r>
        <w:t xml:space="preserve">외삽을 통한 방법도 전통적으로 많이 사용되어 왔으나 현재 EMEA에서는 존재하는 자료를 분석하고 합성하여 모델링과 시뮬레이션 하는 것을 권장하고 있다.</w:t>
      </w:r>
      <w:r>
        <w:t xml:space="preserve"> </w:t>
      </w:r>
      <w:r>
        <w:t xml:space="preserve">(EMEA</w:t>
      </w:r>
      <w:r>
        <w:t xml:space="preserve"> </w:t>
      </w:r>
      <w:hyperlink w:anchor="ref-extrapol">
        <w:r>
          <w:rPr>
            <w:rStyle w:val="Hyperlink"/>
          </w:rPr>
          <w:t xml:space="preserve">2016</w:t>
        </w:r>
      </w:hyperlink>
      <w:hyperlink w:anchor="ref-extrapol">
        <w:r>
          <w:rPr>
            <w:rStyle w:val="Hyperlink"/>
          </w:rPr>
          <w:t xml:space="preserve">b</w:t>
        </w:r>
      </w:hyperlink>
      <w:r>
        <w:t xml:space="preserve">)</w:t>
      </w:r>
    </w:p>
    <w:p>
      <w:pPr>
        <w:pStyle w:val="BodyText"/>
      </w:pPr>
      <w:r>
        <w:t xml:space="preserve">소아에서 PBPK</w:t>
      </w:r>
      <w:r>
        <w:t xml:space="preserve"> </w:t>
      </w:r>
      <w:r>
        <w:t xml:space="preserve">(EMEA</w:t>
      </w:r>
      <w:r>
        <w:t xml:space="preserve"> </w:t>
      </w:r>
      <w:hyperlink w:anchor="ref-pbpk">
        <w:r>
          <w:rPr>
            <w:rStyle w:val="Hyperlink"/>
          </w:rPr>
          <w:t xml:space="preserve">2016</w:t>
        </w:r>
      </w:hyperlink>
      <w:hyperlink w:anchor="ref-pbpk">
        <w:r>
          <w:rPr>
            <w:rStyle w:val="Hyperlink"/>
          </w:rPr>
          <w:t xml:space="preserve">a</w:t>
        </w:r>
      </w:hyperlink>
      <w:r>
        <w:t xml:space="preserve">)</w:t>
      </w:r>
    </w:p>
    <w:p>
      <w:pPr>
        <w:pStyle w:val="TableCaption"/>
      </w:pPr>
      <w:r>
        <w:t xml:space="preserve">표 4 유럽 EMA의 모델링과 시뮬레이션 가이드라인</w:t>
      </w:r>
    </w:p>
    <w:tbl>
      <w:tblPr>
        <w:tblStyle w:val="TableNormal"/>
        <w:tblW w:type="pct" w:w="0.0"/>
        <w:tblLook w:firstRow="1"/>
        <w:tblCaption w:val="표 4 유럽 EMA의 모델링과 시뮬레이션 가이드라인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년도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가이드라인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Reflection Paper on Extrapolation of Efficacy and Safety in Paediatric Medicine Development.</w:t>
            </w:r>
            <w:r>
              <w:t xml:space="preserve"> </w:t>
            </w:r>
            <w:r>
              <w:t xml:space="preserve">(EMEA</w:t>
            </w:r>
            <w:r>
              <w:t xml:space="preserve"> </w:t>
            </w:r>
            <w:hyperlink w:anchor="ref-extrapol">
              <w:r>
                <w:rPr>
                  <w:rStyle w:val="Hyperlink"/>
                </w:rPr>
                <w:t xml:space="preserve">2016</w:t>
              </w:r>
            </w:hyperlink>
            <w:hyperlink w:anchor="ref-extrapol">
              <w:r>
                <w:rPr>
                  <w:rStyle w:val="Hyperlink"/>
                </w:rPr>
                <w:t xml:space="preserve">b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Guideline on the Qualification and Reporting of Physiologically Based Pharmacokinetic (PBPK) Modelling and Simulation.</w:t>
            </w:r>
            <w:r>
              <w:t xml:space="preserve"> </w:t>
            </w:r>
            <w:r>
              <w:t xml:space="preserve">(EMEA</w:t>
            </w:r>
            <w:r>
              <w:t xml:space="preserve"> </w:t>
            </w:r>
            <w:hyperlink w:anchor="ref-pbpk">
              <w:r>
                <w:rPr>
                  <w:rStyle w:val="Hyperlink"/>
                </w:rPr>
                <w:t xml:space="preserve">2016</w:t>
              </w:r>
            </w:hyperlink>
            <w:hyperlink w:anchor="ref-pbpk">
              <w:r>
                <w:rPr>
                  <w:rStyle w:val="Hyperlink"/>
                </w:rPr>
                <w:t xml:space="preserve">a</w:t>
              </w:r>
            </w:hyperlink>
            <w:r>
              <w:t xml:space="preserve">)</w:t>
            </w:r>
          </w:p>
        </w:tc>
      </w:tr>
    </w:tbl>
    <w:p>
      <w:pPr>
        <w:pStyle w:val="Heading2"/>
      </w:pPr>
      <w:bookmarkStart w:id="40" w:name="-pmda--"/>
      <w:bookmarkEnd w:id="40"/>
      <w:r>
        <w:t xml:space="preserve">일본 PMDA의 관련 규정</w:t>
      </w:r>
    </w:p>
    <w:p>
      <w:pPr>
        <w:pStyle w:val="FirstParagraph"/>
      </w:pPr>
      <w:r>
        <w:t xml:space="preserve">아직 일본에서는 공식적으로 모델링에 대한 가이드라인이 출판되지 않은 상태이지만 초안(draft) 형태가 곧 공개 예정이다.</w:t>
      </w:r>
      <w:r>
        <w:t xml:space="preserve"> </w:t>
      </w:r>
      <w:r>
        <w:t xml:space="preserve">(Sato et al.</w:t>
      </w:r>
      <w:r>
        <w:t xml:space="preserve"> </w:t>
      </w:r>
      <w:hyperlink w:anchor="ref-Sato_2017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pStyle w:val="Heading1"/>
      </w:pPr>
      <w:bookmarkStart w:id="41" w:name="참고문헌"/>
      <w:bookmarkEnd w:id="41"/>
      <w:r>
        <w:t xml:space="preserve">참고문헌</w:t>
      </w:r>
    </w:p>
    <w:p>
      <w:pPr>
        <w:pStyle w:val="Bibliography"/>
      </w:pPr>
      <w:r>
        <w:t xml:space="preserve">EMEA. 2016a.</w:t>
      </w:r>
      <w:r>
        <w:t xml:space="preserve"> </w:t>
      </w:r>
      <w:r>
        <w:rPr>
          <w:i/>
        </w:rPr>
        <w:t xml:space="preserve">Guideline on the Qualification and Reporting of Physiologically Based Pharmacokinetic (Pbpk) Modelling and Simulation</w:t>
      </w:r>
      <w:r>
        <w:t xml:space="preserve">. Vienna, Austria: EMEA.</w:t>
      </w:r>
      <w:r>
        <w:t xml:space="preserve"> </w:t>
      </w:r>
      <w:hyperlink r:id="rId42">
        <w:r>
          <w:rPr>
            <w:rStyle w:val="Hyperlink"/>
          </w:rPr>
          <w:t xml:space="preserve">http://www.ema.europa.eu/docs/en_GB/document_library/Scientific_guideline/2016/07/WC500211315.pdf</w:t>
        </w:r>
      </w:hyperlink>
      <w:r>
        <w:t xml:space="preserve">.</w:t>
      </w:r>
    </w:p>
    <w:p>
      <w:pPr>
        <w:pStyle w:val="Bibliography"/>
      </w:pPr>
      <w:r>
        <w:t xml:space="preserve">———. 2016b.</w:t>
      </w:r>
      <w:r>
        <w:t xml:space="preserve"> </w:t>
      </w:r>
      <w:r>
        <w:rPr>
          <w:i/>
        </w:rPr>
        <w:t xml:space="preserve">Reflection Paper on Extrapolation of Efficacy and Safety in Paediatric Medicine Development</w:t>
      </w:r>
      <w:r>
        <w:t xml:space="preserve">. Vienna, Austria: EMEA.</w:t>
      </w:r>
      <w:r>
        <w:t xml:space="preserve"> </w:t>
      </w:r>
      <w:hyperlink r:id="rId43">
        <w:r>
          <w:rPr>
            <w:rStyle w:val="Hyperlink"/>
          </w:rPr>
          <w:t xml:space="preserve">http://www.ema.europa.eu/docs/en_GB/document_library/Regulatory_and_procedural_guideline/2016/04/WC500204187.pdf</w:t>
        </w:r>
      </w:hyperlink>
      <w:r>
        <w:t xml:space="preserve">.</w:t>
      </w:r>
    </w:p>
    <w:p>
      <w:pPr>
        <w:pStyle w:val="Bibliography"/>
      </w:pPr>
      <w:r>
        <w:t xml:space="preserve">FDA. 2009.</w:t>
      </w:r>
      <w:r>
        <w:t xml:space="preserve"> </w:t>
      </w:r>
      <w:r>
        <w:rPr>
          <w:i/>
        </w:rPr>
        <w:t xml:space="preserve">Guidance for Industry End-of-Phase 2a Meetings</w:t>
      </w:r>
      <w:r>
        <w:t xml:space="preserve">. Maryland, US: U.S. Department of Health; Human Services Food; Drug Administration.</w:t>
      </w:r>
      <w:r>
        <w:t xml:space="preserve"> </w:t>
      </w:r>
      <w:hyperlink r:id="rId44">
        <w:r>
          <w:rPr>
            <w:rStyle w:val="Hyperlink"/>
          </w:rPr>
          <w:t xml:space="preserve">https://www.fda.gov/downloads/Drugs/.../Guidances/ucm079690.pdf</w:t>
        </w:r>
      </w:hyperlink>
      <w:r>
        <w:t xml:space="preserve">.</w:t>
      </w:r>
    </w:p>
    <w:p>
      <w:pPr>
        <w:pStyle w:val="Bibliography"/>
      </w:pPr>
      <w:r>
        <w:t xml:space="preserve">———. 2014.</w:t>
      </w:r>
      <w:r>
        <w:t xml:space="preserve"> </w:t>
      </w:r>
      <w:r>
        <w:rPr>
          <w:i/>
        </w:rPr>
        <w:t xml:space="preserve">Guidance for Industry: General Clinical Pharmacology Considerations for Pediatric Studies for Drugs and Biological Products</w:t>
      </w:r>
      <w:r>
        <w:t xml:space="preserve">. Maryland, US: U.S. Department of Health; Human Services Food; Drug Administration.</w:t>
      </w:r>
    </w:p>
    <w:p>
      <w:pPr>
        <w:pStyle w:val="Bibliography"/>
      </w:pPr>
      <w:r>
        <w:t xml:space="preserve">ICH. 1993.</w:t>
      </w:r>
      <w:r>
        <w:t xml:space="preserve"> </w:t>
      </w:r>
      <w:r>
        <w:rPr>
          <w:i/>
        </w:rPr>
        <w:t xml:space="preserve">International Conference on Harmonisation (Ich) Guidance: E7 Studies in Support of Special Populations: Geriatrics</w:t>
      </w:r>
      <w:r>
        <w:t xml:space="preserve">. Vienna, Austria: International Conference on Harmonisation.</w:t>
      </w:r>
    </w:p>
    <w:p>
      <w:pPr>
        <w:pStyle w:val="Bibliography"/>
      </w:pPr>
      <w:r>
        <w:t xml:space="preserve">———. 1994.</w:t>
      </w:r>
      <w:r>
        <w:t xml:space="preserve"> </w:t>
      </w:r>
      <w:r>
        <w:rPr>
          <w:i/>
        </w:rPr>
        <w:t xml:space="preserve">International Conference on Harmonisation (Ich) Guidance: E4 Dose-Response Information to Support Drug Registration</w:t>
      </w:r>
      <w:r>
        <w:t xml:space="preserve">. Vienna, Austria: International Conference on Harmonisation.</w:t>
      </w:r>
    </w:p>
    <w:p>
      <w:pPr>
        <w:pStyle w:val="Bibliography"/>
      </w:pPr>
      <w:r>
        <w:t xml:space="preserve">Ke, A B, S C Nallani, P Zhao, A Rostami-Hodjegan, and J D Unadkat. 2012. “A PBPK Model to Predict Disposition of CYP3A-Metabolized Drugs in Pregnant Women: Verification and Discerning the Site of CYP3A Induction.”</w:t>
      </w:r>
      <w:r>
        <w:t xml:space="preserve"> </w:t>
      </w:r>
      <w:r>
        <w:rPr>
          <w:i/>
        </w:rPr>
        <w:t xml:space="preserve">CPT: Pharmacometrics &amp; Systems Pharmacology</w:t>
      </w:r>
      <w:r>
        <w:t xml:space="preserve"> </w:t>
      </w:r>
      <w:r>
        <w:t xml:space="preserve">1 (9). Wiley-Blackwell: e3. doi:</w:t>
      </w:r>
      <w:hyperlink r:id="rId45">
        <w:r>
          <w:rPr>
            <w:rStyle w:val="Hyperlink"/>
          </w:rPr>
          <w:t xml:space="preserve">10.1038/psp.2012.2</w:t>
        </w:r>
      </w:hyperlink>
      <w:r>
        <w:t xml:space="preserve">.</w:t>
      </w:r>
    </w:p>
    <w:p>
      <w:pPr>
        <w:pStyle w:val="Bibliography"/>
      </w:pPr>
      <w:r>
        <w:t xml:space="preserve">Ke, A. B., S. C. Nallani, P. Zhao, A. Rostami-Hodjegan, N. Isoherranen, and J. D. Unadkat. 2013. “A Physiologically Based Pharmacokinetic Model to Predict Disposition of CYP2D6 and CYP1A2 Metabolized Drugs in Pregnant Women.”</w:t>
      </w:r>
      <w:r>
        <w:t xml:space="preserve"> </w:t>
      </w:r>
      <w:r>
        <w:rPr>
          <w:i/>
        </w:rPr>
        <w:t xml:space="preserve">Drug Metabolism and Disposition</w:t>
      </w:r>
      <w:r>
        <w:t xml:space="preserve"> </w:t>
      </w:r>
      <w:r>
        <w:t xml:space="preserve">41 (4). American Society for Pharmacology &amp; Experimental Therapeutics (ASPET): 801–13. doi:</w:t>
      </w:r>
      <w:hyperlink r:id="rId46">
        <w:r>
          <w:rPr>
            <w:rStyle w:val="Hyperlink"/>
          </w:rPr>
          <w:t xml:space="preserve">10.1124/dmd.112.050161</w:t>
        </w:r>
      </w:hyperlink>
      <w:r>
        <w:t xml:space="preserve">.</w:t>
      </w:r>
    </w:p>
    <w:p>
      <w:pPr>
        <w:pStyle w:val="Bibliography"/>
      </w:pPr>
      <w:r>
        <w:t xml:space="preserve">Leong, R, M L T Vieira, P Zhao, Y Mulugeta, C S Lee, S-M Huang, and G J Burckart. 2012. “Regulatory Experience with Physiologically Based Pharmacokinetic Modeling for Pediatric Drug Trials.”</w:t>
      </w:r>
      <w:r>
        <w:t xml:space="preserve"> </w:t>
      </w:r>
      <w:r>
        <w:rPr>
          <w:i/>
        </w:rPr>
        <w:t xml:space="preserve">Clinical Pharmacology &amp; Therapeutics</w:t>
      </w:r>
      <w:r>
        <w:t xml:space="preserve"> </w:t>
      </w:r>
      <w:r>
        <w:t xml:space="preserve">91 (5). Springer Nature: 926–31. doi:</w:t>
      </w:r>
      <w:hyperlink r:id="rId47">
        <w:r>
          <w:rPr>
            <w:rStyle w:val="Hyperlink"/>
          </w:rPr>
          <w:t xml:space="preserve">10.1038/clpt.2012.19</w:t>
        </w:r>
      </w:hyperlink>
      <w:r>
        <w:t xml:space="preserve">.</w:t>
      </w:r>
    </w:p>
    <w:p>
      <w:pPr>
        <w:pStyle w:val="Bibliography"/>
      </w:pPr>
      <w:r>
        <w:t xml:space="preserve">Mehrotra, N., A. Bhattaram, J. C. Earp, J. Florian, K. Krudys, J. E. Lee, J. Y. Lee, et al. 2016. “Role of Quantitative Clinical Pharmacology in Pediatric Approval and Labeling.”</w:t>
      </w:r>
      <w:r>
        <w:t xml:space="preserve"> </w:t>
      </w:r>
      <w:r>
        <w:rPr>
          <w:i/>
        </w:rPr>
        <w:t xml:space="preserve">Drug Metabolism and Disposition</w:t>
      </w:r>
      <w:r>
        <w:t xml:space="preserve"> </w:t>
      </w:r>
      <w:r>
        <w:t xml:space="preserve">44 (7). American Society for Pharmacology &amp; Experimental Therapeutics (ASPET): 924–33. doi:</w:t>
      </w:r>
      <w:hyperlink r:id="rId48">
        <w:r>
          <w:rPr>
            <w:rStyle w:val="Hyperlink"/>
          </w:rPr>
          <w:t xml:space="preserve">10.1124/dmd.116.069559</w:t>
        </w:r>
      </w:hyperlink>
      <w:r>
        <w:t xml:space="preserve">.</w:t>
      </w:r>
    </w:p>
    <w:p>
      <w:pPr>
        <w:pStyle w:val="Bibliography"/>
      </w:pPr>
      <w:r>
        <w:t xml:space="preserve">Sato, M, Y Ochiai, S Kijima, N Nagai, Y Ando, M Shikano, and Y Nomura. 2017. “Quantitative Modeling and Simulation in PMDA: A Japanese Regulatory Perspective.”</w:t>
      </w:r>
      <w:r>
        <w:t xml:space="preserve"> </w:t>
      </w:r>
      <w:r>
        <w:rPr>
          <w:i/>
        </w:rPr>
        <w:t xml:space="preserve">CPT: Pharmacometrics &amp; Systems Pharmacology</w:t>
      </w:r>
      <w:r>
        <w:t xml:space="preserve"> </w:t>
      </w:r>
      <w:r>
        <w:t xml:space="preserve">6 (7). Wiley-Blackwell: 413–15. doi:</w:t>
      </w:r>
      <w:hyperlink r:id="rId49">
        <w:r>
          <w:rPr>
            <w:rStyle w:val="Hyperlink"/>
          </w:rPr>
          <w:t xml:space="preserve">10.1002/psp4.12203</w:t>
        </w:r>
      </w:hyperlink>
      <w:r>
        <w:t xml:space="preserve">.</w:t>
      </w:r>
    </w:p>
    <w:p>
      <w:pPr>
        <w:pStyle w:val="Bibliography"/>
      </w:pPr>
      <w:r>
        <w:t xml:space="preserve">Zhao, Liang. 2016.</w:t>
      </w:r>
      <w:r>
        <w:t xml:space="preserve"> </w:t>
      </w:r>
      <w:r>
        <w:rPr>
          <w:i/>
        </w:rPr>
        <w:t xml:space="preserve">Mechanistic Oral Absorption Modeling and Simulation for Formulation Development and Bioequivalence Evaluation; Public Workshop</w:t>
      </w:r>
      <w:r>
        <w:t xml:space="preserve">. U.S. Department of Health; Human Services Food; Drug Administration.</w:t>
      </w:r>
      <w:r>
        <w:t xml:space="preserve"> </w:t>
      </w:r>
      <w:hyperlink r:id="rId50">
        <w:r>
          <w:rPr>
            <w:rStyle w:val="Hyperlink"/>
          </w:rPr>
          <w:t xml:space="preserve">https://www.fda.gov/downloads/Drugs/NewsEvents/UCM505000.pdf</w:t>
        </w:r>
      </w:hyperlink>
      <w:r>
        <w:t xml:space="preserve">.</w:t>
      </w:r>
    </w:p>
    <w:p>
      <w:pPr>
        <w:pStyle w:val="Bibliography"/>
      </w:pPr>
      <w:r>
        <w:t xml:space="preserve">의약품심사부 종양약품과. 2015.</w:t>
      </w:r>
      <w:r>
        <w:t xml:space="preserve"> </w:t>
      </w:r>
      <w:r>
        <w:rPr>
          <w:i/>
        </w:rPr>
        <w:t xml:space="preserve">약품 개발 시 집단 약동학 활용을 위한 가이드라인</w:t>
      </w:r>
      <w:r>
        <w:t xml:space="preserve">. 대한민국: 식품의약품안전평가원.</w:t>
      </w:r>
      <w:r>
        <w:t xml:space="preserve"> </w:t>
      </w:r>
      <w:hyperlink r:id="rId51">
        <w:r>
          <w:rPr>
            <w:rStyle w:val="Hyperlink"/>
          </w:rPr>
          <w:t xml:space="preserve">http://www.nifds.go.kr/nifds/08_part/part03_c_b.jsp?mode=view&amp;article_no=7038&amp;pager.offset=0&amp;board_no=167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https://www.fda.gov/AboutFDA/CentersOffices/OfficeofMedicalProductsandTobacco/CDER/ucm225044.htm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f3df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7a47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82ca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Relationship Type="http://schemas.openxmlformats.org/officeDocument/2006/relationships/image" Id="rId34" Target="media/rId34.png" /><Relationship Type="http://schemas.openxmlformats.org/officeDocument/2006/relationships/image" Id="rId27" Target="media/rId27.jpg" /><Relationship Type="http://schemas.openxmlformats.org/officeDocument/2006/relationships/image" Id="rId36" Target="media/rId36.jpg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hyperlink" Id="rId43" Target="http://www.ema.europa.eu/docs/en_GB/document_library/Regulatory_and_procedural_guideline/2016/04/WC500204187.pdf" TargetMode="External" /><Relationship Type="http://schemas.openxmlformats.org/officeDocument/2006/relationships/hyperlink" Id="rId42" Target="http://www.ema.europa.eu/docs/en_GB/document_library/Scientific_guideline/2016/07/WC500211315.pdf" TargetMode="External" /><Relationship Type="http://schemas.openxmlformats.org/officeDocument/2006/relationships/hyperlink" Id="rId51" Target="http://www.nifds.go.kr/nifds/08_part/part03_c_b.jsp?mode=view&amp;article_no=7038&amp;pager.offset=0&amp;board_no=167" TargetMode="External" /><Relationship Type="http://schemas.openxmlformats.org/officeDocument/2006/relationships/hyperlink" Id="rId49" Target="https://doi.org/10.1002/psp4.12203" TargetMode="External" /><Relationship Type="http://schemas.openxmlformats.org/officeDocument/2006/relationships/hyperlink" Id="rId47" Target="https://doi.org/10.1038/clpt.2012.19" TargetMode="External" /><Relationship Type="http://schemas.openxmlformats.org/officeDocument/2006/relationships/hyperlink" Id="rId45" Target="https://doi.org/10.1038/psp.2012.2" TargetMode="External" /><Relationship Type="http://schemas.openxmlformats.org/officeDocument/2006/relationships/hyperlink" Id="rId46" Target="https://doi.org/10.1124/dmd.112.050161" TargetMode="External" /><Relationship Type="http://schemas.openxmlformats.org/officeDocument/2006/relationships/hyperlink" Id="rId48" Target="https://doi.org/10.1124/dmd.116.069559" TargetMode="External" /><Relationship Type="http://schemas.openxmlformats.org/officeDocument/2006/relationships/hyperlink" Id="rId26" Target="https://www.fda.gov/AboutFDA/CentersOffices/OfficeofMedicalProductsandTobacco/CDER/ucm225044.htm" TargetMode="External" /><Relationship Type="http://schemas.openxmlformats.org/officeDocument/2006/relationships/hyperlink" Id="rId44" Target="https://www.fda.gov/downloads/Drugs/.../Guidances/ucm079690.pdf" TargetMode="External" /><Relationship Type="http://schemas.openxmlformats.org/officeDocument/2006/relationships/hyperlink" Id="rId50" Target="https://www.fda.gov/downloads/Drugs/NewsEvents/UCM505000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www.ema.europa.eu/docs/en_GB/document_library/Regulatory_and_procedural_guideline/2016/04/WC500204187.pdf" TargetMode="External" /><Relationship Type="http://schemas.openxmlformats.org/officeDocument/2006/relationships/hyperlink" Id="rId42" Target="http://www.ema.europa.eu/docs/en_GB/document_library/Scientific_guideline/2016/07/WC500211315.pdf" TargetMode="External" /><Relationship Type="http://schemas.openxmlformats.org/officeDocument/2006/relationships/hyperlink" Id="rId51" Target="http://www.nifds.go.kr/nifds/08_part/part03_c_b.jsp?mode=view&amp;article_no=7038&amp;pager.offset=0&amp;board_no=167" TargetMode="External" /><Relationship Type="http://schemas.openxmlformats.org/officeDocument/2006/relationships/hyperlink" Id="rId49" Target="https://doi.org/10.1002/psp4.12203" TargetMode="External" /><Relationship Type="http://schemas.openxmlformats.org/officeDocument/2006/relationships/hyperlink" Id="rId47" Target="https://doi.org/10.1038/clpt.2012.19" TargetMode="External" /><Relationship Type="http://schemas.openxmlformats.org/officeDocument/2006/relationships/hyperlink" Id="rId45" Target="https://doi.org/10.1038/psp.2012.2" TargetMode="External" /><Relationship Type="http://schemas.openxmlformats.org/officeDocument/2006/relationships/hyperlink" Id="rId46" Target="https://doi.org/10.1124/dmd.112.050161" TargetMode="External" /><Relationship Type="http://schemas.openxmlformats.org/officeDocument/2006/relationships/hyperlink" Id="rId48" Target="https://doi.org/10.1124/dmd.116.069559" TargetMode="External" /><Relationship Type="http://schemas.openxmlformats.org/officeDocument/2006/relationships/hyperlink" Id="rId26" Target="https://www.fda.gov/AboutFDA/CentersOffices/OfficeofMedicalProductsandTobacco/CDER/ucm225044.htm" TargetMode="External" /><Relationship Type="http://schemas.openxmlformats.org/officeDocument/2006/relationships/hyperlink" Id="rId44" Target="https://www.fda.gov/downloads/Drugs/.../Guidances/ucm079690.pdf" TargetMode="External" /><Relationship Type="http://schemas.openxmlformats.org/officeDocument/2006/relationships/hyperlink" Id="rId50" Target="https://www.fda.gov/downloads/Drugs/NewsEvents/UCM50500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Simulation을 이용한 Special population에서의 약물 인허가 현황과 관련규정</dc:title>
  <dc:creator>Sungpil Han</dc:creator>
  <dcterms:created xsi:type="dcterms:W3CDTF">2017-11-16T09:00:49Z</dcterms:created>
  <dcterms:modified xsi:type="dcterms:W3CDTF">2017-11-16T09:00:49Z</dcterms:modified>
</cp:coreProperties>
</file>