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Modeling</w:t>
      </w:r>
      <w:r>
        <w:t xml:space="preserve"> </w:t>
      </w:r>
      <w:r>
        <w:t xml:space="preserve">and</w:t>
      </w:r>
      <w:r>
        <w:t xml:space="preserve"> </w:t>
      </w:r>
      <w:r>
        <w:t xml:space="preserve">Simulation을</w:t>
      </w:r>
      <w:r>
        <w:t xml:space="preserve"> </w:t>
      </w:r>
      <w:r>
        <w:t xml:space="preserve">이용한</w:t>
      </w:r>
      <w:r>
        <w:t xml:space="preserve"> </w:t>
      </w:r>
      <w:r>
        <w:t xml:space="preserve">Special</w:t>
      </w:r>
      <w:r>
        <w:t xml:space="preserve"> </w:t>
      </w:r>
      <w:r>
        <w:t xml:space="preserve">population에서의</w:t>
      </w:r>
      <w:r>
        <w:t xml:space="preserve"> </w:t>
      </w:r>
      <w:r>
        <w:t xml:space="preserve">약물</w:t>
      </w:r>
      <w:r>
        <w:t xml:space="preserve"> </w:t>
      </w:r>
      <w:r>
        <w:t xml:space="preserve">인허가</w:t>
      </w:r>
      <w:r>
        <w:t xml:space="preserve"> </w:t>
      </w:r>
      <w:r>
        <w:t xml:space="preserve">현황과</w:t>
      </w:r>
      <w:r>
        <w:t xml:space="preserve"> </w:t>
      </w:r>
      <w:r>
        <w:t xml:space="preserve">관련규정</w:t>
      </w:r>
    </w:p>
    <w:p>
      <w:pPr>
        <w:pStyle w:val="Author"/>
      </w:pPr>
      <w:r>
        <w:t xml:space="preserve">Sungpil</w:t>
      </w:r>
      <w:r>
        <w:t xml:space="preserve"> </w:t>
      </w:r>
      <w:r>
        <w:t xml:space="preserve">Han</w:t>
      </w:r>
    </w:p>
    <w:p>
      <w:pPr>
        <w:pStyle w:val="Date"/>
      </w:pPr>
      <w:r>
        <w:t xml:space="preserve">2017-11-16</w:t>
      </w:r>
    </w:p>
    <w:p>
      <w:pPr>
        <w:pStyle w:val="Heading1"/>
      </w:pPr>
      <w:bookmarkStart w:id="21" w:name="intro"/>
      <w:bookmarkEnd w:id="21"/>
      <w:r>
        <w:t xml:space="preserve">서론</w:t>
      </w:r>
    </w:p>
    <w:p>
      <w:pPr>
        <w:pStyle w:val="FirstParagraph"/>
      </w:pPr>
      <w:r>
        <w:t xml:space="preserve">모델링과 시뮬레이션을 사용하면 특수 집단에서의 약물 사용에 큰 도움을 줄 수 있다. 장점을 기술.</w:t>
      </w:r>
      <w:r>
        <w:t xml:space="preserve"> </w:t>
      </w:r>
      <w:r>
        <w:t xml:space="preserve">(R Core Team</w:t>
      </w:r>
      <w:r>
        <w:t xml:space="preserve"> </w:t>
      </w:r>
      <w:hyperlink w:anchor="ref-R-base">
        <w:r>
          <w:rPr>
            <w:rStyle w:val="Hyperlink"/>
          </w:rPr>
          <w:t xml:space="preserve">2017</w:t>
        </w:r>
      </w:hyperlink>
      <w:r>
        <w:t xml:space="preserve">)</w:t>
      </w:r>
    </w:p>
    <w:p>
      <w:pPr>
        <w:pStyle w:val="Compact"/>
        <w:numPr>
          <w:numId w:val="1001"/>
          <w:ilvl w:val="0"/>
        </w:numPr>
      </w:pPr>
      <w:r>
        <w:t xml:space="preserve">안전성을 확보</w:t>
      </w:r>
    </w:p>
    <w:p>
      <w:pPr>
        <w:pStyle w:val="Compact"/>
        <w:numPr>
          <w:numId w:val="1001"/>
          <w:ilvl w:val="0"/>
        </w:numPr>
      </w:pPr>
      <w:r>
        <w:t xml:space="preserve">적절한 용량의 사용 가능</w:t>
      </w:r>
    </w:p>
    <w:p>
      <w:pPr>
        <w:pStyle w:val="Compact"/>
        <w:numPr>
          <w:numId w:val="1001"/>
          <w:ilvl w:val="0"/>
        </w:numPr>
      </w:pPr>
      <w:r>
        <w:t xml:space="preserve">부작용 발생 시 빠른 대처 가능</w:t>
      </w:r>
    </w:p>
    <w:p>
      <w:pPr>
        <w:pStyle w:val="Compact"/>
        <w:numPr>
          <w:numId w:val="1001"/>
          <w:ilvl w:val="0"/>
        </w:numPr>
      </w:pPr>
      <w:r>
        <w:t xml:space="preserve">비용 절감</w:t>
      </w:r>
    </w:p>
    <w:p>
      <w:pPr>
        <w:pStyle w:val="FirstParagraph"/>
      </w:pPr>
      <w:r>
        <w:t xml:space="preserve">용량을 결정하는 것은 특수 집단에서의 약물 사용에 있어 가장 주된 결정 사항이다.</w:t>
      </w:r>
      <w:r>
        <w:t xml:space="preserve"> </w:t>
      </w:r>
      <w:r>
        <w:t xml:space="preserve">최근 세계 각국의 규제 기관에서는 특수 집단에서 모델 기반 약물 개발에 대해 적극 장려하고 있다.</w:t>
      </w:r>
      <w:r>
        <w:t xml:space="preserve"> </w:t>
      </w:r>
      <w:r>
        <w:t xml:space="preserve">계량약리학 혹은 정량적 임상약리학 분야의 모델의 개발에 대해 약동학, 약력학에 영향을 미치는 인자를 발견하게 할 수 있다.</w:t>
      </w:r>
      <w:r>
        <w:t xml:space="preserve"> </w:t>
      </w:r>
      <w:r>
        <w:t xml:space="preserve">특히 소아와 성인의 약동학 비교를 통하여 용량/노출-반응 관계를 살펴볼 수 있다.</w:t>
      </w:r>
      <w:r>
        <w:t xml:space="preserve"> </w:t>
      </w:r>
      <w:r>
        <w:t xml:space="preserve">(그림</w:t>
      </w:r>
      <w:r>
        <w:t xml:space="preserve"> </w:t>
      </w:r>
      <w:r>
        <w:t xml:space="preserve">1</w:t>
      </w:r>
      <w:r>
        <w:t xml:space="preserve">)</w:t>
      </w:r>
    </w:p>
    <w:p>
      <w:pPr>
        <w:pStyle w:val="FigureWithCaption"/>
      </w:pPr>
      <w:r>
        <w:drawing>
          <wp:inline>
            <wp:extent cx="5334000" cy="4081921"/>
            <wp:effectExtent b="0" l="0" r="0" t="0"/>
            <wp:docPr descr="Figure 1 PK/PD model in pediatrics" title="" id="1" name="Picture"/>
            <a:graphic>
              <a:graphicData uri="http://schemas.openxmlformats.org/drawingml/2006/picture">
                <pic:pic>
                  <pic:nvPicPr>
                    <pic:cNvPr descr="assets/ms-ped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1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 PK/PD model in pediatrics</w:t>
      </w:r>
    </w:p>
    <w:p>
      <w:pPr>
        <w:pStyle w:val="BodyText"/>
      </w:pPr>
      <w:r>
        <w:t xml:space="preserve">Dose selection is one of the key decisions made during drug</w:t>
      </w:r>
      <w:r>
        <w:t xml:space="preserve"> </w:t>
      </w:r>
      <w:r>
        <w:t xml:space="preserve">development in pediatrics. There are regulatory initiatives that</w:t>
      </w:r>
      <w:r>
        <w:t xml:space="preserve"> </w:t>
      </w:r>
      <w:r>
        <w:t xml:space="preserve">promote the use of model-based drug development in pediatrics.</w:t>
      </w:r>
      <w:r>
        <w:t xml:space="preserve"> </w:t>
      </w:r>
      <w:r>
        <w:t xml:space="preserve">Pharmacometrics or quantitative clinical pharmacology enables</w:t>
      </w:r>
      <w:r>
        <w:t xml:space="preserve"> </w:t>
      </w:r>
      <w:r>
        <w:t xml:space="preserve">development of models that can describe factors affecting pharma-</w:t>
      </w:r>
      <w:r>
        <w:t xml:space="preserve"> </w:t>
      </w:r>
      <w:r>
        <w:t xml:space="preserve">cokinetics and/or pharmacodynamics in pediatric patients. This</w:t>
      </w:r>
      <w:r>
        <w:t xml:space="preserve"> </w:t>
      </w:r>
      <w:r>
        <w:t xml:space="preserve">manuscript describes some examples in which pharmacometric</w:t>
      </w:r>
      <w:r>
        <w:t xml:space="preserve"> </w:t>
      </w:r>
      <w:r>
        <w:t xml:space="preserve">analysis was used to support approval and labeling in pediatrics. In</w:t>
      </w:r>
      <w:r>
        <w:t xml:space="preserve"> </w:t>
      </w:r>
      <w:r>
        <w:t xml:space="preserve">particular, the role of pharmacokinetic (PK) comparison of pediatric</w:t>
      </w:r>
      <w:r>
        <w:t xml:space="preserve"> </w:t>
      </w:r>
      <w:r>
        <w:t xml:space="preserve">PK to adults and utilization of dose/exposure-response analysis for</w:t>
      </w:r>
      <w:r>
        <w:t xml:space="preserve"> </w:t>
      </w:r>
      <w:r>
        <w:t xml:space="preserve">dose selection are highlighted. Dose selection for esomeprazole</w:t>
      </w:r>
      <w:r>
        <w:t xml:space="preserve"> </w:t>
      </w:r>
      <w:r>
        <w:t xml:space="preserve">in pediatrics was based on PK matching to adults, whereas for</w:t>
      </w:r>
      <w:r>
        <w:t xml:space="preserve"> </w:t>
      </w:r>
      <w:r>
        <w:t xml:space="preserve">adalimumab, exposure-response, PK, efficacy, and safety data</w:t>
      </w:r>
      <w:r>
        <w:t xml:space="preserve"> </w:t>
      </w:r>
      <w:r>
        <w:t xml:space="preserve">together were useful to recommend doses for pediatric Crohn’s</w:t>
      </w:r>
      <w:r>
        <w:t xml:space="preserve"> </w:t>
      </w:r>
      <w:r>
        <w:t xml:space="preserve">disease. For vigabatrin, demonstration of similar dose-response</w:t>
      </w:r>
      <w:r>
        <w:t xml:space="preserve"> </w:t>
      </w:r>
      <w:r>
        <w:t xml:space="preserve">between pediatrics and adults allowed for selection of a pediatric</w:t>
      </w:r>
      <w:r>
        <w:t xml:space="preserve"> </w:t>
      </w:r>
      <w:r>
        <w:t xml:space="preserve">dose. Based on model-based pharmacokinetic simulations and</w:t>
      </w:r>
      <w:r>
        <w:t xml:space="preserve"> </w:t>
      </w:r>
      <w:r>
        <w:t xml:space="preserve">safety data from darunavir pediatric clinical studies with a twice-</w:t>
      </w:r>
      <w:r>
        <w:t xml:space="preserve"> </w:t>
      </w:r>
      <w:r>
        <w:t xml:space="preserve">daily regimen, different once-daily dosing regimens for treatment-</w:t>
      </w:r>
      <w:r>
        <w:t xml:space="preserve"> </w:t>
      </w:r>
      <w:r>
        <w:t xml:space="preserve">naïvehumanimmunodeficiencyvirus1–infectedpediatricsubjects 3</w:t>
      </w:r>
      <w:r>
        <w:t xml:space="preserve"> </w:t>
      </w:r>
      <w:r>
        <w:t xml:space="preserve">to&lt;12yearsofagewereevaluated.Theroleofphysiologicallybased</w:t>
      </w:r>
      <w:r>
        <w:t xml:space="preserve"> </w:t>
      </w:r>
      <w:r>
        <w:t xml:space="preserve">pharmacokinetic modeling (PBPK) in predicting pediatric PK is</w:t>
      </w:r>
      <w:r>
        <w:t xml:space="preserve"> </w:t>
      </w:r>
      <w:r>
        <w:t xml:space="preserve">rapidly evolving. However, regulatory review experiences and an</w:t>
      </w:r>
      <w:r>
        <w:t xml:space="preserve"> </w:t>
      </w:r>
      <w:r>
        <w:t xml:space="preserve">understanding of the state of science indicate that there is a lack</w:t>
      </w:r>
      <w:r>
        <w:t xml:space="preserve"> </w:t>
      </w:r>
      <w:r>
        <w:t xml:space="preserve">of established predictive performance of PBPK in pediatric PK</w:t>
      </w:r>
      <w:r>
        <w:t xml:space="preserve"> </w:t>
      </w:r>
      <w:r>
        <w:t xml:space="preserve">prediction. Moving forward, pharmacometrics will continue to</w:t>
      </w:r>
      <w:r>
        <w:t xml:space="preserve"> </w:t>
      </w:r>
      <w:r>
        <w:t xml:space="preserve">play a key role in pediatric drug development contributing to-</w:t>
      </w:r>
      <w:r>
        <w:t xml:space="preserve"> </w:t>
      </w:r>
      <w:r>
        <w:t xml:space="preserve">ward decisions pertaining to dose selection, trial designs, and</w:t>
      </w:r>
      <w:r>
        <w:t xml:space="preserve"> </w:t>
      </w:r>
      <w:r>
        <w:t xml:space="preserve">assessing disease similarity to adults to support extrapolation of</w:t>
      </w:r>
      <w:r>
        <w:t xml:space="preserve"> </w:t>
      </w:r>
      <w:r>
        <w:t xml:space="preserve">efficacy.</w:t>
      </w:r>
    </w:p>
    <w:p>
      <w:pPr>
        <w:pStyle w:val="Heading1"/>
      </w:pPr>
      <w:bookmarkStart w:id="23" w:name="approval"/>
      <w:bookmarkEnd w:id="23"/>
      <w:r>
        <w:t xml:space="preserve">모델링/시뮬레이션을 이용한 특수 집단에서 약물 인허가 현황</w:t>
      </w:r>
    </w:p>
    <w:p>
      <w:pPr>
        <w:pStyle w:val="Heading2"/>
      </w:pPr>
      <w:bookmarkStart w:id="24" w:name="fda"/>
      <w:bookmarkEnd w:id="24"/>
      <w:r>
        <w:t xml:space="preserve">FDA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구분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약물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소아</w:t>
            </w:r>
          </w:p>
        </w:tc>
        <w:tc>
          <w:p>
            <w:pPr>
              <w:pStyle w:val="Compact"/>
              <w:jc w:val="left"/>
            </w:pPr>
            <w:r>
              <w:t xml:space="preserve">Esomeprazole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소아</w:t>
            </w:r>
          </w:p>
        </w:tc>
        <w:tc>
          <w:p>
            <w:pPr>
              <w:pStyle w:val="Compact"/>
              <w:jc w:val="left"/>
            </w:pPr>
            <w:r>
              <w:t xml:space="preserve">Vigabatrin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소아</w:t>
            </w:r>
          </w:p>
        </w:tc>
        <w:tc>
          <w:p>
            <w:pPr>
              <w:pStyle w:val="Compact"/>
              <w:jc w:val="left"/>
            </w:pPr>
            <w:r>
              <w:t xml:space="preserve">Adalimumab</w:t>
            </w:r>
          </w:p>
        </w:tc>
      </w:tr>
    </w:tbl>
    <w:p>
      <w:pPr>
        <w:pStyle w:val="Compact"/>
        <w:numPr>
          <w:numId w:val="1002"/>
          <w:ilvl w:val="0"/>
        </w:numPr>
      </w:pPr>
      <w:r>
        <w:t xml:space="preserve">Esomeprazole in Pediatrics for the Treatment of Gastroesophageal Reflux Disease with Erosive Esophagitis: Intravenous Dose Selection</w:t>
      </w:r>
      <w:r>
        <w:t xml:space="preserve"> </w:t>
      </w:r>
      <w:r>
        <w:t xml:space="preserve">(Mehrotra et al.</w:t>
      </w:r>
      <w:r>
        <w:t xml:space="preserve"> </w:t>
      </w:r>
      <w:hyperlink w:anchor="ref-Mehrotra_2016">
        <w:r>
          <w:rPr>
            <w:rStyle w:val="Hyperlink"/>
          </w:rPr>
          <w:t xml:space="preserve">2016</w:t>
        </w:r>
      </w:hyperlink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Approval of Vigabatrin for Refractory Complex Partial Seizures in Pediatrics (Mehrotra, 2016, Drug Metabolism and Disposition)</w:t>
      </w:r>
    </w:p>
    <w:p>
      <w:pPr>
        <w:pStyle w:val="Compact"/>
        <w:numPr>
          <w:numId w:val="1002"/>
          <w:ilvl w:val="0"/>
        </w:numPr>
      </w:pPr>
      <w:r>
        <w:t xml:space="preserve">Adalimumab: Crohn’s Disease in Children: Dose Selection (Mehrotra, 2016, Drug Metabolism and Disposition)</w:t>
      </w:r>
    </w:p>
    <w:p>
      <w:pPr>
        <w:pStyle w:val="Compact"/>
        <w:numPr>
          <w:numId w:val="1002"/>
          <w:ilvl w:val="0"/>
        </w:numPr>
      </w:pPr>
      <w:r>
        <w:t xml:space="preserve">Darunavir : Exposure-Response and PK Matching to Bridge Dosing for Different Patient Populations in Pediatrics for the Treatment of Human Immunodeficiency Virus (Mehrotra, 2016, Drug Metabolism and Disposition)</w:t>
      </w:r>
    </w:p>
    <w:p>
      <w:pPr>
        <w:pStyle w:val="Compact"/>
        <w:numPr>
          <w:numId w:val="1002"/>
          <w:ilvl w:val="0"/>
        </w:numPr>
      </w:pPr>
      <w:r>
        <w:t xml:space="preserve">Topiramate: Topiramate Dosing Regimen was Derived by Matching Steady State Trough Concentrations (CMIN) for Different Age Groups</w:t>
      </w:r>
    </w:p>
    <w:p>
      <w:pPr>
        <w:pStyle w:val="Compact"/>
        <w:numPr>
          <w:numId w:val="1002"/>
          <w:ilvl w:val="0"/>
        </w:numPr>
      </w:pPr>
      <w:r>
        <w:t xml:space="preserve">Pralidoxime: Derived and recommended Pediatric Dosing Recommendations without any empirical data</w:t>
      </w:r>
    </w:p>
    <w:p>
      <w:pPr>
        <w:pStyle w:val="Compact"/>
        <w:numPr>
          <w:numId w:val="1002"/>
          <w:ilvl w:val="0"/>
        </w:numPr>
      </w:pPr>
      <w:r>
        <w:t xml:space="preserve">Peramivir: Derived and recommended Pediatric Dosing Recommendations without any empirical data</w:t>
      </w:r>
    </w:p>
    <w:p>
      <w:pPr>
        <w:pStyle w:val="FirstParagraph"/>
      </w:pPr>
      <w:r>
        <w:t xml:space="preserve">Mehrotra의 서론 부분을 요약.</w:t>
      </w:r>
    </w:p>
    <w:p>
      <w:pPr>
        <w:pStyle w:val="BodyText"/>
      </w:pPr>
      <w:r>
        <w:t xml:space="preserve">에소메프라졸을 소아에서 GERD 치료시 사용.</w:t>
      </w:r>
      <w:r>
        <w:t xml:space="preserve"> </w:t>
      </w:r>
      <w:r>
        <w:t xml:space="preserve">(Mehrotra et al.</w:t>
      </w:r>
      <w:r>
        <w:t xml:space="preserve"> </w:t>
      </w:r>
      <w:hyperlink w:anchor="ref-Mehrotra_2016">
        <w:r>
          <w:rPr>
            <w:rStyle w:val="Hyperlink"/>
          </w:rPr>
          <w:t xml:space="preserve">2016</w:t>
        </w:r>
      </w:hyperlink>
      <w:r>
        <w:t xml:space="preserve">)</w:t>
      </w:r>
    </w:p>
    <w:p>
      <w:pPr>
        <w:pStyle w:val="Heading2"/>
      </w:pPr>
      <w:bookmarkStart w:id="25" w:name="emea"/>
      <w:bookmarkEnd w:id="25"/>
      <w:r>
        <w:t xml:space="preserve">EMEA</w:t>
      </w:r>
    </w:p>
    <w:p>
      <w:pPr>
        <w:pStyle w:val="Compact"/>
        <w:numPr>
          <w:numId w:val="1003"/>
          <w:ilvl w:val="0"/>
        </w:numPr>
      </w:pPr>
      <w:r>
        <w:t xml:space="preserve">2015년 EMEA MSWG (Modeling and Simulation Working Group)에 의뢰된 관련 업무의 사례 수 (Figure 1)</w:t>
      </w:r>
    </w:p>
    <w:p>
      <w:pPr>
        <w:pStyle w:val="Figure"/>
      </w:pPr>
      <w:r>
        <w:drawing>
          <wp:inline>
            <wp:extent cx="5334000" cy="31101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ets/eme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0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WithCaption"/>
      </w:pPr>
      <w:r>
        <w:drawing>
          <wp:inline>
            <wp:extent cx="5334000" cy="31101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ets/eme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0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 2015년 EMEA MSWG (Modeling and Simulation Working Group)에 의뢰된 관련 업무의 사례 수. Reference:</w:t>
      </w:r>
      <w:r>
        <w:t xml:space="preserve"> </w:t>
      </w:r>
      <w:hyperlink r:id="rId27">
        <w:r>
          <w:rPr>
            <w:rStyle w:val="Hyperlink"/>
          </w:rPr>
          <w:t xml:space="preserve">http://www.ema.europa.eu/docs/en_GB/document_library/Report/2017/03/WC500222778.pdf</w:t>
        </w:r>
      </w:hyperlink>
    </w:p>
    <w:p>
      <w:pPr>
        <w:pStyle w:val="Heading2"/>
      </w:pPr>
      <w:bookmarkStart w:id="28" w:name="pmda"/>
      <w:bookmarkEnd w:id="28"/>
      <w:r>
        <w:t xml:space="preserve">PMDA</w:t>
      </w:r>
    </w:p>
    <w:p>
      <w:pPr>
        <w:pStyle w:val="Compact"/>
        <w:numPr>
          <w:numId w:val="1004"/>
          <w:ilvl w:val="0"/>
        </w:numPr>
      </w:pPr>
      <w:r>
        <w:t xml:space="preserve">2014년에서 2016년까지 PBPK를 사용한 17 개의 NDA 제출 (2017, Sato, CPT Pharmacometrics Syst. Pharmacol)</w:t>
      </w:r>
    </w:p>
    <w:p>
      <w:pPr>
        <w:pStyle w:val="Heading1"/>
      </w:pPr>
      <w:bookmarkStart w:id="29" w:name="regulation"/>
      <w:bookmarkEnd w:id="29"/>
      <w:r>
        <w:t xml:space="preserve">모델링/시뮬레이션 관련 규정</w:t>
      </w:r>
    </w:p>
    <w:p>
      <w:pPr>
        <w:pStyle w:val="Heading2"/>
      </w:pPr>
      <w:bookmarkStart w:id="30" w:name="fda-1"/>
      <w:bookmarkEnd w:id="30"/>
      <w:r>
        <w:t xml:space="preserve">FDA</w:t>
      </w:r>
    </w:p>
    <w:p>
      <w:pPr>
        <w:pStyle w:val="Heading3"/>
      </w:pPr>
      <w:bookmarkStart w:id="31" w:name="일반론"/>
      <w:bookmarkEnd w:id="31"/>
      <w:r>
        <w:t xml:space="preserve">일반론</w:t>
      </w:r>
    </w:p>
    <w:p>
      <w:pPr>
        <w:pStyle w:val="Compact"/>
        <w:numPr>
          <w:numId w:val="1005"/>
          <w:ilvl w:val="0"/>
        </w:numPr>
      </w:pPr>
      <w:r>
        <w:t xml:space="preserve">Guidance for Industry End-of-Phase 2A Meetings</w:t>
      </w:r>
      <w:r>
        <w:t xml:space="preserve"> </w:t>
      </w:r>
      <w:hyperlink r:id="rId32">
        <w:r>
          <w:rPr>
            <w:rStyle w:val="Hyperlink"/>
          </w:rPr>
          <w:t xml:space="preserve">https://www.fda.gov/downloads/Drugs/.../Guidances/ucm079690.pdf</w:t>
        </w:r>
      </w:hyperlink>
    </w:p>
    <w:p>
      <w:pPr>
        <w:pStyle w:val="Heading3"/>
      </w:pPr>
      <w:bookmarkStart w:id="33" w:name="소아"/>
      <w:bookmarkEnd w:id="33"/>
      <w:r>
        <w:t xml:space="preserve">소아</w:t>
      </w:r>
    </w:p>
    <w:p>
      <w:pPr>
        <w:pStyle w:val="Compact"/>
        <w:numPr>
          <w:numId w:val="1006"/>
          <w:ilvl w:val="0"/>
        </w:numPr>
      </w:pPr>
      <w:r>
        <w:t xml:space="preserve">1994, Pediatric Labeling Rule(Extrapolation Introduced)</w:t>
      </w:r>
    </w:p>
    <w:p>
      <w:pPr>
        <w:pStyle w:val="Compact"/>
        <w:numPr>
          <w:numId w:val="1006"/>
          <w:ilvl w:val="0"/>
        </w:numPr>
      </w:pPr>
      <w:r>
        <w:t xml:space="preserve">1997, FDA Modernization Act (FDAMA) (Pediatric Exclusivity – incentive)</w:t>
      </w:r>
    </w:p>
    <w:p>
      <w:pPr>
        <w:pStyle w:val="Compact"/>
        <w:numPr>
          <w:numId w:val="1006"/>
          <w:ilvl w:val="0"/>
        </w:numPr>
      </w:pPr>
      <w:r>
        <w:t xml:space="preserve">2002, Best Pharmaceuticals for Children Act(BPCA) (incentive)</w:t>
      </w:r>
    </w:p>
    <w:p>
      <w:pPr>
        <w:pStyle w:val="Compact"/>
        <w:numPr>
          <w:numId w:val="1006"/>
          <w:ilvl w:val="0"/>
        </w:numPr>
      </w:pPr>
      <w:r>
        <w:t xml:space="preserve">2003, Pediatric Research Equity Act(PREA) (requirement)</w:t>
      </w:r>
    </w:p>
    <w:p>
      <w:pPr>
        <w:pStyle w:val="Compact"/>
        <w:numPr>
          <w:numId w:val="1006"/>
          <w:ilvl w:val="0"/>
        </w:numPr>
      </w:pPr>
      <w:r>
        <w:t xml:space="preserve">2007, FDA Amendments Act(FDAAA) (reauthorized BPCA &amp; PREA)</w:t>
      </w:r>
    </w:p>
    <w:p>
      <w:pPr>
        <w:pStyle w:val="Compact"/>
        <w:numPr>
          <w:numId w:val="1006"/>
          <w:ilvl w:val="0"/>
        </w:numPr>
      </w:pPr>
      <w:r>
        <w:t xml:space="preserve">2012, FDA Safety &amp; Innovation Act(FDASIA) (Permanently reauthorizes BPCA &amp; PREA)</w:t>
      </w:r>
    </w:p>
    <w:p>
      <w:pPr>
        <w:pStyle w:val="Compact"/>
        <w:numPr>
          <w:numId w:val="1006"/>
          <w:ilvl w:val="0"/>
        </w:numPr>
      </w:pPr>
      <w:r>
        <w:t xml:space="preserve">2014: General Clinical Pharmacology Considerations for Pediatric Studies for Drugs and Biological Products</w:t>
      </w:r>
      <w:r>
        <w:t xml:space="preserve"> </w:t>
      </w:r>
      <w:hyperlink r:id="rId34">
        <w:r>
          <w:rPr>
            <w:rStyle w:val="Hyperlink"/>
          </w:rPr>
          <w:t xml:space="preserve">https://www.fda.gov/downloads/drugs/guidancecomplianceregulatoryinformation/guidances/ucm425885.pdf</w:t>
        </w:r>
      </w:hyperlink>
    </w:p>
    <w:p>
      <w:pPr>
        <w:pStyle w:val="Heading2"/>
      </w:pPr>
      <w:bookmarkStart w:id="35" w:name="emea-1"/>
      <w:bookmarkEnd w:id="35"/>
      <w:r>
        <w:t xml:space="preserve">EMEA</w:t>
      </w:r>
    </w:p>
    <w:p>
      <w:pPr>
        <w:pStyle w:val="FirstParagraph"/>
      </w:pPr>
      <w:r>
        <w:t xml:space="preserve">EMEA</w:t>
      </w:r>
    </w:p>
    <w:p>
      <w:pPr>
        <w:pStyle w:val="Compact"/>
        <w:numPr>
          <w:numId w:val="1007"/>
          <w:ilvl w:val="0"/>
        </w:numPr>
      </w:pPr>
      <w:r>
        <w:t xml:space="preserve">2016, Reflection paper on extrapolation of efficacy and safety in paediatric medicine development</w:t>
      </w:r>
      <w:r>
        <w:t xml:space="preserve"> </w:t>
      </w:r>
      <w:hyperlink r:id="rId36">
        <w:r>
          <w:rPr>
            <w:rStyle w:val="Hyperlink"/>
          </w:rPr>
          <w:t xml:space="preserve">http://www.ema.europa.eu/docs/en_GB/document_library/Regulatory_and_procedural_guideline/2016/04/WC500204187.pdf</w:t>
        </w:r>
      </w:hyperlink>
    </w:p>
    <w:p>
      <w:pPr>
        <w:pStyle w:val="Compact"/>
        <w:numPr>
          <w:numId w:val="1007"/>
          <w:ilvl w:val="0"/>
        </w:numPr>
      </w:pPr>
      <w:r>
        <w:t xml:space="preserve">2016, Guideline on the qualification and reporting of physiologically based pharmacokinetic (PBPK) modelling and simulation</w:t>
      </w:r>
      <w:r>
        <w:t xml:space="preserve"> </w:t>
      </w:r>
      <w:hyperlink r:id="rId37">
        <w:r>
          <w:rPr>
            <w:rStyle w:val="Hyperlink"/>
          </w:rPr>
          <w:t xml:space="preserve">http://www.ema.europa.eu/docs/en_GB/document_library/Scientific_guideline/2016/10/WC500213940.pdf</w:t>
        </w:r>
      </w:hyperlink>
    </w:p>
    <w:p>
      <w:pPr>
        <w:pStyle w:val="Compact"/>
        <w:numPr>
          <w:numId w:val="1007"/>
          <w:ilvl w:val="0"/>
        </w:numPr>
      </w:pPr>
      <w:r>
        <w:t xml:space="preserve">Guideline on the qualification and reporting of physiologically based pharmacokinetic (PBPK) modelling and simulation</w:t>
      </w:r>
      <w:r>
        <w:t xml:space="preserve"> </w:t>
      </w:r>
      <w:hyperlink r:id="rId38">
        <w:r>
          <w:rPr>
            <w:rStyle w:val="Hyperlink"/>
          </w:rPr>
          <w:t xml:space="preserve">http://www.ema.europa.eu/docs/en_GB/document_library/Scientific_guideline/2016/07/WC500211315.pdf</w:t>
        </w:r>
      </w:hyperlink>
    </w:p>
    <w:p>
      <w:pPr>
        <w:pStyle w:val="Heading2"/>
      </w:pPr>
      <w:bookmarkStart w:id="39" w:name="pmda-1"/>
      <w:bookmarkEnd w:id="39"/>
      <w:r>
        <w:t xml:space="preserve">PMDA</w:t>
      </w:r>
    </w:p>
    <w:p>
      <w:pPr>
        <w:pStyle w:val="Compact"/>
        <w:numPr>
          <w:numId w:val="1008"/>
          <w:ilvl w:val="0"/>
        </w:numPr>
      </w:pPr>
      <w:r>
        <w:t xml:space="preserve">영어 자료가 제한되어 의미있는 자료를 아직 찾지 못하였습니다.</w:t>
      </w:r>
    </w:p>
    <w:p>
      <w:pPr>
        <w:pStyle w:val="Heading1"/>
      </w:pPr>
      <w:bookmarkStart w:id="40" w:name="참고문헌"/>
      <w:bookmarkEnd w:id="40"/>
      <w:r>
        <w:t xml:space="preserve">참고문헌</w:t>
      </w:r>
    </w:p>
    <w:p>
      <w:pPr>
        <w:pStyle w:val="SourceCode"/>
      </w:pPr>
      <w:r>
        <w:rPr>
          <w:rStyle w:val="VerbatimChar"/>
        </w:rPr>
        <w:t xml:space="preserve">## Warning in citation(pkg, auto = if (pkg == "base") NULL else TRUE): no date</w:t>
      </w:r>
      <w:r>
        <w:br w:type="textWrapping"/>
      </w:r>
      <w:r>
        <w:rPr>
          <w:rStyle w:val="VerbatimChar"/>
        </w:rPr>
        <w:t xml:space="preserve">## field in DESCRIPTION file of package 'dplyr'</w:t>
      </w:r>
    </w:p>
    <w:p>
      <w:pPr>
        <w:pStyle w:val="SourceCode"/>
      </w:pPr>
      <w:r>
        <w:rPr>
          <w:rStyle w:val="VerbatimChar"/>
        </w:rPr>
        <w:t xml:space="preserve">## Warning in citation(pkg, auto = if (pkg == "base") NULL else TRUE): could</w:t>
      </w:r>
      <w:r>
        <w:br w:type="textWrapping"/>
      </w:r>
      <w:r>
        <w:rPr>
          <w:rStyle w:val="VerbatimChar"/>
        </w:rPr>
        <w:t xml:space="preserve">## not determine year for 'dplyr' from package DESCRIPTION file</w:t>
      </w:r>
    </w:p>
    <w:p>
      <w:pPr>
        <w:pStyle w:val="SourceCode"/>
      </w:pPr>
      <w:r>
        <w:rPr>
          <w:rStyle w:val="VerbatimChar"/>
        </w:rPr>
        <w:t xml:space="preserve">## Warning in citation(pkg, auto = if (pkg == "base") NULL else TRUE): no date</w:t>
      </w:r>
      <w:r>
        <w:br w:type="textWrapping"/>
      </w:r>
      <w:r>
        <w:rPr>
          <w:rStyle w:val="VerbatimChar"/>
        </w:rPr>
        <w:t xml:space="preserve">## field in DESCRIPTION file of package 'tidyverse'</w:t>
      </w:r>
    </w:p>
    <w:p>
      <w:pPr>
        <w:pStyle w:val="SourceCode"/>
      </w:pPr>
      <w:r>
        <w:rPr>
          <w:rStyle w:val="VerbatimChar"/>
        </w:rPr>
        <w:t xml:space="preserve">## Warning in citation(pkg, auto = if (pkg == "base") NULL else TRUE): could</w:t>
      </w:r>
      <w:r>
        <w:br w:type="textWrapping"/>
      </w:r>
      <w:r>
        <w:rPr>
          <w:rStyle w:val="VerbatimChar"/>
        </w:rPr>
        <w:t xml:space="preserve">## not determine year for 'tidyverse' from package DESCRIPTION file</w:t>
      </w:r>
    </w:p>
    <w:p>
      <w:pPr>
        <w:pStyle w:val="Bibliography"/>
      </w:pPr>
      <w:r>
        <w:t xml:space="preserve">Mehrotra, N., A. Bhattaram, J. C. Earp, J. Florian, K. Krudys, J. E. Lee, J. Y. Lee, et al. 2016. “Role of Quantitative Clinical Pharmacology in Pediatric Approval and Labeling.”</w:t>
      </w:r>
      <w:r>
        <w:t xml:space="preserve"> </w:t>
      </w:r>
      <w:r>
        <w:rPr>
          <w:i/>
        </w:rPr>
        <w:t xml:space="preserve">Drug Metabolism and Disposition</w:t>
      </w:r>
      <w:r>
        <w:t xml:space="preserve"> </w:t>
      </w:r>
      <w:r>
        <w:t xml:space="preserve">44 (7). American Society for Pharmacology &amp; Experimental Therapeutics (ASPET): 924–33. doi:</w:t>
      </w:r>
      <w:hyperlink r:id="rId41">
        <w:r>
          <w:rPr>
            <w:rStyle w:val="Hyperlink"/>
          </w:rPr>
          <w:t xml:space="preserve">10.1124/dmd.116.069559</w:t>
        </w:r>
      </w:hyperlink>
      <w:r>
        <w:t xml:space="preserve">.</w:t>
      </w:r>
    </w:p>
    <w:p>
      <w:pPr>
        <w:pStyle w:val="Bibliography"/>
      </w:pPr>
      <w:r>
        <w:t xml:space="preserve">R Core Team. 2017.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42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83676c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fd1590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90bf6b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2" Target="media/rId22.jpg" /><Relationship Type="http://schemas.openxmlformats.org/officeDocument/2006/relationships/hyperlink" Id="rId36" Target="http://www.ema.europa.eu/docs/en_GB/document_library/Regulatory_and_procedural_guideline/2016/04/WC500204187.pdf" TargetMode="External" /><Relationship Type="http://schemas.openxmlformats.org/officeDocument/2006/relationships/hyperlink" Id="rId27" Target="http://www.ema.europa.eu/docs/en_GB/document_library/Report/2017/03/WC500222778.pdf" TargetMode="External" /><Relationship Type="http://schemas.openxmlformats.org/officeDocument/2006/relationships/hyperlink" Id="rId38" Target="http://www.ema.europa.eu/docs/en_GB/document_library/Scientific_guideline/2016/07/WC500211315.pdf" TargetMode="External" /><Relationship Type="http://schemas.openxmlformats.org/officeDocument/2006/relationships/hyperlink" Id="rId37" Target="http://www.ema.europa.eu/docs/en_GB/document_library/Scientific_guideline/2016/10/WC500213940.pdf" TargetMode="External" /><Relationship Type="http://schemas.openxmlformats.org/officeDocument/2006/relationships/hyperlink" Id="rId41" Target="https://doi.org/10.1124/dmd.116.069559" TargetMode="External" /><Relationship Type="http://schemas.openxmlformats.org/officeDocument/2006/relationships/hyperlink" Id="rId42" Target="https://www.R-project.org/" TargetMode="External" /><Relationship Type="http://schemas.openxmlformats.org/officeDocument/2006/relationships/hyperlink" Id="rId32" Target="https://www.fda.gov/downloads/Drugs/.../Guidances/ucm079690.pdf" TargetMode="External" /><Relationship Type="http://schemas.openxmlformats.org/officeDocument/2006/relationships/hyperlink" Id="rId34" Target="https://www.fda.gov/downloads/drugs/guidancecomplianceregulatoryinformation/guidances/ucm425885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www.ema.europa.eu/docs/en_GB/document_library/Regulatory_and_procedural_guideline/2016/04/WC500204187.pdf" TargetMode="External" /><Relationship Type="http://schemas.openxmlformats.org/officeDocument/2006/relationships/hyperlink" Id="rId27" Target="http://www.ema.europa.eu/docs/en_GB/document_library/Report/2017/03/WC500222778.pdf" TargetMode="External" /><Relationship Type="http://schemas.openxmlformats.org/officeDocument/2006/relationships/hyperlink" Id="rId38" Target="http://www.ema.europa.eu/docs/en_GB/document_library/Scientific_guideline/2016/07/WC500211315.pdf" TargetMode="External" /><Relationship Type="http://schemas.openxmlformats.org/officeDocument/2006/relationships/hyperlink" Id="rId37" Target="http://www.ema.europa.eu/docs/en_GB/document_library/Scientific_guideline/2016/10/WC500213940.pdf" TargetMode="External" /><Relationship Type="http://schemas.openxmlformats.org/officeDocument/2006/relationships/hyperlink" Id="rId41" Target="https://doi.org/10.1124/dmd.116.069559" TargetMode="External" /><Relationship Type="http://schemas.openxmlformats.org/officeDocument/2006/relationships/hyperlink" Id="rId42" Target="https://www.R-project.org/" TargetMode="External" /><Relationship Type="http://schemas.openxmlformats.org/officeDocument/2006/relationships/hyperlink" Id="rId32" Target="https://www.fda.gov/downloads/Drugs/.../Guidances/ucm079690.pdf" TargetMode="External" /><Relationship Type="http://schemas.openxmlformats.org/officeDocument/2006/relationships/hyperlink" Id="rId34" Target="https://www.fda.gov/downloads/drugs/guidancecomplianceregulatoryinformation/guidances/ucm425885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Modeling and Simulation을 이용한 Special population에서의 약물 인허가 현황과 관련규정</dc:title>
  <dc:creator>Sungpil Han</dc:creator>
  <dcterms:created xsi:type="dcterms:W3CDTF">2017-11-16T01:20:15Z</dcterms:created>
  <dcterms:modified xsi:type="dcterms:W3CDTF">2017-11-16T01:20:15Z</dcterms:modified>
</cp:coreProperties>
</file>