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947" w:rsidRPr="00E82B2A" w:rsidRDefault="003F6947" w:rsidP="003F6947">
      <w:pPr>
        <w:spacing w:after="0"/>
        <w:rPr>
          <w:rFonts w:ascii="Arial" w:hAnsi="Arial" w:cs="Arial"/>
          <w:b/>
          <w:sz w:val="32"/>
        </w:rPr>
      </w:pPr>
      <w:r w:rsidRPr="00781DD6">
        <w:rPr>
          <w:rFonts w:ascii="Arial" w:hAnsi="Arial" w:cs="Arial"/>
          <w:b/>
          <w:sz w:val="32"/>
        </w:rPr>
        <w:t>Covariate Searching Hands-on</w:t>
      </w:r>
      <w:r>
        <w:rPr>
          <w:rFonts w:ascii="Arial" w:hAnsi="Arial" w:cs="Arial"/>
          <w:b/>
          <w:sz w:val="32"/>
        </w:rPr>
        <w:br/>
      </w:r>
      <w:r w:rsidRPr="00E82B2A">
        <w:rPr>
          <w:rFonts w:ascii="Arial" w:hAnsi="Arial" w:cs="Arial"/>
          <w:b/>
        </w:rPr>
        <w:t>: A Population Pharmacokinetic Analysis of Fluconazole to Predict Therapeutic Outcome in Burn Patients with Candida Infection</w:t>
      </w:r>
      <w:r>
        <w:rPr>
          <w:rFonts w:ascii="Arial" w:hAnsi="Arial" w:cs="Arial"/>
          <w:b/>
        </w:rPr>
        <w:t xml:space="preserve"> </w:t>
      </w:r>
      <w:r w:rsidRPr="00DA7143">
        <w:rPr>
          <w:rFonts w:ascii="Arial" w:hAnsi="Arial" w:cs="Arial"/>
          <w:b/>
          <w:i/>
        </w:rPr>
        <w:t xml:space="preserve">Antimicrob </w:t>
      </w:r>
      <w:bookmarkStart w:id="0" w:name="_GoBack"/>
      <w:bookmarkEnd w:id="0"/>
      <w:r w:rsidRPr="00DA7143">
        <w:rPr>
          <w:rFonts w:ascii="Arial" w:hAnsi="Arial" w:cs="Arial"/>
          <w:b/>
          <w:i/>
        </w:rPr>
        <w:t>Agents Chemother</w:t>
      </w:r>
      <w:r>
        <w:rPr>
          <w:rFonts w:ascii="Arial" w:hAnsi="Arial" w:cs="Arial"/>
          <w:b/>
        </w:rPr>
        <w:t xml:space="preserve"> 2013</w:t>
      </w:r>
      <w:r w:rsidRPr="00DA7143">
        <w:rPr>
          <w:rFonts w:ascii="Arial" w:hAnsi="Arial" w:cs="Arial"/>
          <w:b/>
        </w:rPr>
        <w:t>;57(2):1006-11</w:t>
      </w:r>
    </w:p>
    <w:p w:rsidR="003F6947" w:rsidRPr="00781DD6" w:rsidRDefault="003F6947" w:rsidP="003F6947">
      <w:pPr>
        <w:spacing w:after="0"/>
        <w:rPr>
          <w:rFonts w:ascii="Arial" w:hAnsi="Arial" w:cs="Arial"/>
          <w:b/>
          <w:sz w:val="24"/>
        </w:rPr>
      </w:pPr>
    </w:p>
    <w:p w:rsidR="003F6947" w:rsidRPr="00781DD6" w:rsidRDefault="003F6947" w:rsidP="003F6947">
      <w:pPr>
        <w:spacing w:after="0"/>
        <w:rPr>
          <w:rFonts w:ascii="Arial" w:hAnsi="Arial" w:cs="Arial"/>
          <w:b/>
          <w:sz w:val="24"/>
        </w:rPr>
      </w:pPr>
      <w:r w:rsidRPr="00781DD6">
        <w:rPr>
          <w:rFonts w:ascii="Arial" w:hAnsi="Arial" w:cs="Arial"/>
          <w:b/>
          <w:sz w:val="24"/>
        </w:rPr>
        <w:t>Introduction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6947" w:rsidTr="007C53D8">
        <w:trPr>
          <w:trHeight w:val="5595"/>
        </w:trPr>
        <w:tc>
          <w:tcPr>
            <w:tcW w:w="9016" w:type="dxa"/>
            <w:vAlign w:val="center"/>
          </w:tcPr>
          <w:p w:rsidR="003F6947" w:rsidRPr="00781DD6" w:rsidRDefault="003F6947" w:rsidP="007C53D8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781DD6">
              <w:rPr>
                <w:rFonts w:ascii="Arial" w:hAnsi="Arial" w:cs="Arial"/>
                <w:b/>
                <w:szCs w:val="20"/>
              </w:rPr>
              <w:t xml:space="preserve">Subjects </w:t>
            </w:r>
          </w:p>
          <w:p w:rsidR="003F6947" w:rsidRPr="00781DD6" w:rsidRDefault="003F6947" w:rsidP="007C53D8">
            <w:pPr>
              <w:spacing w:line="276" w:lineRule="auto"/>
              <w:rPr>
                <w:rFonts w:ascii="Arial" w:hAnsi="Arial" w:cs="Arial"/>
                <w:color w:val="403838"/>
                <w:szCs w:val="20"/>
                <w:shd w:val="clear" w:color="auto" w:fill="FFFFFF"/>
              </w:rPr>
            </w:pPr>
            <w:r w:rsidRPr="00781DD6">
              <w:rPr>
                <w:rFonts w:ascii="Arial" w:hAnsi="Arial" w:cs="Arial"/>
                <w:szCs w:val="20"/>
              </w:rPr>
              <w:t xml:space="preserve">60 major burn patients with burn injury </w:t>
            </w:r>
            <w:r w:rsidRPr="00781DD6">
              <w:rPr>
                <w:rFonts w:ascii="Arial" w:hAnsi="Arial" w:cs="Arial"/>
                <w:color w:val="403838"/>
                <w:szCs w:val="20"/>
                <w:shd w:val="clear" w:color="auto" w:fill="FFFFFF"/>
              </w:rPr>
              <w:t>ranging from 11% to 95% of total body surface area</w:t>
            </w:r>
          </w:p>
          <w:p w:rsidR="003F6947" w:rsidRPr="00781DD6" w:rsidRDefault="003F6947" w:rsidP="007C53D8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</w:p>
          <w:p w:rsidR="003F6947" w:rsidRPr="00781DD6" w:rsidRDefault="003F6947" w:rsidP="007C53D8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781DD6">
              <w:rPr>
                <w:rFonts w:ascii="Arial" w:hAnsi="Arial" w:cs="Arial"/>
                <w:b/>
                <w:szCs w:val="20"/>
              </w:rPr>
              <w:t xml:space="preserve">Fluconazole administration and blood sampling </w:t>
            </w:r>
          </w:p>
          <w:p w:rsidR="003F6947" w:rsidRPr="00781DD6" w:rsidRDefault="003F6947" w:rsidP="007C53D8">
            <w:pPr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781DD6">
              <w:rPr>
                <w:rFonts w:ascii="Arial" w:hAnsi="Arial" w:cs="Arial"/>
                <w:color w:val="403838"/>
                <w:sz w:val="19"/>
                <w:szCs w:val="19"/>
                <w:shd w:val="clear" w:color="auto" w:fill="FFFFFF"/>
              </w:rPr>
              <w:t>Patients were intravenously infused with 100 to 400 mg of fluconazole for 10 to 40 min every 24 h for the treatment of suspected (47 cases) or confirmed (13 cases) fungal infection. They had received 5 to 17 days (mean 6.5 days) of fluconazole treatment prior to the PK sampling. Eight venous blood samples were obtained via central venous catheter at 0 (just before dosing), 3, 5, 9, 24, 27, 48, and 51 h after the initiation of infusion. Fluconazole dosing was maintained every 24 h regardless of sampling.</w:t>
            </w:r>
          </w:p>
          <w:p w:rsidR="003F6947" w:rsidRPr="00781DD6" w:rsidRDefault="003F6947" w:rsidP="007C53D8">
            <w:pPr>
              <w:spacing w:line="276" w:lineRule="auto"/>
              <w:rPr>
                <w:rFonts w:ascii="Arial" w:hAnsi="Arial" w:cs="Arial"/>
                <w:b/>
                <w:sz w:val="24"/>
              </w:rPr>
            </w:pPr>
          </w:p>
          <w:p w:rsidR="003F6947" w:rsidRPr="00781DD6" w:rsidRDefault="003F6947" w:rsidP="007C53D8">
            <w:pPr>
              <w:spacing w:line="276" w:lineRule="auto"/>
              <w:rPr>
                <w:rFonts w:ascii="Arial" w:hAnsi="Arial" w:cs="Arial"/>
                <w:b/>
                <w:szCs w:val="20"/>
              </w:rPr>
            </w:pPr>
            <w:r w:rsidRPr="00781DD6">
              <w:rPr>
                <w:rFonts w:ascii="Arial" w:hAnsi="Arial" w:cs="Arial"/>
                <w:b/>
                <w:szCs w:val="20"/>
              </w:rPr>
              <w:t>Dataset</w:t>
            </w:r>
          </w:p>
          <w:p w:rsidR="003F6947" w:rsidRPr="00E82B2A" w:rsidRDefault="003F6947" w:rsidP="007C53D8">
            <w:pPr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781DD6">
              <w:rPr>
                <w:rFonts w:ascii="Arial" w:hAnsi="Arial" w:cs="Arial"/>
                <w:color w:val="403838"/>
                <w:sz w:val="19"/>
                <w:szCs w:val="19"/>
                <w:shd w:val="clear" w:color="auto" w:fill="FFFFFF"/>
              </w:rPr>
              <w:t>The data set consisted of a total of 409 fluconazole concentration observations from 60 subjects. Demographic and clinical variables such as age, sex</w:t>
            </w:r>
            <w:r>
              <w:rPr>
                <w:rFonts w:ascii="Arial" w:hAnsi="Arial" w:cs="Arial"/>
                <w:color w:val="403838"/>
                <w:sz w:val="19"/>
                <w:szCs w:val="19"/>
                <w:shd w:val="clear" w:color="auto" w:fill="FFFFFF"/>
              </w:rPr>
              <w:t xml:space="preserve"> (ISM, 0 for female, 1 for male)</w:t>
            </w:r>
            <w:r w:rsidRPr="00781DD6">
              <w:rPr>
                <w:rFonts w:ascii="Arial" w:hAnsi="Arial" w:cs="Arial"/>
                <w:color w:val="403838"/>
                <w:sz w:val="19"/>
                <w:szCs w:val="19"/>
                <w:shd w:val="clear" w:color="auto" w:fill="FFFFFF"/>
              </w:rPr>
              <w:t>, weight (WT), sepsis condition (SEPS), edema sta</w:t>
            </w:r>
            <w:r>
              <w:rPr>
                <w:rFonts w:ascii="Arial" w:hAnsi="Arial" w:cs="Arial"/>
                <w:color w:val="403838"/>
                <w:sz w:val="19"/>
                <w:szCs w:val="19"/>
                <w:shd w:val="clear" w:color="auto" w:fill="FFFFFF"/>
              </w:rPr>
              <w:t>tus (EDEM), APACHE II score (AP</w:t>
            </w:r>
            <w:r w:rsidRPr="00781DD6">
              <w:rPr>
                <w:rFonts w:ascii="Arial" w:hAnsi="Arial" w:cs="Arial"/>
                <w:color w:val="403838"/>
                <w:sz w:val="19"/>
                <w:szCs w:val="19"/>
                <w:shd w:val="clear" w:color="auto" w:fill="FFFFFF"/>
              </w:rPr>
              <w:t>), creatinine CL calculated by the Cockcroft-Gault equation (CLCR), application of continuous renal replacement therapy (CRRT), total body surface areas burned (TBSA), and time after burn injury (</w:t>
            </w:r>
            <w:r>
              <w:rPr>
                <w:rFonts w:ascii="Arial" w:hAnsi="Arial" w:cs="Arial"/>
                <w:color w:val="403838"/>
                <w:sz w:val="19"/>
                <w:szCs w:val="19"/>
                <w:shd w:val="clear" w:color="auto" w:fill="FFFFFF"/>
              </w:rPr>
              <w:t>DAI</w:t>
            </w:r>
            <w:r w:rsidRPr="00781DD6">
              <w:rPr>
                <w:rFonts w:ascii="Arial" w:hAnsi="Arial" w:cs="Arial"/>
                <w:color w:val="403838"/>
                <w:sz w:val="19"/>
                <w:szCs w:val="19"/>
                <w:shd w:val="clear" w:color="auto" w:fill="FFFFFF"/>
              </w:rPr>
              <w:t>) were included as potential covariates. Because the post</w:t>
            </w:r>
            <w:r>
              <w:rPr>
                <w:rFonts w:ascii="Arial" w:hAnsi="Arial" w:cs="Arial"/>
                <w:color w:val="403838"/>
                <w:sz w:val="19"/>
                <w:szCs w:val="19"/>
                <w:shd w:val="clear" w:color="auto" w:fill="FFFFFF"/>
              </w:rPr>
              <w:t>-</w:t>
            </w:r>
            <w:r w:rsidRPr="00781DD6">
              <w:rPr>
                <w:rFonts w:ascii="Arial" w:hAnsi="Arial" w:cs="Arial"/>
                <w:color w:val="403838"/>
                <w:sz w:val="19"/>
                <w:szCs w:val="19"/>
                <w:shd w:val="clear" w:color="auto" w:fill="FFFFFF"/>
              </w:rPr>
              <w:t xml:space="preserve">burn hypermetabolic response is maximized between day 7 and day 17 after injury (it decreases thereafter) and varies by subjects, we considered TBI to be a potential covariate explaining the physiological difference. </w:t>
            </w:r>
            <w:r>
              <w:rPr>
                <w:rFonts w:ascii="Arial" w:hAnsi="Arial" w:cs="Arial"/>
                <w:color w:val="403838"/>
                <w:sz w:val="19"/>
                <w:szCs w:val="19"/>
                <w:shd w:val="clear" w:color="auto" w:fill="FFFFFF"/>
              </w:rPr>
              <w:t xml:space="preserve">DAI </w:t>
            </w:r>
            <w:r w:rsidRPr="00781DD6">
              <w:rPr>
                <w:rFonts w:ascii="Arial" w:hAnsi="Arial" w:cs="Arial"/>
                <w:color w:val="403838"/>
                <w:sz w:val="19"/>
                <w:szCs w:val="19"/>
                <w:shd w:val="clear" w:color="auto" w:fill="FFFFFF"/>
              </w:rPr>
              <w:t>was included as a categorical variable (1 for patients whose time from burn injury was within 30 days and 0 for others), and the cutoff point was determined by consideration of the time course of physiological change.</w:t>
            </w:r>
          </w:p>
        </w:tc>
      </w:tr>
    </w:tbl>
    <w:p w:rsidR="003F6947" w:rsidRPr="00781DD6" w:rsidRDefault="003F6947" w:rsidP="003F6947">
      <w:pPr>
        <w:spacing w:after="0"/>
        <w:jc w:val="left"/>
        <w:rPr>
          <w:rFonts w:ascii="Arial" w:hAnsi="Arial" w:cs="Arial"/>
          <w:b/>
          <w:sz w:val="24"/>
        </w:rPr>
      </w:pPr>
    </w:p>
    <w:p w:rsidR="003F6947" w:rsidRDefault="003F6947" w:rsidP="003F6947">
      <w:pPr>
        <w:widowControl/>
        <w:wordWrap/>
        <w:autoSpaceDE/>
        <w:autoSpaceDN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3F6947" w:rsidRDefault="003F6947" w:rsidP="003F6947">
      <w:pPr>
        <w:spacing w:after="0"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Step 1. Covariate evaluation and screening</w:t>
      </w:r>
    </w:p>
    <w:p w:rsidR="003F6947" w:rsidRDefault="003F6947" w:rsidP="003F6947">
      <w:pPr>
        <w:spacing w:after="0"/>
        <w:jc w:val="left"/>
        <w:rPr>
          <w:rFonts w:ascii="Arial" w:hAnsi="Arial" w:cs="Arial"/>
          <w:b/>
          <w:sz w:val="24"/>
        </w:rPr>
      </w:pPr>
    </w:p>
    <w:p w:rsidR="003F6947" w:rsidRPr="00781DD6" w:rsidRDefault="003F6947" w:rsidP="003F6947">
      <w:pPr>
        <w:pStyle w:val="a3"/>
        <w:numPr>
          <w:ilvl w:val="0"/>
          <w:numId w:val="7"/>
        </w:numPr>
        <w:spacing w:after="0"/>
        <w:ind w:leftChars="0"/>
        <w:rPr>
          <w:rFonts w:ascii="Arial" w:hAnsi="Arial" w:cs="Arial"/>
          <w:b/>
          <w:szCs w:val="20"/>
        </w:rPr>
      </w:pPr>
      <w:r w:rsidRPr="00781DD6">
        <w:rPr>
          <w:rFonts w:ascii="Arial" w:hAnsi="Arial" w:cs="Arial"/>
          <w:b/>
          <w:szCs w:val="20"/>
        </w:rPr>
        <w:t>Check the distribution of variables which may be included as potential covariates</w:t>
      </w:r>
      <w:r>
        <w:rPr>
          <w:rFonts w:ascii="Arial" w:hAnsi="Arial" w:cs="Arial"/>
          <w:b/>
          <w:szCs w:val="20"/>
        </w:rPr>
        <w:t xml:space="preserve"> (</w:t>
      </w:r>
      <w:r w:rsidRPr="00781DD6">
        <w:rPr>
          <w:rFonts w:ascii="Arial" w:hAnsi="Arial" w:cs="Arial"/>
          <w:b/>
          <w:szCs w:val="20"/>
        </w:rPr>
        <w:t>potential covariates</w:t>
      </w:r>
      <w:r>
        <w:rPr>
          <w:rFonts w:ascii="Arial" w:hAnsi="Arial" w:cs="Arial"/>
          <w:b/>
          <w:szCs w:val="20"/>
        </w:rPr>
        <w:t>)</w:t>
      </w:r>
      <w:r w:rsidRPr="00781DD6">
        <w:rPr>
          <w:rFonts w:ascii="Arial" w:hAnsi="Arial" w:cs="Arial"/>
          <w:b/>
          <w:szCs w:val="20"/>
        </w:rPr>
        <w:t xml:space="preserve">. Which of those have </w:t>
      </w:r>
      <w:r>
        <w:rPr>
          <w:rFonts w:ascii="Arial" w:hAnsi="Arial" w:cs="Arial"/>
          <w:b/>
          <w:szCs w:val="20"/>
        </w:rPr>
        <w:t>appropriate distributional characteristics?</w:t>
      </w:r>
      <w:r w:rsidRPr="00781DD6">
        <w:rPr>
          <w:rFonts w:ascii="Arial" w:hAnsi="Arial" w:cs="Arial"/>
          <w:b/>
          <w:szCs w:val="20"/>
        </w:rPr>
        <w:t xml:space="preserve"> </w:t>
      </w:r>
    </w:p>
    <w:p w:rsidR="003F6947" w:rsidRDefault="003F6947" w:rsidP="003F6947">
      <w:pPr>
        <w:spacing w:after="0"/>
        <w:rPr>
          <w:rFonts w:ascii="Arial" w:hAnsi="Arial" w:cs="Arial"/>
          <w:b/>
          <w:szCs w:val="20"/>
        </w:rPr>
      </w:pPr>
    </w:p>
    <w:p w:rsidR="003F6947" w:rsidRDefault="003F6947" w:rsidP="003F6947">
      <w:pPr>
        <w:spacing w:after="0"/>
        <w:rPr>
          <w:rFonts w:ascii="Arial" w:hAnsi="Arial" w:cs="Arial"/>
          <w:b/>
          <w:szCs w:val="20"/>
        </w:rPr>
      </w:pPr>
    </w:p>
    <w:p w:rsidR="003F6947" w:rsidRDefault="003F6947" w:rsidP="003F6947">
      <w:pPr>
        <w:spacing w:after="0"/>
        <w:rPr>
          <w:rFonts w:ascii="Arial" w:hAnsi="Arial" w:cs="Arial"/>
          <w:b/>
          <w:szCs w:val="20"/>
        </w:rPr>
      </w:pPr>
    </w:p>
    <w:p w:rsidR="003F6947" w:rsidRPr="00781DD6" w:rsidRDefault="003F6947" w:rsidP="003F6947">
      <w:pPr>
        <w:pStyle w:val="a3"/>
        <w:numPr>
          <w:ilvl w:val="0"/>
          <w:numId w:val="7"/>
        </w:numPr>
        <w:spacing w:after="0"/>
        <w:ind w:leftChars="0"/>
        <w:rPr>
          <w:rFonts w:ascii="Arial" w:hAnsi="Arial" w:cs="Arial"/>
          <w:b/>
          <w:szCs w:val="20"/>
        </w:rPr>
      </w:pPr>
      <w:r w:rsidRPr="00781DD6">
        <w:rPr>
          <w:rFonts w:ascii="Arial" w:hAnsi="Arial" w:cs="Arial"/>
          <w:b/>
          <w:szCs w:val="20"/>
        </w:rPr>
        <w:t xml:space="preserve">Check the </w:t>
      </w:r>
      <w:r>
        <w:rPr>
          <w:rFonts w:ascii="Arial" w:hAnsi="Arial" w:cs="Arial"/>
          <w:b/>
          <w:szCs w:val="20"/>
        </w:rPr>
        <w:t xml:space="preserve">co-linearity between potential covariates. </w:t>
      </w:r>
      <w:r w:rsidRPr="00781DD6">
        <w:rPr>
          <w:rFonts w:ascii="Arial" w:hAnsi="Arial" w:cs="Arial"/>
          <w:b/>
          <w:szCs w:val="20"/>
        </w:rPr>
        <w:t xml:space="preserve">Which of those have </w:t>
      </w:r>
      <w:r>
        <w:rPr>
          <w:rFonts w:ascii="Arial" w:hAnsi="Arial" w:cs="Arial"/>
          <w:b/>
          <w:szCs w:val="20"/>
        </w:rPr>
        <w:t>correlation to each other?</w:t>
      </w:r>
    </w:p>
    <w:p w:rsidR="003F6947" w:rsidRPr="00781DD6" w:rsidRDefault="003F6947" w:rsidP="003F6947">
      <w:pPr>
        <w:pStyle w:val="a3"/>
        <w:spacing w:after="0"/>
        <w:ind w:leftChars="0" w:left="360"/>
        <w:rPr>
          <w:rFonts w:ascii="Arial" w:hAnsi="Arial" w:cs="Arial"/>
          <w:b/>
          <w:szCs w:val="20"/>
        </w:rPr>
      </w:pPr>
    </w:p>
    <w:p w:rsidR="003F6947" w:rsidRPr="00E82B2A" w:rsidRDefault="003F6947" w:rsidP="003F6947">
      <w:pPr>
        <w:pStyle w:val="a3"/>
        <w:spacing w:after="0"/>
        <w:ind w:leftChars="0" w:left="360"/>
        <w:rPr>
          <w:rFonts w:ascii="Arial" w:hAnsi="Arial" w:cs="Arial"/>
          <w:b/>
          <w:szCs w:val="20"/>
        </w:rPr>
      </w:pPr>
    </w:p>
    <w:p w:rsidR="003F6947" w:rsidRPr="00E82B2A" w:rsidRDefault="003F6947" w:rsidP="003F6947">
      <w:pPr>
        <w:pStyle w:val="a3"/>
        <w:spacing w:after="0"/>
        <w:ind w:leftChars="0" w:left="360"/>
        <w:rPr>
          <w:rFonts w:ascii="Arial" w:hAnsi="Arial" w:cs="Arial"/>
          <w:b/>
          <w:szCs w:val="20"/>
        </w:rPr>
      </w:pPr>
    </w:p>
    <w:p w:rsidR="003F6947" w:rsidRDefault="003F6947" w:rsidP="003F6947">
      <w:pPr>
        <w:pStyle w:val="a3"/>
        <w:numPr>
          <w:ilvl w:val="0"/>
          <w:numId w:val="7"/>
        </w:numPr>
        <w:spacing w:after="0"/>
        <w:ind w:leftChars="0"/>
        <w:rPr>
          <w:rFonts w:ascii="Arial" w:hAnsi="Arial" w:cs="Arial"/>
          <w:b/>
          <w:szCs w:val="20"/>
        </w:rPr>
      </w:pPr>
      <w:r w:rsidRPr="00781DD6">
        <w:rPr>
          <w:rFonts w:ascii="Arial" w:hAnsi="Arial" w:cs="Arial"/>
          <w:b/>
          <w:szCs w:val="20"/>
        </w:rPr>
        <w:t xml:space="preserve">Check the </w:t>
      </w:r>
      <w:r>
        <w:rPr>
          <w:rFonts w:ascii="Arial" w:hAnsi="Arial" w:cs="Arial"/>
          <w:b/>
          <w:szCs w:val="20"/>
        </w:rPr>
        <w:t>co-linearity between parameters.</w:t>
      </w:r>
    </w:p>
    <w:p w:rsidR="003F6947" w:rsidRDefault="003F6947" w:rsidP="003F6947">
      <w:pPr>
        <w:pStyle w:val="a3"/>
        <w:numPr>
          <w:ilvl w:val="0"/>
          <w:numId w:val="8"/>
        </w:numPr>
        <w:spacing w:after="0"/>
        <w:ind w:leftChars="0"/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b/>
          <w:szCs w:val="20"/>
        </w:rPr>
        <w:t>Add ETAs to the patab</w:t>
      </w:r>
    </w:p>
    <w:p w:rsidR="003F6947" w:rsidRDefault="003F6947" w:rsidP="003F6947">
      <w:pPr>
        <w:pStyle w:val="a3"/>
        <w:numPr>
          <w:ilvl w:val="0"/>
          <w:numId w:val="8"/>
        </w:numPr>
        <w:spacing w:after="0"/>
        <w:ind w:leftChars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Change run number to 101</w:t>
      </w:r>
    </w:p>
    <w:p w:rsidR="003F6947" w:rsidRDefault="003F6947" w:rsidP="003F6947">
      <w:pPr>
        <w:spacing w:after="0"/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b/>
          <w:szCs w:val="20"/>
        </w:rPr>
        <w:t xml:space="preserve">    Which parameters are correlated?</w:t>
      </w:r>
      <w:r>
        <w:rPr>
          <w:rFonts w:ascii="Arial" w:hAnsi="Arial" w:cs="Arial"/>
          <w:b/>
          <w:szCs w:val="20"/>
        </w:rPr>
        <w:t xml:space="preserve"> Explain the relationship between parameters and ETAs.</w:t>
      </w:r>
    </w:p>
    <w:p w:rsidR="003F6947" w:rsidRDefault="003F6947" w:rsidP="003F6947">
      <w:pPr>
        <w:spacing w:after="0"/>
        <w:rPr>
          <w:rFonts w:ascii="Arial" w:hAnsi="Arial" w:cs="Arial"/>
          <w:b/>
          <w:szCs w:val="20"/>
        </w:rPr>
      </w:pPr>
    </w:p>
    <w:p w:rsidR="003F6947" w:rsidRDefault="003F6947" w:rsidP="003F6947">
      <w:pPr>
        <w:spacing w:after="0"/>
        <w:rPr>
          <w:rFonts w:ascii="Arial" w:hAnsi="Arial" w:cs="Arial"/>
          <w:b/>
          <w:szCs w:val="20"/>
        </w:rPr>
      </w:pPr>
    </w:p>
    <w:p w:rsidR="003F6947" w:rsidRDefault="003F6947" w:rsidP="003F6947">
      <w:pPr>
        <w:spacing w:after="0"/>
        <w:rPr>
          <w:rFonts w:ascii="Arial" w:hAnsi="Arial" w:cs="Arial"/>
          <w:b/>
          <w:szCs w:val="20"/>
        </w:rPr>
      </w:pPr>
    </w:p>
    <w:p w:rsidR="003F6947" w:rsidRDefault="003F6947" w:rsidP="003F6947">
      <w:pPr>
        <w:spacing w:after="0"/>
        <w:rPr>
          <w:rFonts w:ascii="Arial" w:hAnsi="Arial" w:cs="Arial"/>
          <w:b/>
          <w:szCs w:val="20"/>
        </w:rPr>
      </w:pPr>
    </w:p>
    <w:p w:rsidR="003F6947" w:rsidRPr="00E82B2A" w:rsidRDefault="003F6947" w:rsidP="003F6947">
      <w:pPr>
        <w:spacing w:after="0"/>
        <w:rPr>
          <w:rFonts w:ascii="Arial" w:hAnsi="Arial" w:cs="Arial"/>
          <w:b/>
          <w:szCs w:val="20"/>
        </w:rPr>
      </w:pPr>
    </w:p>
    <w:p w:rsidR="003F6947" w:rsidRPr="00DA7143" w:rsidRDefault="003F6947" w:rsidP="003F6947">
      <w:pPr>
        <w:spacing w:after="0"/>
        <w:rPr>
          <w:rFonts w:ascii="Arial" w:hAnsi="Arial" w:cs="Arial"/>
          <w:b/>
          <w:szCs w:val="20"/>
        </w:rPr>
      </w:pPr>
    </w:p>
    <w:p w:rsidR="003F6947" w:rsidRPr="00DA7143" w:rsidRDefault="003F6947" w:rsidP="003F6947">
      <w:pPr>
        <w:spacing w:after="0"/>
        <w:rPr>
          <w:rFonts w:ascii="Arial" w:hAnsi="Arial" w:cs="Arial"/>
          <w:b/>
          <w:szCs w:val="20"/>
        </w:rPr>
      </w:pPr>
    </w:p>
    <w:p w:rsidR="003F6947" w:rsidRDefault="003F6947" w:rsidP="003F6947">
      <w:pPr>
        <w:pStyle w:val="a3"/>
        <w:numPr>
          <w:ilvl w:val="0"/>
          <w:numId w:val="7"/>
        </w:numPr>
        <w:spacing w:after="0"/>
        <w:ind w:leftChars="0"/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b/>
          <w:szCs w:val="20"/>
        </w:rPr>
        <w:t xml:space="preserve">Perform visual covariate screening using Parameter vs Covariate plots. </w:t>
      </w:r>
    </w:p>
    <w:p w:rsidR="003F6947" w:rsidRDefault="003F6947" w:rsidP="003F6947">
      <w:pPr>
        <w:pStyle w:val="a3"/>
        <w:numPr>
          <w:ilvl w:val="0"/>
          <w:numId w:val="8"/>
        </w:numPr>
        <w:spacing w:after="0"/>
        <w:ind w:leftChars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Only check the ETA vs Covariate plots</w:t>
      </w:r>
    </w:p>
    <w:p w:rsidR="003F6947" w:rsidRDefault="003F6947" w:rsidP="003F6947">
      <w:pPr>
        <w:pStyle w:val="a3"/>
        <w:spacing w:after="0"/>
        <w:ind w:leftChars="0" w:left="360"/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b/>
          <w:szCs w:val="20"/>
        </w:rPr>
        <w:t xml:space="preserve">Which </w:t>
      </w:r>
      <w:r>
        <w:rPr>
          <w:rFonts w:ascii="Arial" w:hAnsi="Arial" w:cs="Arial"/>
          <w:b/>
          <w:szCs w:val="20"/>
        </w:rPr>
        <w:t>variables have correlative tendency to which parameter?</w:t>
      </w:r>
    </w:p>
    <w:p w:rsidR="003F6947" w:rsidRDefault="003F6947" w:rsidP="003F6947">
      <w:pPr>
        <w:pStyle w:val="a3"/>
        <w:spacing w:after="0"/>
        <w:ind w:leftChars="0" w:left="360"/>
        <w:rPr>
          <w:rFonts w:ascii="Arial" w:hAnsi="Arial" w:cs="Arial"/>
          <w:b/>
          <w:szCs w:val="20"/>
        </w:rPr>
      </w:pPr>
    </w:p>
    <w:p w:rsidR="003F6947" w:rsidRDefault="003F6947" w:rsidP="003F6947">
      <w:pPr>
        <w:pStyle w:val="a3"/>
        <w:spacing w:after="0"/>
        <w:ind w:leftChars="0" w:left="360"/>
        <w:rPr>
          <w:rFonts w:ascii="Arial" w:hAnsi="Arial" w:cs="Arial"/>
          <w:b/>
          <w:szCs w:val="20"/>
        </w:rPr>
      </w:pPr>
    </w:p>
    <w:p w:rsidR="003F6947" w:rsidRDefault="003F6947" w:rsidP="003F6947">
      <w:pPr>
        <w:pStyle w:val="a3"/>
        <w:spacing w:after="0"/>
        <w:ind w:leftChars="0" w:left="360"/>
        <w:rPr>
          <w:rFonts w:ascii="Arial" w:hAnsi="Arial" w:cs="Arial"/>
          <w:b/>
          <w:szCs w:val="20"/>
        </w:rPr>
      </w:pPr>
    </w:p>
    <w:p w:rsidR="003F6947" w:rsidRDefault="003F6947" w:rsidP="003F6947">
      <w:pPr>
        <w:pStyle w:val="a3"/>
        <w:numPr>
          <w:ilvl w:val="0"/>
          <w:numId w:val="7"/>
        </w:numPr>
        <w:spacing w:after="0"/>
        <w:ind w:leftChars="0"/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b/>
          <w:szCs w:val="20"/>
        </w:rPr>
        <w:t xml:space="preserve">Perform </w:t>
      </w:r>
      <w:r>
        <w:rPr>
          <w:rFonts w:ascii="Arial" w:hAnsi="Arial" w:cs="Arial"/>
          <w:b/>
          <w:szCs w:val="20"/>
        </w:rPr>
        <w:t>numerical</w:t>
      </w:r>
      <w:r>
        <w:rPr>
          <w:rFonts w:ascii="Arial" w:hAnsi="Arial" w:cs="Arial" w:hint="eastAsia"/>
          <w:b/>
          <w:szCs w:val="20"/>
        </w:rPr>
        <w:t xml:space="preserve"> covariate screening using </w:t>
      </w:r>
      <w:r>
        <w:rPr>
          <w:rFonts w:ascii="Arial" w:hAnsi="Arial" w:cs="Arial"/>
          <w:b/>
          <w:szCs w:val="20"/>
        </w:rPr>
        <w:t>GAM</w:t>
      </w:r>
      <w:r>
        <w:rPr>
          <w:rFonts w:ascii="Arial" w:hAnsi="Arial" w:cs="Arial" w:hint="eastAsia"/>
          <w:b/>
          <w:szCs w:val="20"/>
        </w:rPr>
        <w:t xml:space="preserve">. </w:t>
      </w:r>
    </w:p>
    <w:p w:rsidR="003F6947" w:rsidRDefault="003F6947" w:rsidP="003F6947">
      <w:pPr>
        <w:pStyle w:val="a3"/>
        <w:spacing w:after="0"/>
        <w:ind w:leftChars="0" w:left="360"/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b/>
          <w:szCs w:val="20"/>
        </w:rPr>
        <w:t xml:space="preserve">Which </w:t>
      </w:r>
      <w:r>
        <w:rPr>
          <w:rFonts w:ascii="Arial" w:hAnsi="Arial" w:cs="Arial"/>
          <w:b/>
          <w:szCs w:val="20"/>
        </w:rPr>
        <w:t>variables produce significant AIC decrease for ETA1?</w:t>
      </w:r>
    </w:p>
    <w:p w:rsidR="003F6947" w:rsidRDefault="003F6947" w:rsidP="003F6947">
      <w:pPr>
        <w:pStyle w:val="a3"/>
        <w:spacing w:after="0"/>
        <w:ind w:leftChars="0" w:left="360"/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b/>
          <w:szCs w:val="20"/>
        </w:rPr>
        <w:t xml:space="preserve">Which </w:t>
      </w:r>
      <w:r>
        <w:rPr>
          <w:rFonts w:ascii="Arial" w:hAnsi="Arial" w:cs="Arial"/>
          <w:b/>
          <w:szCs w:val="20"/>
        </w:rPr>
        <w:t>variables produce significant AIC decrease for ETA2?</w:t>
      </w:r>
    </w:p>
    <w:p w:rsidR="003F6947" w:rsidRPr="003E1EBB" w:rsidRDefault="003F6947" w:rsidP="003F6947">
      <w:pPr>
        <w:pStyle w:val="a3"/>
        <w:spacing w:after="0"/>
        <w:ind w:leftChars="0" w:left="360"/>
        <w:rPr>
          <w:rFonts w:ascii="Arial" w:hAnsi="Arial" w:cs="Arial"/>
          <w:b/>
          <w:szCs w:val="20"/>
        </w:rPr>
      </w:pPr>
    </w:p>
    <w:p w:rsidR="003F6947" w:rsidRDefault="003F6947" w:rsidP="003F6947">
      <w:pPr>
        <w:pStyle w:val="a3"/>
        <w:spacing w:after="0"/>
        <w:ind w:leftChars="0" w:left="360"/>
        <w:rPr>
          <w:rFonts w:ascii="Arial" w:hAnsi="Arial" w:cs="Arial"/>
          <w:b/>
          <w:szCs w:val="20"/>
        </w:rPr>
      </w:pPr>
    </w:p>
    <w:p w:rsidR="003F6947" w:rsidRDefault="003F6947" w:rsidP="003F6947">
      <w:pPr>
        <w:pStyle w:val="a3"/>
        <w:spacing w:after="0"/>
        <w:ind w:leftChars="0" w:left="360"/>
        <w:rPr>
          <w:rFonts w:ascii="Arial" w:hAnsi="Arial" w:cs="Arial"/>
          <w:b/>
          <w:szCs w:val="20"/>
        </w:rPr>
      </w:pPr>
    </w:p>
    <w:p w:rsidR="003F6947" w:rsidRDefault="003F6947" w:rsidP="003F6947">
      <w:pPr>
        <w:pStyle w:val="a3"/>
        <w:numPr>
          <w:ilvl w:val="0"/>
          <w:numId w:val="7"/>
        </w:numPr>
        <w:spacing w:after="0"/>
        <w:ind w:leftChars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Suggest your covariate modeling strategy.</w:t>
      </w:r>
    </w:p>
    <w:p w:rsidR="003F6947" w:rsidRDefault="003F6947" w:rsidP="003F6947">
      <w:pPr>
        <w:spacing w:after="0"/>
        <w:rPr>
          <w:rFonts w:ascii="Arial" w:hAnsi="Arial" w:cs="Arial"/>
          <w:b/>
          <w:szCs w:val="20"/>
        </w:rPr>
      </w:pPr>
    </w:p>
    <w:p w:rsidR="003F6947" w:rsidRDefault="003F6947" w:rsidP="003F6947">
      <w:pPr>
        <w:spacing w:after="0"/>
        <w:rPr>
          <w:rFonts w:ascii="Arial" w:hAnsi="Arial" w:cs="Arial"/>
          <w:b/>
          <w:szCs w:val="20"/>
        </w:rPr>
      </w:pPr>
    </w:p>
    <w:p w:rsidR="003F6947" w:rsidRDefault="003F6947" w:rsidP="003F6947">
      <w:pPr>
        <w:spacing w:after="0"/>
        <w:rPr>
          <w:rFonts w:ascii="Arial" w:hAnsi="Arial" w:cs="Arial"/>
          <w:b/>
          <w:szCs w:val="20"/>
        </w:rPr>
      </w:pPr>
    </w:p>
    <w:p w:rsidR="003F6947" w:rsidRDefault="003F6947" w:rsidP="003F6947">
      <w:pPr>
        <w:widowControl/>
        <w:wordWrap/>
        <w:autoSpaceDE/>
        <w:autoSpaceDN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br w:type="page"/>
      </w:r>
    </w:p>
    <w:p w:rsidR="003F6947" w:rsidRDefault="003F6947" w:rsidP="003F6947">
      <w:pPr>
        <w:spacing w:after="0"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Step 2. Considerations for the obvious covariate</w:t>
      </w:r>
    </w:p>
    <w:p w:rsidR="003F6947" w:rsidRDefault="003F6947" w:rsidP="003F6947">
      <w:pPr>
        <w:spacing w:after="0"/>
        <w:jc w:val="left"/>
        <w:rPr>
          <w:rFonts w:ascii="Arial" w:hAnsi="Arial" w:cs="Arial"/>
          <w:b/>
          <w:sz w:val="24"/>
        </w:rPr>
      </w:pPr>
    </w:p>
    <w:p w:rsidR="003F6947" w:rsidRDefault="003F6947" w:rsidP="003F6947">
      <w:pPr>
        <w:pStyle w:val="a3"/>
        <w:numPr>
          <w:ilvl w:val="0"/>
          <w:numId w:val="7"/>
        </w:numPr>
        <w:spacing w:after="0"/>
        <w:ind w:leftChars="0"/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b/>
          <w:szCs w:val="20"/>
        </w:rPr>
        <w:t xml:space="preserve">Include CRRT as the covariate for CL. </w:t>
      </w:r>
    </w:p>
    <w:p w:rsidR="003F6947" w:rsidRDefault="003F6947" w:rsidP="003F6947">
      <w:pPr>
        <w:pStyle w:val="a3"/>
        <w:numPr>
          <w:ilvl w:val="0"/>
          <w:numId w:val="8"/>
        </w:numPr>
        <w:spacing w:after="0"/>
        <w:ind w:leftChars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Use IF statement in the control file. </w:t>
      </w:r>
    </w:p>
    <w:p w:rsidR="003F6947" w:rsidRDefault="003F6947" w:rsidP="003F6947">
      <w:pPr>
        <w:pStyle w:val="a3"/>
        <w:numPr>
          <w:ilvl w:val="0"/>
          <w:numId w:val="8"/>
        </w:numPr>
        <w:spacing w:after="0"/>
        <w:ind w:leftChars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Change the run number to 110</w:t>
      </w:r>
    </w:p>
    <w:p w:rsidR="003F6947" w:rsidRPr="00BF2FB4" w:rsidRDefault="003F6947" w:rsidP="003F6947">
      <w:pPr>
        <w:pStyle w:val="a3"/>
        <w:numPr>
          <w:ilvl w:val="0"/>
          <w:numId w:val="8"/>
        </w:numPr>
        <w:spacing w:after="0"/>
        <w:ind w:leftChars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Allocated appropriate number to each THETA</w:t>
      </w:r>
    </w:p>
    <w:p w:rsidR="003F6947" w:rsidRDefault="003F6947" w:rsidP="003F6947">
      <w:pPr>
        <w:pStyle w:val="a3"/>
        <w:numPr>
          <w:ilvl w:val="0"/>
          <w:numId w:val="8"/>
        </w:numPr>
        <w:spacing w:after="0"/>
        <w:ind w:leftChars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Do not estimate BSV for CRRT=1 group</w:t>
      </w:r>
    </w:p>
    <w:p w:rsidR="003F6947" w:rsidRDefault="003F6947" w:rsidP="003F6947">
      <w:pPr>
        <w:pStyle w:val="a3"/>
        <w:numPr>
          <w:ilvl w:val="0"/>
          <w:numId w:val="8"/>
        </w:numPr>
        <w:spacing w:after="0"/>
        <w:ind w:leftChars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Only include ETA for CL of CRRT=0 group and V in the patab</w:t>
      </w:r>
    </w:p>
    <w:p w:rsidR="003F6947" w:rsidRPr="005C6A16" w:rsidRDefault="003F6947" w:rsidP="003F6947">
      <w:pPr>
        <w:pStyle w:val="a3"/>
        <w:numPr>
          <w:ilvl w:val="0"/>
          <w:numId w:val="8"/>
        </w:numPr>
        <w:spacing w:after="0"/>
        <w:ind w:leftChars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Remove CRRT from catab</w:t>
      </w:r>
    </w:p>
    <w:p w:rsidR="003F6947" w:rsidRDefault="003F6947" w:rsidP="003F6947">
      <w:pPr>
        <w:pStyle w:val="a3"/>
        <w:numPr>
          <w:ilvl w:val="0"/>
          <w:numId w:val="8"/>
        </w:numPr>
        <w:spacing w:after="0"/>
        <w:ind w:leftChars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Compare the result to that of PK100</w:t>
      </w:r>
    </w:p>
    <w:p w:rsidR="003F6947" w:rsidRDefault="003F6947" w:rsidP="003F6947">
      <w:pPr>
        <w:spacing w:after="0"/>
        <w:ind w:left="425"/>
        <w:rPr>
          <w:rFonts w:ascii="Arial" w:hAnsi="Arial" w:cs="Arial"/>
          <w:b/>
          <w:szCs w:val="20"/>
        </w:rPr>
      </w:pPr>
    </w:p>
    <w:p w:rsidR="003F6947" w:rsidRDefault="003F6947" w:rsidP="003F6947">
      <w:pPr>
        <w:spacing w:after="0"/>
        <w:ind w:left="425"/>
        <w:rPr>
          <w:rFonts w:ascii="Arial" w:hAnsi="Arial" w:cs="Arial"/>
          <w:b/>
          <w:szCs w:val="20"/>
        </w:rPr>
      </w:pPr>
    </w:p>
    <w:p w:rsidR="003F6947" w:rsidRDefault="003F6947" w:rsidP="003F6947">
      <w:pPr>
        <w:spacing w:after="0"/>
        <w:ind w:left="425"/>
        <w:rPr>
          <w:rFonts w:ascii="Arial" w:hAnsi="Arial" w:cs="Arial"/>
          <w:b/>
          <w:szCs w:val="20"/>
        </w:rPr>
      </w:pPr>
    </w:p>
    <w:p w:rsidR="003F6947" w:rsidRDefault="003F6947" w:rsidP="003F6947">
      <w:pPr>
        <w:spacing w:after="0"/>
        <w:ind w:left="425"/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b/>
          <w:szCs w:val="20"/>
        </w:rPr>
        <w:t>7-1. Suggest alternative way to separate CRRT groups</w:t>
      </w:r>
    </w:p>
    <w:p w:rsidR="003F6947" w:rsidRDefault="003F6947" w:rsidP="003F6947">
      <w:pPr>
        <w:spacing w:after="0"/>
        <w:ind w:left="425"/>
        <w:rPr>
          <w:rFonts w:ascii="Arial" w:hAnsi="Arial" w:cs="Arial"/>
          <w:b/>
          <w:szCs w:val="20"/>
        </w:rPr>
      </w:pPr>
    </w:p>
    <w:p w:rsidR="003F6947" w:rsidRPr="00642CEC" w:rsidRDefault="003F6947" w:rsidP="003F6947">
      <w:pPr>
        <w:spacing w:after="0"/>
        <w:ind w:left="425"/>
        <w:rPr>
          <w:rFonts w:ascii="Arial" w:hAnsi="Arial" w:cs="Arial"/>
          <w:b/>
          <w:szCs w:val="20"/>
        </w:rPr>
      </w:pPr>
    </w:p>
    <w:p w:rsidR="003F6947" w:rsidRDefault="003F6947" w:rsidP="003F6947">
      <w:pPr>
        <w:spacing w:after="0"/>
        <w:ind w:left="425"/>
        <w:rPr>
          <w:rFonts w:ascii="Arial" w:hAnsi="Arial" w:cs="Arial"/>
          <w:b/>
          <w:szCs w:val="20"/>
        </w:rPr>
      </w:pPr>
    </w:p>
    <w:p w:rsidR="003F6947" w:rsidRDefault="003F6947" w:rsidP="003F6947">
      <w:pPr>
        <w:pStyle w:val="a3"/>
        <w:numPr>
          <w:ilvl w:val="0"/>
          <w:numId w:val="7"/>
        </w:numPr>
        <w:spacing w:after="0"/>
        <w:ind w:leftChars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Allow BSV estimation for CRRT=1 group. </w:t>
      </w:r>
    </w:p>
    <w:p w:rsidR="003F6947" w:rsidRDefault="003F6947" w:rsidP="003F6947">
      <w:pPr>
        <w:pStyle w:val="a3"/>
        <w:numPr>
          <w:ilvl w:val="0"/>
          <w:numId w:val="8"/>
        </w:numPr>
        <w:spacing w:after="0"/>
        <w:ind w:leftChars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Change the run number to 111</w:t>
      </w:r>
    </w:p>
    <w:p w:rsidR="003F6947" w:rsidRDefault="003F6947" w:rsidP="003F6947">
      <w:pPr>
        <w:pStyle w:val="a3"/>
        <w:numPr>
          <w:ilvl w:val="0"/>
          <w:numId w:val="8"/>
        </w:numPr>
        <w:spacing w:after="0"/>
        <w:ind w:leftChars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What happens?</w:t>
      </w:r>
    </w:p>
    <w:p w:rsidR="003F6947" w:rsidRPr="0027381C" w:rsidRDefault="003F6947" w:rsidP="003F6947">
      <w:pPr>
        <w:spacing w:after="0"/>
        <w:ind w:left="425"/>
        <w:rPr>
          <w:rFonts w:ascii="Arial" w:hAnsi="Arial" w:cs="Arial"/>
          <w:b/>
          <w:szCs w:val="20"/>
        </w:rPr>
      </w:pPr>
    </w:p>
    <w:p w:rsidR="003F6947" w:rsidRDefault="003F6947" w:rsidP="003F6947">
      <w:pPr>
        <w:spacing w:after="0"/>
        <w:ind w:left="425"/>
        <w:rPr>
          <w:rFonts w:ascii="Arial" w:hAnsi="Arial" w:cs="Arial"/>
          <w:b/>
          <w:szCs w:val="20"/>
        </w:rPr>
      </w:pPr>
    </w:p>
    <w:p w:rsidR="003F6947" w:rsidRDefault="003F6947" w:rsidP="003F6947">
      <w:pPr>
        <w:spacing w:after="0"/>
        <w:ind w:left="425"/>
        <w:rPr>
          <w:rFonts w:ascii="Arial" w:hAnsi="Arial" w:cs="Arial"/>
          <w:b/>
          <w:szCs w:val="20"/>
        </w:rPr>
      </w:pPr>
    </w:p>
    <w:p w:rsidR="003F6947" w:rsidRDefault="003F6947" w:rsidP="003F6947">
      <w:pPr>
        <w:pStyle w:val="a3"/>
        <w:numPr>
          <w:ilvl w:val="0"/>
          <w:numId w:val="7"/>
        </w:numPr>
        <w:spacing w:after="0"/>
        <w:ind w:leftChars="0"/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b/>
          <w:szCs w:val="20"/>
        </w:rPr>
        <w:t xml:space="preserve">Now, repeat the procedure </w:t>
      </w:r>
      <w:r>
        <w:rPr>
          <w:rFonts w:ascii="Arial" w:hAnsi="Arial" w:cs="Arial"/>
          <w:b/>
          <w:szCs w:val="20"/>
        </w:rPr>
        <w:t>4~6</w:t>
      </w:r>
    </w:p>
    <w:p w:rsidR="003F6947" w:rsidRDefault="003F6947" w:rsidP="003F6947">
      <w:pPr>
        <w:pStyle w:val="a3"/>
        <w:spacing w:after="0"/>
        <w:ind w:leftChars="0" w:left="360"/>
        <w:rPr>
          <w:rFonts w:ascii="Arial" w:hAnsi="Arial" w:cs="Arial"/>
          <w:b/>
          <w:szCs w:val="20"/>
        </w:rPr>
      </w:pPr>
    </w:p>
    <w:p w:rsidR="003F6947" w:rsidRDefault="003F6947" w:rsidP="003F6947">
      <w:pPr>
        <w:widowControl/>
        <w:wordWrap/>
        <w:autoSpaceDE/>
        <w:autoSpaceDN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br w:type="page"/>
      </w:r>
    </w:p>
    <w:p w:rsidR="003F6947" w:rsidRDefault="003F6947" w:rsidP="003F6947">
      <w:pPr>
        <w:spacing w:after="0"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Step 3. Covariate modeling</w:t>
      </w:r>
    </w:p>
    <w:p w:rsidR="003F6947" w:rsidRDefault="003F6947" w:rsidP="003F6947">
      <w:pPr>
        <w:spacing w:after="0"/>
        <w:rPr>
          <w:rFonts w:ascii="Arial" w:hAnsi="Arial" w:cs="Arial"/>
          <w:b/>
          <w:szCs w:val="20"/>
        </w:rPr>
      </w:pPr>
    </w:p>
    <w:p w:rsidR="003F6947" w:rsidRDefault="003F6947" w:rsidP="003F6947">
      <w:pPr>
        <w:spacing w:after="0"/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b/>
          <w:szCs w:val="20"/>
        </w:rPr>
        <w:t xml:space="preserve">Remove </w:t>
      </w:r>
      <w:r>
        <w:rPr>
          <w:rFonts w:ascii="Arial" w:hAnsi="Arial" w:cs="Arial"/>
          <w:b/>
          <w:szCs w:val="20"/>
        </w:rPr>
        <w:t xml:space="preserve">parameters having no potential covatriate in the </w:t>
      </w:r>
      <w:r>
        <w:rPr>
          <w:rFonts w:ascii="Arial" w:hAnsi="Arial" w:cs="Arial" w:hint="eastAsia"/>
          <w:b/>
          <w:szCs w:val="20"/>
        </w:rPr>
        <w:t xml:space="preserve">screening step from </w:t>
      </w:r>
      <w:r>
        <w:rPr>
          <w:rFonts w:ascii="Arial" w:hAnsi="Arial" w:cs="Arial"/>
          <w:b/>
          <w:szCs w:val="20"/>
        </w:rPr>
        <w:t>patab</w:t>
      </w:r>
    </w:p>
    <w:p w:rsidR="003F6947" w:rsidRDefault="003F6947" w:rsidP="003F6947">
      <w:pPr>
        <w:spacing w:after="0"/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b/>
          <w:szCs w:val="20"/>
        </w:rPr>
        <w:t>Remove variables not selected in the screening step from cotab or catab</w:t>
      </w:r>
    </w:p>
    <w:p w:rsidR="003F6947" w:rsidRPr="001A3FDE" w:rsidRDefault="003F6947" w:rsidP="003F6947">
      <w:pPr>
        <w:spacing w:after="0"/>
        <w:rPr>
          <w:rFonts w:ascii="Arial" w:hAnsi="Arial" w:cs="Arial"/>
          <w:b/>
          <w:szCs w:val="20"/>
        </w:rPr>
      </w:pPr>
    </w:p>
    <w:p w:rsidR="003F6947" w:rsidRDefault="003F6947" w:rsidP="003F6947">
      <w:pPr>
        <w:pStyle w:val="a3"/>
        <w:numPr>
          <w:ilvl w:val="0"/>
          <w:numId w:val="7"/>
        </w:numPr>
        <w:spacing w:after="0"/>
        <w:ind w:leftChars="0"/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b/>
          <w:szCs w:val="20"/>
        </w:rPr>
        <w:t xml:space="preserve">Include </w:t>
      </w:r>
      <w:r>
        <w:rPr>
          <w:rFonts w:ascii="Arial" w:hAnsi="Arial" w:cs="Arial"/>
          <w:b/>
          <w:szCs w:val="20"/>
        </w:rPr>
        <w:t>BW</w:t>
      </w:r>
      <w:r>
        <w:rPr>
          <w:rFonts w:ascii="Arial" w:hAnsi="Arial" w:cs="Arial" w:hint="eastAsia"/>
          <w:b/>
          <w:szCs w:val="20"/>
        </w:rPr>
        <w:t xml:space="preserve"> as the covariate for </w:t>
      </w:r>
      <w:r>
        <w:rPr>
          <w:rFonts w:ascii="Arial" w:hAnsi="Arial" w:cs="Arial"/>
          <w:b/>
          <w:szCs w:val="20"/>
        </w:rPr>
        <w:t>V</w:t>
      </w:r>
      <w:r>
        <w:rPr>
          <w:rFonts w:ascii="Arial" w:hAnsi="Arial" w:cs="Arial" w:hint="eastAsia"/>
          <w:b/>
          <w:szCs w:val="20"/>
        </w:rPr>
        <w:t xml:space="preserve">. </w:t>
      </w:r>
    </w:p>
    <w:p w:rsidR="003F6947" w:rsidRDefault="003F6947" w:rsidP="003F6947">
      <w:pPr>
        <w:pStyle w:val="a3"/>
        <w:numPr>
          <w:ilvl w:val="0"/>
          <w:numId w:val="8"/>
        </w:numPr>
        <w:spacing w:after="0"/>
        <w:ind w:leftChars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Compare 3 structures</w:t>
      </w:r>
    </w:p>
    <w:p w:rsidR="003F6947" w:rsidRDefault="003F6947" w:rsidP="003F6947">
      <w:pPr>
        <w:pStyle w:val="a3"/>
        <w:spacing w:after="0"/>
        <w:ind w:leftChars="0" w:left="825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V = BW * THETA(3); adjust initial estimate for THETA(3); run number = 121</w:t>
      </w:r>
    </w:p>
    <w:p w:rsidR="003F6947" w:rsidRDefault="003F6947" w:rsidP="003F6947">
      <w:pPr>
        <w:pStyle w:val="a3"/>
        <w:spacing w:after="0"/>
        <w:ind w:leftChars="0" w:left="825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V = BW/(mean BW) * THETA(3); run number = 122</w:t>
      </w:r>
    </w:p>
    <w:p w:rsidR="003F6947" w:rsidRDefault="003F6947" w:rsidP="003F6947">
      <w:pPr>
        <w:pStyle w:val="a3"/>
        <w:spacing w:after="0"/>
        <w:ind w:leftChars="0" w:left="825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V = BW/(mean BW) * THETA(3) + THETA(4); run number = 123</w:t>
      </w:r>
    </w:p>
    <w:p w:rsidR="003F6947" w:rsidRDefault="003F6947" w:rsidP="003F6947">
      <w:pPr>
        <w:pStyle w:val="a3"/>
        <w:spacing w:after="0"/>
        <w:ind w:leftChars="0" w:left="360"/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b/>
          <w:szCs w:val="20"/>
        </w:rPr>
        <w:t>Is BW meaningful covariate? Why?</w:t>
      </w:r>
    </w:p>
    <w:p w:rsidR="003F6947" w:rsidRDefault="003F6947" w:rsidP="003F6947">
      <w:pPr>
        <w:pStyle w:val="a3"/>
        <w:spacing w:after="0"/>
        <w:ind w:leftChars="0" w:left="360"/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b/>
          <w:szCs w:val="20"/>
        </w:rPr>
        <w:t xml:space="preserve">Which </w:t>
      </w:r>
      <w:r>
        <w:rPr>
          <w:rFonts w:ascii="Arial" w:hAnsi="Arial" w:cs="Arial"/>
          <w:b/>
          <w:szCs w:val="20"/>
        </w:rPr>
        <w:t>structure is the best?</w:t>
      </w:r>
    </w:p>
    <w:p w:rsidR="003F6947" w:rsidRDefault="003F6947" w:rsidP="003F6947">
      <w:pPr>
        <w:spacing w:after="0"/>
        <w:rPr>
          <w:rFonts w:ascii="Arial" w:hAnsi="Arial" w:cs="Arial"/>
          <w:b/>
          <w:szCs w:val="20"/>
        </w:rPr>
      </w:pPr>
    </w:p>
    <w:p w:rsidR="003F6947" w:rsidRDefault="003F6947" w:rsidP="003F6947">
      <w:pPr>
        <w:spacing w:after="0"/>
        <w:rPr>
          <w:rFonts w:ascii="Arial" w:hAnsi="Arial" w:cs="Arial"/>
          <w:b/>
          <w:szCs w:val="20"/>
        </w:rPr>
      </w:pPr>
    </w:p>
    <w:p w:rsidR="003F6947" w:rsidRDefault="003F6947" w:rsidP="003F6947">
      <w:pPr>
        <w:spacing w:after="0"/>
        <w:rPr>
          <w:rFonts w:ascii="Arial" w:hAnsi="Arial" w:cs="Arial"/>
          <w:b/>
          <w:szCs w:val="20"/>
        </w:rPr>
      </w:pPr>
    </w:p>
    <w:p w:rsidR="003F6947" w:rsidRDefault="003F6947" w:rsidP="003F6947">
      <w:pPr>
        <w:pStyle w:val="a3"/>
        <w:numPr>
          <w:ilvl w:val="0"/>
          <w:numId w:val="7"/>
        </w:numPr>
        <w:spacing w:after="0"/>
        <w:ind w:leftChars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Any other covariate for V? How can you find that?</w:t>
      </w:r>
    </w:p>
    <w:p w:rsidR="003F6947" w:rsidRDefault="003F6947" w:rsidP="003F6947">
      <w:pPr>
        <w:pStyle w:val="a3"/>
        <w:numPr>
          <w:ilvl w:val="0"/>
          <w:numId w:val="8"/>
        </w:numPr>
        <w:spacing w:after="0"/>
        <w:ind w:leftChars="0"/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b/>
          <w:szCs w:val="20"/>
        </w:rPr>
        <w:t>Use the best model obtained so far</w:t>
      </w:r>
    </w:p>
    <w:p w:rsidR="003F6947" w:rsidRDefault="003F6947" w:rsidP="003F6947">
      <w:pPr>
        <w:pStyle w:val="a3"/>
        <w:numPr>
          <w:ilvl w:val="0"/>
          <w:numId w:val="8"/>
        </w:numPr>
        <w:spacing w:after="0"/>
        <w:ind w:leftChars="0"/>
        <w:rPr>
          <w:rFonts w:ascii="Arial" w:hAnsi="Arial" w:cs="Arial"/>
          <w:b/>
          <w:szCs w:val="20"/>
        </w:rPr>
      </w:pPr>
      <w:r w:rsidRPr="007C68B2">
        <w:rPr>
          <w:rFonts w:ascii="Arial" w:hAnsi="Arial" w:cs="Arial"/>
          <w:b/>
          <w:szCs w:val="20"/>
        </w:rPr>
        <w:t>Check whether the relationship between ETA~covariate disappeared for included parameter-covariate</w:t>
      </w:r>
      <w:r>
        <w:rPr>
          <w:rFonts w:ascii="Arial" w:hAnsi="Arial" w:cs="Arial"/>
          <w:b/>
          <w:szCs w:val="20"/>
        </w:rPr>
        <w:t xml:space="preserve"> structure</w:t>
      </w:r>
      <w:r w:rsidRPr="007C68B2">
        <w:rPr>
          <w:rFonts w:ascii="Arial" w:hAnsi="Arial" w:cs="Arial"/>
          <w:b/>
          <w:szCs w:val="20"/>
        </w:rPr>
        <w:t xml:space="preserve"> </w:t>
      </w:r>
      <w:r>
        <w:rPr>
          <w:rFonts w:ascii="Arial" w:hAnsi="Arial" w:cs="Arial"/>
          <w:b/>
          <w:szCs w:val="20"/>
        </w:rPr>
        <w:t>in the model</w:t>
      </w:r>
    </w:p>
    <w:p w:rsidR="003F6947" w:rsidRDefault="003F6947" w:rsidP="003F6947">
      <w:pPr>
        <w:pStyle w:val="a3"/>
        <w:numPr>
          <w:ilvl w:val="0"/>
          <w:numId w:val="8"/>
        </w:numPr>
        <w:spacing w:after="0"/>
        <w:ind w:leftChars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R</w:t>
      </w:r>
      <w:r w:rsidRPr="007C68B2">
        <w:rPr>
          <w:rFonts w:ascii="Arial" w:hAnsi="Arial" w:cs="Arial"/>
          <w:b/>
          <w:szCs w:val="20"/>
        </w:rPr>
        <w:t>epeat the procedure 4~6</w:t>
      </w:r>
      <w:r>
        <w:rPr>
          <w:rFonts w:ascii="Arial" w:hAnsi="Arial" w:cs="Arial"/>
          <w:b/>
          <w:szCs w:val="20"/>
        </w:rPr>
        <w:t xml:space="preserve"> &amp; 10 </w:t>
      </w:r>
      <w:r>
        <w:rPr>
          <w:rFonts w:ascii="Arial" w:hAnsi="Arial" w:cs="Arial"/>
          <w:b/>
          <w:szCs w:val="20"/>
        </w:rPr>
        <w:br/>
        <w:t>(when using linear model, always check for the significance of intercept)</w:t>
      </w:r>
    </w:p>
    <w:p w:rsidR="003F6947" w:rsidRDefault="003F6947" w:rsidP="003F6947">
      <w:pPr>
        <w:spacing w:after="0"/>
        <w:rPr>
          <w:rFonts w:ascii="Arial" w:hAnsi="Arial" w:cs="Arial"/>
          <w:b/>
          <w:szCs w:val="20"/>
        </w:rPr>
      </w:pPr>
    </w:p>
    <w:p w:rsidR="003F6947" w:rsidRDefault="003F6947" w:rsidP="003F6947">
      <w:pPr>
        <w:spacing w:after="0"/>
        <w:rPr>
          <w:rFonts w:ascii="Arial" w:hAnsi="Arial" w:cs="Arial"/>
          <w:b/>
          <w:szCs w:val="20"/>
        </w:rPr>
      </w:pPr>
    </w:p>
    <w:p w:rsidR="003F6947" w:rsidRDefault="003F6947" w:rsidP="003F6947">
      <w:pPr>
        <w:spacing w:after="0"/>
        <w:rPr>
          <w:rFonts w:ascii="Arial" w:hAnsi="Arial" w:cs="Arial"/>
          <w:b/>
          <w:szCs w:val="20"/>
        </w:rPr>
      </w:pPr>
    </w:p>
    <w:p w:rsidR="003F6947" w:rsidRPr="002B2753" w:rsidRDefault="003F6947" w:rsidP="003F6947">
      <w:pPr>
        <w:pStyle w:val="a3"/>
        <w:numPr>
          <w:ilvl w:val="0"/>
          <w:numId w:val="7"/>
        </w:numPr>
        <w:spacing w:after="0"/>
        <w:ind w:leftChars="0"/>
        <w:rPr>
          <w:rFonts w:ascii="Arial" w:hAnsi="Arial" w:cs="Arial"/>
          <w:b/>
          <w:szCs w:val="20"/>
        </w:rPr>
      </w:pPr>
      <w:r>
        <w:rPr>
          <w:rFonts w:ascii="Arial" w:hAnsi="Arial" w:cs="Arial" w:hint="eastAsia"/>
          <w:b/>
          <w:szCs w:val="20"/>
        </w:rPr>
        <w:t xml:space="preserve">Perform backward elimination for </w:t>
      </w:r>
      <w:r>
        <w:rPr>
          <w:rFonts w:ascii="Arial" w:hAnsi="Arial" w:cs="Arial"/>
          <w:b/>
          <w:szCs w:val="20"/>
        </w:rPr>
        <w:t xml:space="preserve">full V </w:t>
      </w:r>
      <w:r>
        <w:rPr>
          <w:rFonts w:ascii="Arial" w:hAnsi="Arial" w:cs="Arial" w:hint="eastAsia"/>
          <w:b/>
          <w:szCs w:val="20"/>
        </w:rPr>
        <w:t>covariate model</w:t>
      </w:r>
      <w:r>
        <w:rPr>
          <w:rFonts w:ascii="Arial" w:hAnsi="Arial" w:cs="Arial"/>
          <w:b/>
          <w:szCs w:val="20"/>
        </w:rPr>
        <w:t>.</w:t>
      </w:r>
    </w:p>
    <w:p w:rsidR="003F6947" w:rsidRDefault="003F6947" w:rsidP="003F6947">
      <w:pPr>
        <w:spacing w:after="0"/>
        <w:rPr>
          <w:rFonts w:ascii="Arial" w:hAnsi="Arial" w:cs="Arial"/>
          <w:b/>
          <w:szCs w:val="20"/>
        </w:rPr>
      </w:pPr>
    </w:p>
    <w:p w:rsidR="003F6947" w:rsidRPr="002B2753" w:rsidRDefault="003F6947" w:rsidP="003F6947">
      <w:pPr>
        <w:spacing w:after="0"/>
        <w:rPr>
          <w:rFonts w:ascii="Arial" w:hAnsi="Arial" w:cs="Arial"/>
          <w:b/>
          <w:szCs w:val="20"/>
        </w:rPr>
      </w:pPr>
    </w:p>
    <w:p w:rsidR="003F6947" w:rsidRDefault="003F6947" w:rsidP="003F6947">
      <w:pPr>
        <w:spacing w:after="0"/>
        <w:rPr>
          <w:rFonts w:ascii="Arial" w:hAnsi="Arial" w:cs="Arial"/>
          <w:b/>
          <w:szCs w:val="20"/>
        </w:rPr>
      </w:pPr>
    </w:p>
    <w:p w:rsidR="003F6947" w:rsidRDefault="003F6947" w:rsidP="003F6947">
      <w:pPr>
        <w:pStyle w:val="a3"/>
        <w:numPr>
          <w:ilvl w:val="0"/>
          <w:numId w:val="7"/>
        </w:numPr>
        <w:spacing w:after="0"/>
        <w:ind w:leftChars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Proceed to covariate modeling for CL</w:t>
      </w:r>
    </w:p>
    <w:p w:rsidR="003F6947" w:rsidRPr="007C68B2" w:rsidRDefault="003F6947" w:rsidP="003F6947">
      <w:pPr>
        <w:spacing w:after="0"/>
        <w:rPr>
          <w:rFonts w:ascii="Arial" w:hAnsi="Arial" w:cs="Arial"/>
          <w:b/>
          <w:szCs w:val="20"/>
        </w:rPr>
      </w:pPr>
    </w:p>
    <w:p w:rsidR="003F6947" w:rsidRPr="007C68B2" w:rsidRDefault="003F6947" w:rsidP="003F6947">
      <w:pPr>
        <w:spacing w:after="0"/>
        <w:rPr>
          <w:rFonts w:ascii="Arial" w:hAnsi="Arial" w:cs="Arial"/>
          <w:b/>
          <w:szCs w:val="20"/>
        </w:rPr>
      </w:pPr>
    </w:p>
    <w:p w:rsidR="00B75A0D" w:rsidRPr="003F6947" w:rsidRDefault="00B75A0D" w:rsidP="003F6947">
      <w:pPr>
        <w:spacing w:after="0"/>
      </w:pPr>
    </w:p>
    <w:sectPr w:rsidR="00B75A0D" w:rsidRPr="003F69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D86" w:rsidRDefault="004A1D86" w:rsidP="00B75A0D">
      <w:pPr>
        <w:spacing w:after="0" w:line="240" w:lineRule="auto"/>
      </w:pPr>
      <w:r>
        <w:separator/>
      </w:r>
    </w:p>
  </w:endnote>
  <w:endnote w:type="continuationSeparator" w:id="0">
    <w:p w:rsidR="004A1D86" w:rsidRDefault="004A1D86" w:rsidP="00B75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D86" w:rsidRDefault="004A1D86" w:rsidP="00B75A0D">
      <w:pPr>
        <w:spacing w:after="0" w:line="240" w:lineRule="auto"/>
      </w:pPr>
      <w:r>
        <w:separator/>
      </w:r>
    </w:p>
  </w:footnote>
  <w:footnote w:type="continuationSeparator" w:id="0">
    <w:p w:rsidR="004A1D86" w:rsidRDefault="004A1D86" w:rsidP="00B75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2839"/>
    <w:multiLevelType w:val="hybridMultilevel"/>
    <w:tmpl w:val="7536F7E0"/>
    <w:lvl w:ilvl="0" w:tplc="04090001">
      <w:start w:val="1"/>
      <w:numFmt w:val="bullet"/>
      <w:lvlText w:val=""/>
      <w:lvlJc w:val="left"/>
      <w:pPr>
        <w:ind w:left="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1012061"/>
    <w:multiLevelType w:val="hybridMultilevel"/>
    <w:tmpl w:val="3C1A3F2E"/>
    <w:lvl w:ilvl="0" w:tplc="9AAE6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D180406"/>
    <w:multiLevelType w:val="hybridMultilevel"/>
    <w:tmpl w:val="013A4DC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0EA16F3"/>
    <w:multiLevelType w:val="hybridMultilevel"/>
    <w:tmpl w:val="03529B40"/>
    <w:lvl w:ilvl="0" w:tplc="C0E6C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A0D4469"/>
    <w:multiLevelType w:val="hybridMultilevel"/>
    <w:tmpl w:val="013A4DC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23166E2"/>
    <w:multiLevelType w:val="hybridMultilevel"/>
    <w:tmpl w:val="C4A68A8C"/>
    <w:lvl w:ilvl="0" w:tplc="5D027AD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C3904D0"/>
    <w:multiLevelType w:val="hybridMultilevel"/>
    <w:tmpl w:val="B2BA3E1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70E2C07"/>
    <w:multiLevelType w:val="hybridMultilevel"/>
    <w:tmpl w:val="978441D4"/>
    <w:lvl w:ilvl="0" w:tplc="9AAE6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35"/>
    <w:rsid w:val="0014674E"/>
    <w:rsid w:val="001577B5"/>
    <w:rsid w:val="00276720"/>
    <w:rsid w:val="002D3601"/>
    <w:rsid w:val="003F6947"/>
    <w:rsid w:val="00405A35"/>
    <w:rsid w:val="004A1D86"/>
    <w:rsid w:val="00544717"/>
    <w:rsid w:val="00616FCF"/>
    <w:rsid w:val="00653A61"/>
    <w:rsid w:val="00782E43"/>
    <w:rsid w:val="0098140E"/>
    <w:rsid w:val="00B75A0D"/>
    <w:rsid w:val="00C65AF6"/>
    <w:rsid w:val="00CE0787"/>
    <w:rsid w:val="00DA5B31"/>
    <w:rsid w:val="00DF4256"/>
    <w:rsid w:val="00E1079D"/>
    <w:rsid w:val="00F14AF8"/>
    <w:rsid w:val="00F9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617AA1-6FC9-4717-AE19-5176E18F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A3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75A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5A0D"/>
  </w:style>
  <w:style w:type="paragraph" w:styleId="a5">
    <w:name w:val="footer"/>
    <w:basedOn w:val="a"/>
    <w:link w:val="Char0"/>
    <w:uiPriority w:val="99"/>
    <w:unhideWhenUsed/>
    <w:rsid w:val="00B75A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5A0D"/>
  </w:style>
  <w:style w:type="table" w:styleId="a6">
    <w:name w:val="Table Grid"/>
    <w:basedOn w:val="a1"/>
    <w:uiPriority w:val="39"/>
    <w:rsid w:val="003F6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Seunghoon Han</dc:creator>
  <cp:lastModifiedBy>Administrator</cp:lastModifiedBy>
  <cp:revision>2</cp:revision>
  <dcterms:created xsi:type="dcterms:W3CDTF">2017-08-29T03:28:00Z</dcterms:created>
  <dcterms:modified xsi:type="dcterms:W3CDTF">2017-08-29T03:28:00Z</dcterms:modified>
</cp:coreProperties>
</file>